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第3章　配图设计稿、尾注清单与撰写说明</w:t>
      </w:r>
    </w:p>
    <w:p>
      <w:pPr>
        <w:spacing w:after="60" w:before="0" w:line="400" w:lineRule="auto"/>
        <w:ind w:firstLine="480"/>
        <w:jc w:val="both"/>
      </w:pPr>
      <w:r>
        <w:rPr>
          <w:rFonts w:ascii="Times New Roman" w:cs="Times New Roman" w:eastAsia="宋体" w:hAnsi="Times New Roman"/>
          <w:sz w:val="24"/>
          <w:szCs w:val="24"/>
        </w:rPr>
        <w:t xml:space="preserve">配套《第3章-学理命题-初稿》使用。</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一、配图设计稿（5 幅）</w:t>
      </w:r>
    </w:p>
    <w:p>
      <w:pPr>
        <w:spacing w:after="60" w:before="0" w:line="400" w:lineRule="auto"/>
        <w:ind w:firstLine="480"/>
        <w:jc w:val="both"/>
      </w:pPr>
      <w:r>
        <w:rPr>
          <w:rFonts w:ascii="Times New Roman" w:cs="Times New Roman" w:eastAsia="宋体" w:hAnsi="Times New Roman"/>
          <w:sz w:val="24"/>
          <w:szCs w:val="24"/>
        </w:rPr>
        <w:t xml:space="preserve">图题一律置于图下，三行：中文题 / 英文题（Title Case）/（图片来源：作者自绘）。以下为绘制依据，画好后按正文中「［此处插入图3-X］」的位置替换即可。</w:t>
      </w:r>
    </w:p>
    <w:p>
      <w:pPr>
        <w:pStyle w:val="Heading3"/>
        <w:spacing w:after="160" w:before="240" w:line="360" w:lineRule="auto"/>
        <w:jc w:val="left"/>
      </w:pPr>
      <w:r>
        <w:rPr>
          <w:rFonts w:ascii="Times New Roman" w:cs="Times New Roman" w:eastAsia="黑体" w:hAnsi="Times New Roman"/>
          <w:b/>
          <w:bCs/>
          <w:sz w:val="24"/>
          <w:szCs w:val="24"/>
        </w:rPr>
        <w:t xml:space="preserve">图3-1　设计学论述的三层结构与隐含前提的位置</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：3.2.1 节，表3-2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：三层堆叠结构图。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自上而下三层横向长条，依次为「评价类论述：好的方案应当满足某些条件」「程序类论述：设计应依次经过若干阶段」「方法类论述：应当采用某方法完成某任务」。三层之下再垫一条通长的底座，底座标注「隐含前提：存在能够作出判断的成熟主体」。底座与三层之间用三支向上的短箭头相连，箭头旁分别标注该层所预设的主体角色：鉴赏者、判断者、执行者。底座以虚线边框绘制，并在其右侧加一行旁注：「从未被作为问题提出」。</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：底座必须画成通长的一条而非三块，以显示三类论述共享同一前提；虚线边框是全图的语义所在，不可改为实线。</w:t>
      </w:r>
    </w:p>
    <w:p>
      <w:pPr>
        <w:pStyle w:val="Heading3"/>
        <w:spacing w:after="160" w:before="240" w:line="360" w:lineRule="auto"/>
        <w:jc w:val="left"/>
      </w:pPr>
      <w:r>
        <w:rPr>
          <w:rFonts w:ascii="Times New Roman" w:cs="Times New Roman" w:eastAsia="黑体" w:hAnsi="Times New Roman"/>
          <w:b/>
          <w:bCs/>
          <w:sz w:val="24"/>
          <w:szCs w:val="24"/>
        </w:rPr>
        <w:t xml:space="preserve">图3-2　隐含前提动摇后设计学论述链条的断裂形态</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：3.2.3 节，第二段之后。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：与图3-1 同构的对照图。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：沿用图3-1 的三层堆叠与底座布局，但底座改为断裂状（中部断开），并标注「前提动摇：判断主体的形成路径被改变」。三支原本向上的箭头改为断口符号，每层右侧加一行断裂后果的旁注：方法类「方法退化为可照搬的步骤」、程序类「节点上发生的不再是判断而是挑选」、评价类「评价退化为对完成度的确认」。三层的外框保持完整而内部填充改为浅色或网点，以表示形式尚存而实质被抽空。图下方加一行注记：「方法、程序与标准均未消失，消失的是使其得以运作的条件」。</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：与图3-1 必须版式一致、可并置对读，差别只在底座与填充；三层外框保持完整是关键，若画成崩塌则误读为学科消亡，与 3.5.1 的自我限定相悖。</w:t>
      </w:r>
    </w:p>
    <w:p>
      <w:pPr>
        <w:pStyle w:val="Heading3"/>
        <w:spacing w:after="160" w:before="240" w:line="360" w:lineRule="auto"/>
        <w:jc w:val="left"/>
      </w:pPr>
      <w:r>
        <w:rPr>
          <w:rFonts w:ascii="Times New Roman" w:cs="Times New Roman" w:eastAsia="黑体" w:hAnsi="Times New Roman"/>
          <w:b/>
          <w:bCs/>
          <w:sz w:val="24"/>
          <w:szCs w:val="24"/>
        </w:rPr>
        <w:t xml:space="preserve">图3-3　三种范式转型解释所指认的变化位置</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：3.3.4 节，表3-3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：同心层次图。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三个同心区域，自外向内依次为「工具与表现媒介」「研究方法与设计流程」「判断主体的形成与维持条件」。三个区域各引一条指示线至右侧标签：工具转型说、方法转型说、主体条件转型说（本书）。最内层加重描边，并在其下加一行注记：「前两说均以最内层的稳定为前提」。</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：用同心而非并列，才能表达「更基础的一层」而非「第三种并列意见」；三说的关系是包含而非互斥，须与 3.3.4 末段的说明一致。</w:t>
      </w:r>
    </w:p>
    <w:p>
      <w:pPr>
        <w:pStyle w:val="Heading3"/>
        <w:spacing w:after="160" w:before="240" w:line="360" w:lineRule="auto"/>
        <w:jc w:val="left"/>
      </w:pPr>
      <w:r>
        <w:rPr>
          <w:rFonts w:ascii="Times New Roman" w:cs="Times New Roman" w:eastAsia="黑体" w:hAnsi="Times New Roman"/>
          <w:b/>
          <w:bCs/>
          <w:sz w:val="24"/>
          <w:szCs w:val="24"/>
        </w:rPr>
        <w:t xml:space="preserve">图3-4　判断主体的形成路径及其被改变的两个环节</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：3.4.1 节，第三段之后。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：环形路径图 + 两处断点。</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：一个顺时针闭合环，四个节点依次为「构想」→「落笔与试探」→「否定性反馈」→「修正与内化」→ 回到「构想」。环的中心标注「判断力的形成」。在「构想」节点处标出断点一，旁注「模型先行给出既成选项，构想被挑选替代」；在「否定性反馈」节点处标出断点二，旁注「重新生成的边际成本趋近于零，反馈失去作用对象」。环外侧以浅色箭头标出两处生成式工具的介入方向。</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：必须画成闭环（循环往复的内化过程），两处断点落在环上而非环外；环中心的「判断力的形成」需与环体在视觉上区分，表明它是循环的产物而非循环中的一步。</w:t>
      </w:r>
    </w:p>
    <w:p>
      <w:pPr>
        <w:pStyle w:val="Heading3"/>
        <w:spacing w:after="160" w:before="240" w:line="360" w:lineRule="auto"/>
        <w:jc w:val="left"/>
      </w:pPr>
      <w:r>
        <w:rPr>
          <w:rFonts w:ascii="Times New Roman" w:cs="Times New Roman" w:eastAsia="黑体" w:hAnsi="Times New Roman"/>
          <w:b/>
          <w:bCs/>
          <w:sz w:val="24"/>
          <w:szCs w:val="24"/>
        </w:rPr>
        <w:t xml:space="preserve">图3-5　主体条件变化四项表现之间的传导链条</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：3.4.4 节末，表3-4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：分层传导链条图。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自左向右四个方框，依次为「形成路径的改变（个体）」→「传承机制的中断（组织与教育）」→「学科无法再生产判断主体（学科）」→「自主性的削弱（学科）」，箭头依次相连，各框下标出其影响层次。在链条上方另置一个横跨全链的方框「评价标准的错位」，用三支向下的虚线箭头分别指向前三个环节，旁注「使以上环节均不被察觉」。图下方加一行注记：「与第1章三重征候的相互强化闭环同构，惟层次不同」。</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：评价标准的错位不进入主链而是横跨其上，因为它的作用是遮蔽而非推进；这一点若画成链条中的一环，全图的含义即被破坏。</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二、尾注清单（9 条，含 3 处待补）</w:t>
      </w:r>
    </w:p>
    <w:p>
      <w:pPr>
        <w:spacing w:after="60" w:before="0" w:line="400" w:lineRule="auto"/>
        <w:ind w:firstLine="480"/>
        <w:jc w:val="both"/>
      </w:pPr>
      <w:r>
        <w:rPr>
          <w:rFonts w:ascii="Times New Roman" w:cs="Times New Roman" w:eastAsia="宋体" w:hAnsi="Times New Roman"/>
          <w:sz w:val="24"/>
          <w:szCs w:val="24"/>
        </w:rPr>
        <w:t xml:space="preserve">正文已改为句末尾注上标。以下为各上标对应的文献，请按 GB/T 7714 补足页码与出版信息后，并入书末「参考文献」的对应分区。以上条目为按正文论断的通行出处所拟，请逐条核对原文并补足页码，凡未经本人核实者不宜直接采用。</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A 第3章尾注对应文献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序号</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出现位置</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对应文献</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3.1.1</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Simon H A. The Sciences of the Artificial[M]. Cambridge: MIT Press, 1969. 中译本可采用武夷山译《人工科学》，商务印书馆，请与所引版本统一</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3.1.1</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Rittel H W J, Webber M M. Dilemmas in a General Theory of Planning[J]. Policy Sciences, 1973, 4(2): 155-169.</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3.1.1</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Buchanan R. Wicked Problems in Design Thinking[J]. Design Issues, 1992, 8(2): 5-21.</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3.1.1</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柳冠中. 事理学论纲[M]. 长沙: 中南大学出版社, 2006. 请核对版本与页码</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Archer B. Design as a Discipline[J]. Design Studies, 1979, 1(1): 17-20.</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[6]</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Cross N. Designerly Ways of Knowing: Design Discipline Versus Design Science[J]. Design Issues, 2001, 17(3): 49-55.</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[7]</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Frayling C. Research in Art and Design[R]. Royal College of Art Research Papers, 1993, 1(1): 1-5.</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[8]</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3.3.1</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Kuhn T S. The Structure of Scientific Revolutions[M]. Chicago: University of Chicago Press, 1962. 中译本可采用金吾伦、胡新和译《科学革命的结构》，北京大学出版社</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[9]</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3.4.2</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Findeli A. Rethinking Design Education for the 21st Century: Theoretical, Methodological, and Ethical Discussion[J]. Design Issues, 2001, 17(1): 5-17.</w:t>
            </w:r>
          </w:p>
        </w:tc>
      </w:tr>
    </w:tbl>
    <w:p>
      <w:pPr>
        <w:spacing w:line="200" w:lineRule="auto"/>
      </w:pPr>
      <w:r>
        <w:rPr>
          <w:sz w:val="18"/>
          <w:szCs w:val="18"/>
        </w:rPr>
        <w:t xml:space="preserve"/>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B 第3章待补引注（3 处，正文中已以【待补：…】标出，显示为红色）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序号</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位置</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需要补的内容</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建议检索方向</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待补 1</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3.2.2 第三段</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设计方法运动及其后续反思的代表性文献</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Jones 关于设计方法的著作；Cross 关于设计方法运动的回顾与反思；Rittel 的第二代设计方法论</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待补 2</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3.5.3 首段</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中国哲学社会科学自主知识体系建构的权威论述，以及设计学界对此的相关讨论</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相关权威文献与政策论述；设计学核心期刊近年关于学科自主知识体系的专题讨论</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待补 3</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全章</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国内学界关于人工智能时代设计主体性的既有讨论</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建议在 3.3.3 方法转型说之后补一段国内研究现状，与第1章研究现状节相呼应，避免本章通篇只对话西文文献</w:t>
            </w:r>
          </w:p>
        </w:tc>
      </w:tr>
    </w:tbl>
    <w:p>
      <w:pPr>
        <w:spacing w:line="200" w:lineRule="auto"/>
      </w:pPr>
      <w:r>
        <w:rPr>
          <w:sz w:val="18"/>
          <w:szCs w:val="18"/>
        </w:rPr>
        <w:t xml:space="preserve"/>
      </w:r>
    </w:p>
    <w:p>
      <w:pPr>
        <w:pStyle w:val="Heading2"/>
        <w:spacing w:after="220" w:before="400" w:line="360" w:lineRule="auto"/>
        <w:jc w:val="left"/>
      </w:pPr>
      <w:r>
        <w:rPr>
          <w:rFonts w:ascii="Times New Roman" w:cs="Times New Roman" w:eastAsia="黑体" w:hAnsi="Times New Roman"/>
          <w:b w:val="false"/>
          <w:bCs w:val="false"/>
          <w:sz w:val="28"/>
          <w:szCs w:val="28"/>
        </w:rPr>
        <w:t xml:space="preserve">三、撰写说明</w:t>
      </w:r>
    </w:p>
    <w:p>
      <w:pPr>
        <w:pStyle w:val="Heading3"/>
        <w:spacing w:after="160" w:before="240" w:line="360" w:lineRule="auto"/>
        <w:jc w:val="left"/>
      </w:pPr>
      <w:r>
        <w:rPr>
          <w:rFonts w:ascii="Times New Roman" w:cs="Times New Roman" w:eastAsia="黑体" w:hAnsi="Times New Roman"/>
          <w:b/>
          <w:bCs/>
          <w:sz w:val="24"/>
          <w:szCs w:val="24"/>
        </w:rPr>
        <w:t xml:space="preserve">3.1 本章的定位与来源</w:t>
      </w:r>
    </w:p>
    <w:p>
      <w:pPr>
        <w:spacing w:after="60" w:before="0" w:line="400" w:lineRule="auto"/>
        <w:ind w:firstLine="480"/>
        <w:jc w:val="both"/>
      </w:pPr>
      <w:r>
        <w:rPr>
          <w:rFonts w:ascii="Times New Roman" w:cs="Times New Roman" w:eastAsia="宋体" w:hAnsi="Times New Roman"/>
          <w:sz w:val="24"/>
          <w:szCs w:val="24"/>
        </w:rPr>
        <w:t xml:space="preserve">本章此前无初稿，系依据两项既有材料撰写：一是绪论「结构安排与主要创新」一节对本章的定位，即经由分析设计学知识的判断性与个人性，揭示设计学范式中一个从未被问题化的隐含前提，并在与方法转型说、工具转型说的比较之中提出范式转型的实质是知识生产主体条件的变化；二是第2章末尾提出的过渡问题，即个体判断力的衰减与学科自身的存续之间是否存在必然的关联。</w:t>
      </w:r>
    </w:p>
    <w:p>
      <w:pPr>
        <w:pStyle w:val="Heading3"/>
        <w:spacing w:after="160" w:before="240" w:line="360" w:lineRule="auto"/>
        <w:jc w:val="left"/>
      </w:pPr>
      <w:r>
        <w:rPr>
          <w:rFonts w:ascii="Times New Roman" w:cs="Times New Roman" w:eastAsia="黑体" w:hAnsi="Times New Roman"/>
          <w:b/>
          <w:bCs/>
          <w:sz w:val="24"/>
          <w:szCs w:val="24"/>
        </w:rPr>
        <w:t xml:space="preserve">3.2 全章结构</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C 第3章的结构安排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节次</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标题</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承担的工作</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章首导语</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承接第2章的过渡问题，交代本章三部分工作</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3.1</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设计学知识的判断性与个人性</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说明学科知识形态对具体判断主体的结构性依赖</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3.2</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设计学范式中的隐含前提</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指认前提的位置、其长期不被察觉的原因、动摇后的断裂形态</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3.3</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范式转型的三种解释及其检讨</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辨析范式一词的用法；检讨工具转型说与方法转型说；提出主体条件转型说</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3.4</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主体条件变化的具体表现</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将命题落实为形成路径、传承机制、评价标准、学科自主性四项表现</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3.5</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命题的限度、可检验性及其学科意义</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划定命题不主张的四项内容；给出四项可检验推论；说明自主知识体系建构的意义</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3.6</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本章小结</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复述本章所得，并过渡至第4章边界判据</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3.3 体例执行情况</w:t>
      </w:r>
    </w:p>
    <w:p>
      <w:pPr>
        <w:spacing w:after="60" w:before="0" w:line="400" w:lineRule="auto"/>
        <w:ind w:firstLine="480"/>
        <w:jc w:val="both"/>
      </w:pPr>
      <w:r>
        <w:rPr>
          <w:rFonts w:ascii="Times New Roman" w:cs="Times New Roman" w:eastAsia="宋体" w:hAnsi="Times New Roman"/>
          <w:sz w:val="24"/>
          <w:szCs w:val="24"/>
        </w:rPr>
        <w:t xml:space="preserve">第一，章首导语与 3.1 至 3.5 各节的节首导语齐备，本章小结单列为 3.6，不含新论据与新图表。第二，术语首见括注英文，包括劣构问题（wicked problems）、范式（paradigm）、设计学科（design discipline）与设计科学（design science）。第三，人名首见均作「中译名（外文，年份）」。第四，引注为尾注上标，共 9 条，另标出 3 处待补。第五，表 6 张、图 5 幅，表题在表上、图题在图下，均为中英双题加来源行。第六，结论强度用词未越级，凡属推论者已称其为推论，第 3.5.2 节并明确交代其检验尚待专门的实证工作。</w:t>
      </w:r>
    </w:p>
    <w:p>
      <w:pPr>
        <w:pStyle w:val="Heading3"/>
        <w:spacing w:after="160" w:before="240" w:line="360" w:lineRule="auto"/>
        <w:jc w:val="left"/>
      </w:pPr>
      <w:r>
        <w:rPr>
          <w:rFonts w:ascii="Times New Roman" w:cs="Times New Roman" w:eastAsia="黑体" w:hAnsi="Times New Roman"/>
          <w:b/>
          <w:bCs/>
          <w:sz w:val="24"/>
          <w:szCs w:val="24"/>
        </w:rPr>
        <w:t xml:space="preserve">3.4 需要你确认的四处</w:t>
      </w:r>
    </w:p>
    <w:p>
      <w:pPr>
        <w:spacing w:after="60" w:before="0" w:line="400" w:lineRule="auto"/>
        <w:ind w:firstLine="480"/>
        <w:jc w:val="both"/>
      </w:pPr>
      <w:r>
        <w:rPr>
          <w:rFonts w:ascii="Times New Roman" w:cs="Times New Roman" w:eastAsia="宋体" w:hAnsi="Times New Roman"/>
          <w:sz w:val="24"/>
          <w:szCs w:val="24"/>
        </w:rPr>
        <w:t xml:space="preserve">第一，章次引称。本章按绪论为第1章、理论谱系为第2章、本章为第3章的八章制撰写，正文引称第4章边界判据、第5章衰减机制、第6章干预策略、第7章溯源制度、第8章教育与产业。若绪论仍按「绪论加正文七章」编排，则本章全部章次引称须整体前移一位，这一点与第2章的情况相同，宜一并处理。</w:t>
      </w:r>
    </w:p>
    <w:p>
      <w:pPr>
        <w:spacing w:after="60" w:before="0" w:line="400" w:lineRule="auto"/>
        <w:ind w:firstLine="480"/>
        <w:jc w:val="both"/>
      </w:pPr>
      <w:r>
        <w:rPr>
          <w:rFonts w:ascii="Times New Roman" w:cs="Times New Roman" w:eastAsia="宋体" w:hAnsi="Times New Roman"/>
          <w:sz w:val="24"/>
          <w:szCs w:val="24"/>
        </w:rPr>
        <w:t xml:space="preserve">第二，与第1章的分工。本章 3.2.3 与 3.4.3 两处调用了第1章关于判断时序倒转、三重征候与能力空心化的结论。若第1章的相应表述后续有所调整，本章须同步核对，避免出现两处说法不一致的情况。</w:t>
      </w:r>
    </w:p>
    <w:p>
      <w:pPr>
        <w:spacing w:after="60" w:before="0" w:line="400" w:lineRule="auto"/>
        <w:ind w:firstLine="480"/>
        <w:jc w:val="both"/>
      </w:pPr>
      <w:r>
        <w:rPr>
          <w:rFonts w:ascii="Times New Roman" w:cs="Times New Roman" w:eastAsia="宋体" w:hAnsi="Times New Roman"/>
          <w:sz w:val="24"/>
          <w:szCs w:val="24"/>
        </w:rPr>
        <w:t xml:space="preserve">第三，国内研究的比重。本章目前所对话的文献以西文为主，仅 3.1.1 引柳冠中一处。绪论「研究现状简评」曾指出国内学界关于设计主体性的讨论尤为活跃，建议在 3.3.3 之后补一段国内既有讨论的评述，既与绪论呼应，也使本章的立论更具针对性。相应位置已在待补清单中标为待补 3。</w:t>
      </w:r>
    </w:p>
    <w:p>
      <w:pPr>
        <w:spacing w:after="60" w:before="0" w:line="400" w:lineRule="auto"/>
        <w:ind w:firstLine="480"/>
        <w:jc w:val="both"/>
      </w:pPr>
      <w:r>
        <w:rPr>
          <w:rFonts w:ascii="Times New Roman" w:cs="Times New Roman" w:eastAsia="宋体" w:hAnsi="Times New Roman"/>
          <w:sz w:val="24"/>
          <w:szCs w:val="24"/>
        </w:rPr>
        <w:t xml:space="preserve">第四，3.5.2 四项推论与第5章的关系。第2章末尾已说明第5章将列出可检验推论，本章 3.5.2 又提出四项推论。二者的分工建议为：本章的推论指向学科层面的命题，第5章的推论指向衰减机制模型，两处须在措辞上明确区分，避免读者误以为重复。若希望合并，则本章 3.5.2 可只保留推论一与推论三，其余移入第5章。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2026-08-30T10:02:20.794Z</dcterms:created>
  <dcterms:modified xsi:type="dcterms:W3CDTF">2026-08-30T10:02:20.794Z</dcterms:modified>
</cp:coreProperties>
</file>

<file path=docProps/custom.xml><?xml version="1.0" encoding="utf-8"?>
<Properties xmlns="http://schemas.openxmlformats.org/officeDocument/2006/custom-properties" xmlns:vt="http://schemas.openxmlformats.org/officeDocument/2006/docPropsVTypes"/>
</file>