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9411F6">
      <w:pPr>
        <w:jc w:val="left"/>
        <w:rPr>
          <w:rFonts w:hint="default" w:ascii="Times New Roman" w:hAnsi="Times New Roman" w:cs="Times New Roman"/>
          <w:b/>
          <w:bCs/>
          <w:sz w:val="36"/>
          <w:szCs w:val="44"/>
          <w:lang w:val="en-US" w:eastAsia="zh-CN"/>
        </w:rPr>
      </w:pPr>
      <w:bookmarkStart w:id="0" w:name="_GoBack"/>
      <w:bookmarkEnd w:id="0"/>
      <w:r>
        <w:rPr>
          <w:rFonts w:hint="eastAsia" w:ascii="Times New Roman" w:hAnsi="Times New Roman" w:cs="Times New Roman"/>
          <w:b/>
          <w:bCs/>
          <w:sz w:val="36"/>
          <w:szCs w:val="44"/>
          <w:lang w:val="en-US" w:eastAsia="zh-CN"/>
        </w:rPr>
        <w:t xml:space="preserve"> </w:t>
      </w:r>
    </w:p>
    <w:p w14:paraId="02AF081D">
      <w:pPr>
        <w:jc w:val="center"/>
        <w:rPr>
          <w:rFonts w:hint="default" w:ascii="Times New Roman" w:hAnsi="Times New Roman" w:eastAsia="宋体" w:cs="Times New Roman"/>
          <w:b/>
          <w:bCs/>
          <w:sz w:val="36"/>
          <w:szCs w:val="44"/>
          <w:lang w:val="en-US" w:eastAsia="zh-CN"/>
        </w:rPr>
      </w:pPr>
      <w:r>
        <w:rPr>
          <w:rFonts w:hint="default" w:ascii="Times New Roman" w:hAnsi="Times New Roman" w:eastAsia="宋体" w:cs="Times New Roman"/>
          <w:b/>
          <w:bCs/>
          <w:sz w:val="36"/>
          <w:szCs w:val="44"/>
          <w:lang w:eastAsia="zh-CN"/>
        </w:rPr>
        <w:t>202</w:t>
      </w:r>
      <w:r>
        <w:rPr>
          <w:rFonts w:hint="eastAsia" w:ascii="Times New Roman" w:hAnsi="Times New Roman" w:eastAsia="宋体" w:cs="Times New Roman"/>
          <w:b/>
          <w:bCs/>
          <w:sz w:val="36"/>
          <w:szCs w:val="44"/>
          <w:lang w:val="en-US" w:eastAsia="zh-CN"/>
        </w:rPr>
        <w:t>5</w:t>
      </w:r>
      <w:r>
        <w:rPr>
          <w:rFonts w:hint="default" w:ascii="Times New Roman" w:hAnsi="Times New Roman" w:eastAsia="宋体" w:cs="Times New Roman"/>
          <w:b/>
          <w:bCs/>
          <w:sz w:val="36"/>
          <w:szCs w:val="44"/>
          <w:lang w:eastAsia="zh-CN"/>
        </w:rPr>
        <w:t>年度</w:t>
      </w:r>
      <w:r>
        <w:rPr>
          <w:rFonts w:hint="eastAsia" w:ascii="Times New Roman" w:hAnsi="Times New Roman" w:eastAsia="宋体" w:cs="Times New Roman"/>
          <w:b/>
          <w:bCs/>
          <w:sz w:val="36"/>
          <w:szCs w:val="44"/>
          <w:lang w:val="en-US" w:eastAsia="zh-CN"/>
        </w:rPr>
        <w:t>武汉市社科联课题</w:t>
      </w:r>
    </w:p>
    <w:p w14:paraId="7FBCA32E">
      <w:pPr>
        <w:jc w:val="center"/>
        <w:rPr>
          <w:rFonts w:hint="default" w:ascii="Times New Roman" w:hAnsi="Times New Roman" w:eastAsia="宋体" w:cs="Times New Roman"/>
          <w:b/>
          <w:bCs/>
          <w:sz w:val="32"/>
          <w:szCs w:val="40"/>
          <w:lang w:eastAsia="zh-CN"/>
        </w:rPr>
      </w:pPr>
      <w:r>
        <w:rPr>
          <w:rFonts w:hint="default" w:ascii="Times New Roman" w:hAnsi="Times New Roman" w:eastAsia="宋体" w:cs="Times New Roman"/>
          <w:b/>
          <w:bCs/>
          <w:sz w:val="32"/>
          <w:szCs w:val="40"/>
          <w:lang w:eastAsia="zh-CN"/>
        </w:rPr>
        <w:t>《高校共享道路的交通冲突机理与安全引导策略研究》</w:t>
      </w:r>
    </w:p>
    <w:p w14:paraId="1186F170">
      <w:pPr>
        <w:jc w:val="center"/>
        <w:rPr>
          <w:rFonts w:hint="eastAsia"/>
          <w:lang w:eastAsia="zh-CN"/>
        </w:rPr>
      </w:pPr>
    </w:p>
    <w:p w14:paraId="44CBAEE5">
      <w:pPr>
        <w:jc w:val="center"/>
        <w:rPr>
          <w:rFonts w:hint="eastAsia"/>
          <w:lang w:eastAsia="zh-CN"/>
        </w:rPr>
      </w:pPr>
    </w:p>
    <w:p w14:paraId="0881B7AD">
      <w:pPr>
        <w:jc w:val="center"/>
        <w:rPr>
          <w:rFonts w:hint="eastAsia"/>
          <w:lang w:eastAsia="zh-CN"/>
        </w:rPr>
      </w:pPr>
    </w:p>
    <w:p w14:paraId="7C3868A9">
      <w:pPr>
        <w:jc w:val="center"/>
        <w:rPr>
          <w:rFonts w:hint="eastAsia"/>
          <w:lang w:eastAsia="zh-CN"/>
        </w:rPr>
      </w:pPr>
    </w:p>
    <w:p w14:paraId="6373EA8A">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课</w:t>
      </w:r>
    </w:p>
    <w:p w14:paraId="55D76C4B">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题</w:t>
      </w:r>
    </w:p>
    <w:p w14:paraId="7E2FCB48">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研</w:t>
      </w:r>
    </w:p>
    <w:p w14:paraId="332466EE">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究</w:t>
      </w:r>
    </w:p>
    <w:p w14:paraId="281E6949">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报</w:t>
      </w:r>
    </w:p>
    <w:p w14:paraId="778435CE">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告</w:t>
      </w:r>
    </w:p>
    <w:p w14:paraId="37592844">
      <w:pPr>
        <w:jc w:val="center"/>
        <w:rPr>
          <w:rFonts w:hint="eastAsia"/>
          <w:lang w:val="en-US" w:eastAsia="zh-CN"/>
        </w:rPr>
      </w:pPr>
    </w:p>
    <w:p w14:paraId="6BB9B707">
      <w:pPr>
        <w:jc w:val="center"/>
        <w:rPr>
          <w:rFonts w:hint="eastAsia"/>
          <w:lang w:val="en-US" w:eastAsia="zh-CN"/>
        </w:rPr>
      </w:pPr>
    </w:p>
    <w:p w14:paraId="1990756D">
      <w:pPr>
        <w:jc w:val="center"/>
        <w:rPr>
          <w:rFonts w:hint="eastAsia"/>
          <w:lang w:val="en-US" w:eastAsia="zh-CN"/>
        </w:rPr>
      </w:pPr>
    </w:p>
    <w:p w14:paraId="64C69474">
      <w:pPr>
        <w:jc w:val="center"/>
        <w:rPr>
          <w:rFonts w:hint="eastAsia"/>
          <w:lang w:val="en-US" w:eastAsia="zh-CN"/>
        </w:rPr>
      </w:pPr>
    </w:p>
    <w:p w14:paraId="0E625B0A">
      <w:pPr>
        <w:jc w:val="center"/>
        <w:rPr>
          <w:rFonts w:hint="eastAsia"/>
          <w:lang w:val="en-US" w:eastAsia="zh-CN"/>
        </w:rPr>
      </w:pPr>
    </w:p>
    <w:p w14:paraId="372E047D">
      <w:pPr>
        <w:jc w:val="both"/>
        <w:rPr>
          <w:rFonts w:hint="eastAsia" w:ascii="楷体" w:hAnsi="楷体" w:eastAsia="楷体" w:cs="楷体"/>
          <w:sz w:val="32"/>
          <w:szCs w:val="40"/>
          <w:lang w:val="en-US" w:eastAsia="zh-CN"/>
        </w:rPr>
      </w:pPr>
    </w:p>
    <w:p w14:paraId="2C4F44F4">
      <w:pPr>
        <w:jc w:val="center"/>
        <w:rPr>
          <w:rFonts w:hint="eastAsia" w:ascii="楷体" w:hAnsi="楷体" w:eastAsia="楷体" w:cs="楷体"/>
          <w:sz w:val="32"/>
          <w:szCs w:val="40"/>
          <w:lang w:val="en-US" w:eastAsia="zh-CN"/>
        </w:rPr>
      </w:pPr>
      <w:r>
        <w:rPr>
          <w:rFonts w:hint="eastAsia" w:ascii="楷体" w:hAnsi="楷体" w:eastAsia="楷体" w:cs="楷体"/>
          <w:sz w:val="32"/>
          <w:szCs w:val="40"/>
          <w:lang w:val="en-US" w:eastAsia="zh-CN"/>
        </w:rPr>
        <w:t>课题负责人：张萌</w:t>
      </w:r>
    </w:p>
    <w:p w14:paraId="3F551B29">
      <w:pPr>
        <w:jc w:val="center"/>
        <w:rPr>
          <w:rFonts w:hint="eastAsia"/>
          <w:lang w:val="en-US" w:eastAsia="zh-CN"/>
        </w:rPr>
      </w:pPr>
      <w:r>
        <w:rPr>
          <w:rFonts w:hint="eastAsia" w:ascii="楷体" w:hAnsi="楷体" w:eastAsia="楷体" w:cs="楷体"/>
          <w:sz w:val="32"/>
          <w:szCs w:val="40"/>
          <w:lang w:val="en-US" w:eastAsia="zh-CN"/>
        </w:rPr>
        <w:t>申报单位：湖北工业大学</w:t>
      </w:r>
    </w:p>
    <w:p w14:paraId="512015A7">
      <w:pPr>
        <w:jc w:val="center"/>
        <w:rPr>
          <w:rFonts w:hint="eastAsia" w:ascii="楷体" w:hAnsi="楷体" w:eastAsia="楷体" w:cs="楷体"/>
          <w:sz w:val="32"/>
          <w:szCs w:val="40"/>
          <w:lang w:val="en-US" w:eastAsia="zh-CN"/>
        </w:rPr>
      </w:pPr>
      <w:r>
        <w:rPr>
          <w:rFonts w:hint="eastAsia" w:ascii="楷体" w:hAnsi="楷体" w:eastAsia="楷体" w:cs="楷体"/>
          <w:sz w:val="32"/>
          <w:szCs w:val="40"/>
          <w:lang w:val="en-US" w:eastAsia="zh-CN"/>
        </w:rPr>
        <w:t>2025年11月15日</w:t>
      </w:r>
    </w:p>
    <w:p w14:paraId="3CC265D4">
      <w:pPr>
        <w:rPr>
          <w:rFonts w:hint="eastAsia"/>
          <w:b/>
          <w:bCs/>
          <w:sz w:val="22"/>
          <w:szCs w:val="28"/>
          <w:lang w:val="en-US" w:eastAsia="zh-CN"/>
        </w:rPr>
      </w:pPr>
    </w:p>
    <w:p w14:paraId="2E6CF41B">
      <w:pPr>
        <w:pStyle w:val="2"/>
        <w:spacing w:before="100" w:after="480" w:line="400" w:lineRule="exact"/>
        <w:rPr>
          <w:rFonts w:hint="default" w:ascii="黑体" w:hAnsi="黑体" w:eastAsia="黑体"/>
          <w:b w:val="0"/>
          <w:bCs w:val="0"/>
          <w:sz w:val="30"/>
          <w:szCs w:val="30"/>
          <w:lang w:val="en-US" w:eastAsia="zh-CN"/>
        </w:rPr>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425" w:num="1"/>
          <w:titlePg/>
          <w:docGrid w:type="lines" w:linePitch="312" w:charSpace="0"/>
        </w:sectPr>
      </w:pP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摘要</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高校共享道路是行人与骑行者在同一空间内混合通行的典型场所。此类空间中的交通冲突，既来自路权的物理竞争，也来自双方在安全认知上的系统性差异。本课题以湖北工业大学主校区为实证对象，遵循“特征识别—模型构建—需求识别—策略生成”的研究路径，对高校共享道路的交通冲突机理与安全引导策略展开系统研究，并据此开发相应的视觉引导系统设计原型。</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交通冲突特征识别方面，本研究在校园内布设12个观测点位，历时一个月采集视频数据，采用计算机视觉与人工标注相结合的方式提取冲突事件，并依据校园慢行交通情境对碰撞时间（TTC）阈值进行修正，共识别有效冲突事件294起。研究发现，冲突在时空维度上呈现明显的集聚特征：五个热点区域承载了51.7%的冲突事件，早高峰时段冲突占比达28.2%；在行为层面，注意力分散类行为与违规运动类行为合计占比69.1%，构成冲突的主要触发因素；在环境层面，道路宽度、标识完整度与视距条件对冲突发生率具有显著影响，相关系数分别为-0.72、-0.58与-0.51。</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行为机理研究方面，本研究整合计划行为理论、合理行为理论与技术接受模型，构建包含8个潜变量、43个观测题项的理论框架，回收有效问卷232份，运用结构方程模型开展验证性因子分析、路径分析与多群组比较。结果表明，行人与骑行者遵循不同的行为决策机理：行人的决策路径为“风险感知→安全态度→行为意图”，模型对行为意图的解释力为52.3%；骑行者的决策路径为“感知易用性→知觉行为控制→行为意图”，模型解释力为44.8%。两类主体在心理机制上的差异，为差异化安全引导策略的制定提供了理论依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认知偏差与需求分析方面，本研究运用AIGC技术生成96个标准化道路场景，构建客观安全指数（OSI）与认知偏差系数（CBC）的量化对照体系，取得870个场景—评分数据点。结果显示，弯道路段的风险被显著低估，平均CBC达32.8%；建筑出入口的风险则被高估，平均CBC为-19.3%；视距条件未进入主观安全感知的显著预测模型，构成主客观认知偏差的重要来源。结合深度访谈与参与式设计工作坊，本研究形成了涵盖五个维度、23项要素的安全引导系统需求清单。</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策略生成与验证方面，本研究经Kano模型需求分层与国内外案例策略提取，开发了以冷蓝色骑行区与暖橙色行人区为核心的色彩编码安全引导系统原型，包含地面标识系统与立面动态提示装置两个部分，形成“静态与动态”“持续与即时”的互补关系。评估结果显示，系统可用性量表得分为76.3分，骑行道服务水平提升至B级，行人对避险空间与路径安全性的主观感知得到改善。</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研究的价值在于，将设计学的人本视角与交通工程、行为科学的研究方法相结合，揭示了安全认知偏差作为交通冲突内生驱动机制的作用路径，并将理论发现转化为可实施的视觉引导设计方案，为高校共享道路的安全治理提供了理论与实践两个层面的支撑。</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关键词：高校共享道路；交通冲突；安全认知偏差；行为决策模型；视觉引导系统；设计干预</w:t>
      </w: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Abstract</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Shared roads on university campuses are typical spaces in which pedestrians and cyclists travel within the same physical corridor. Conflicts in such spaces arise not only from competition for right of way, but also from systematic differences in how the two groups perceive safety. Taking the main campus of Hubei University of Technology as the empirical setting, this study follows a research path of "feature identification - model construction - need identification - strategy generation" to examine the mechanisms underlying traffic conflicts on campus shared roads, and to develop a corresponding visual guidance system prototype.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For conflict feature identification, video data were collected over one month at twelve observation points. Conflict events were extracted through a combination of computer vision and manual annotation, and classified using time-to-collision (TTC) thresholds adapted to the low-speed campus context. A total of 294 valid conflict events were identified. Conflicts were strongly clustered in time and space: five hotspots accounted for 51.7% of all events, and the morning peak accounted for 28.2%. At the behavioural level, distraction-related and rule-violating movements together accounted for 69.1% of conflicts. At the environmental level, roadway width, completeness of the signage system and sight distance were significantly associated with conflict frequency, with correlation coefficients of -0.72, -0.58 and -0.51 respectively.</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For the behavioural mechanism study, the Theory of Planned Behaviour, the Theory of Reasoned Action and the Technology Acceptance Model were integrated into a framework of eight latent variables and forty-three observed items. Based on 232 valid questionnaires, confirmatory factor analysis, path analysis and multi-group comparison were conducted using structural equation modelling. The results reveal two distinct decision mechanisms: pedestrians follow a "risk perception - safety attitude - behavioural intention" path, explaining 52.3% of the variance in intention, whereas cyclists follow a "perceived ease of use - perceived behavioural control - behavioural intention" path, explaining 44.8%.</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For the analysis of cognitive bias and design needs, ninety-six standardised road scenarios were generated using AIGC techniques, and a quantitative framework pairing an Objective Safety Index (OSI) with a Cognitive Bias Coefficient (CBC) was established, yielding 870 scenario-rating data points. Risk was significantly underestimated on curved segments (mean CBC 32.8%) and overestimated at building entrances (mean CBC -19.3%). Sight distance did not enter the significant regression model for perceived safety, which represents an important source of the observed bias. Combined with in-depth interviews and participatory design workshops, a requirement list of twenty-three elements across five dimensions was derived.</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For strategy generation and validation, Kano-based requirement stratification and case-based strategy extraction informed a colour-coded guidance system prototype, using cool blue for cycling zones and warm orange for pedestrian zones, and combining a ground-level signage system with a vertical dynamic display device. Evaluation returned a System Usability Scale score of 76.3, an improvement of the cycling level of service to grade B, and improved perceived path safety among pedestrians.</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The contribution of this study lies in combining a human-centred design perspective with methods from traffic engineering and behavioural science, in identifying safety-related cognitive bias as an endogenous driver of traffic conflict, and in translating these findings into an implementable visual guidance design, thereby providing both theoretical and practical support for the safety governance of campus shared roads.</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Keywords: campus shared road; traffic conflict; safety cognitive bias; behavioural decision model; visual guidance system; design intervention</w:t>
      </w: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目录</w:t>
      </w:r>
    </w:p>
    <w:p>
      <w:pPr>
        <w:pStyle w:val="4"/>
        <w:jc w:val="both"/>
      </w:pPr>
      <w:r>
        <w:fldChar w:fldCharType="begin"/>
      </w:r>
      <w:r>
        <w:instrText xml:space="preserve"> TOC \o "1-3" \h \z \u </w:instrText>
      </w:r>
      <w:r>
        <w:fldChar w:fldCharType="separate"/>
      </w:r>
      <w:r>
        <w:t>目录内容将在打开文档时自动生成；若未显示，请全选后按F9更新域。</w:t>
      </w:r>
      <w:r>
        <w:fldChar w:fldCharType="end"/>
      </w: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图目录</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图1  本课题技术路线图</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图2  校园共享道路12个观测点</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图3  校园共享道路冲突事件较高的5个热点区域</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图4  校园共享道路5个热点区域的具体交通状况</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图5  行人行为决策模型</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图6  骑行者行为决策模型</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图7  基于AI生成的共享道路交通参与者第一人称视角测试场景图（部分）</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图8  高校共享道路安全引导系统需求清单</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图9  面向高校共享道路主要参与者的安全引导系统设计原型</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图10  交叉口部署预警标志设计原型</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图11  立面动态提示装置设计原型</w:t>
      </w: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表目录</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  校园共享道路观测点</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  面向交通冲突者的高校共享道路交通环境特征要素调研问卷内容</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  行人与骑行者在校园共享道路中的TTC分级</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表4  冲突事件空间分布统计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表5  冲突行为模式统计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表6  校园共享道路交通环境与冲突行为的相关性统计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表7  高校共享道路交通安全行为要素表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表8  高校共享道路交通安全行为研究要素及其编码</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表9  样本人口分布特征</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表10  直接路径系数</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表11  多群组分析路径系数比较</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表12  行人群体决定性因素重要性排序</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表13  骑行者群体决定性因素重要性排序</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表14  高校共享道路交通环境主观认知指标及其水平</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表15  高校共享道路交通安全客观指标表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表16  CBC认知偏差系数表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表17  高校共享道路情境下不同场景类型的认知偏差统计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表18  客观因素对主观安全感知的回归分析结果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表19  面向高校共享道路参与者的安全引导系统需求清单</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表20  基于KANO模型的高校共享道路安全引导系统需求分类统计表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表21  面向高校共享道路主要参与者的14项需求的安全引导策略提取统计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附表A-1  校园共享道路观测点位登记与环境参数实测表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附表B-1  校园共享道路冲突行为编码手册</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附表C-1  交通环境特征要素调研问卷题项</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附表C-2  安全行为量表人口统计学题项</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附表C-3  系统可用性量表（SUS）题项</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附表D-1  访谈资料三级编码对照表（节选）</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附表E-1  场景正交设计表（节选）</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附表E-2  9个研究路段客观安全指数评分明细</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附表F-1  各研究环节专家构成</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附表F-2  德尔菲两轮专家评分汇总</w:t>
      </w: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缩略语表</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400"/>
        <w:gridCol w:w="4400"/>
        <w:gridCol w:w="2696"/>
      </w:tblGrid>
      <w:tr>
        <w:trPr>
          <w:tblHeader/>
        </w:trPr>
        <w:tc>
          <w:tcPr>
            <w:tcW w:w="1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缩略语</w:t>
            </w:r>
          </w:p>
        </w:tc>
        <w:tc>
          <w:tcPr>
            <w:tcW w:w="4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英文全称</w:t>
            </w:r>
          </w:p>
        </w:tc>
        <w:tc>
          <w:tcPr>
            <w:tcW w:w="26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中文名称</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AIGC</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Artificial Intelligence Generated Content</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人工智能生成内容</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AVE</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Average Variance Extracted</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平均方差萃取量</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BLOS</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Bicycle Level of Service</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自行车服务水平</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CBC</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Cognitive Bias Coefficient</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认知偏差系数</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CFA</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Confirmatory Factor Analysis</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验证性因子分析</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CFI</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Comparative Fit Index</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比较拟合指数</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CR</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Composite Reliability</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组合信度</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IPA</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Importance-Performance Analysis</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重要度—满意度分析</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OSI</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Objective Safety Index</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客观安全指数</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PBC</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Perceived Behavioral Control</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知觉行为控制</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PEU</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Perceived Ease of Use</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感知易用性</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PU</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Perceived Usefulness</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感知有用性</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PUCE</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Path User Comfort Equivalent</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路径使用者舒适度当量</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RMSEA</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Root Mean Square Error of Approximation</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近似误差均方根</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SEM</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Structural Equation Modeling</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结构方程模型</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SRMR</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Standardized Root Mean Square Residual</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标准化残差均方根</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System Usability Scale</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系统可用性量表</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TAM</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Technology Acceptance Model</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技术接受模型</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TLI</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Tucker-Lewis Index</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塔克—刘易斯指数</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TPB</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Theory of Planned Behavior</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计划行为理论</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TRA</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Theory of Reasoned Action</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合理行为理论</w:t>
            </w:r>
          </w:p>
        </w:tc>
      </w:tr>
      <w:tr>
        <w:tc>
          <w:tcPr>
            <w:tcW w:w="14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TTC</w:t>
            </w:r>
          </w:p>
        </w:tc>
        <w:tc>
          <w:tcPr>
            <w:tcW w:w="44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Time to Collision</w:t>
            </w:r>
          </w:p>
        </w:tc>
        <w:tc>
          <w:tcPr>
            <w:tcW w:w="26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碰撞时间</w:t>
            </w:r>
          </w:p>
        </w:tc>
      </w:tr>
    </w:tbl>
    <w:p/>
    <w:p w14:paraId="5BB1EDF1">
      <w:pPr>
        <w:pStyle w:val="2"/>
        <w:spacing w:before="100" w:after="480" w:line="400" w:lineRule="exact"/>
        <w:rPr>
          <w:rFonts w:hint="default" w:ascii="楷体" w:hAnsi="楷体" w:eastAsia="楷体" w:cs="楷体"/>
          <w:sz w:val="24"/>
          <w:szCs w:val="32"/>
          <w:lang w:val="en-US" w:eastAsia="zh-CN"/>
        </w:rPr>
      </w:pPr>
      <w:r>
        <w:rPr>
          <w:rFonts w:hint="default" w:ascii="黑体" w:hAnsi="黑体" w:eastAsia="黑体"/>
          <w:b w:val="0"/>
          <w:bCs w:val="0"/>
          <w:sz w:val="30"/>
          <w:szCs w:val="30"/>
          <w:lang w:val="en-US" w:eastAsia="zh-CN"/>
        </w:rPr>
        <w:t>1课题研究背景及意义</w:t>
      </w:r>
    </w:p>
    <w:p w14:paraId="72B83E08">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1.1研究背景</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武汉市作为华中地区核心科教枢纽与长江中游高等教育资源富集地，拥有数量庞大、层次多元的高等院校集群，是我国高校密度与综合办学实力位居前列的城市之一。近年来，高校校园交通模式从汽车主导逐渐转向多模式、慢行交通优先。同时，骑行因其高效便捷的优势而深受大学生青睐，自行车等微出行方式在大学校园迅速普及。但这一转变也带来了新的交通安全挑战：高密度人流与车流混行引发的安全问题日益突出，行人与骑行者日益共享有限的道路空间，使传统为行人设计的基础交通设施面临前所未有的压力。面对这一趋势，我国校园交通安全治理呈现出多层次政策响应机制。《教育强国建设规划纲要（2024-2035年）》将校园安全作为实现新时代教育现代化的重要目标之一</w:t>
      </w:r>
      <w:r>
        <w:rPr>
          <w:rFonts w:hint="default" w:ascii="Times New Roman" w:hAnsi="Times New Roman" w:cs="Times New Roman"/>
          <w:lang w:val="en-US" w:eastAsia="zh-CN"/>
          <w:vertAlign w:val="superscript"/>
        </w:rPr>
        <w:t xml:space="preserve">[1]</w:t>
      </w:r>
      <w:r>
        <w:rPr>
          <w:rFonts w:hint="default" w:ascii="Times New Roman" w:hAnsi="Times New Roman" w:cs="Times New Roman"/>
          <w:lang w:val="en-US" w:eastAsia="zh-CN"/>
        </w:rPr>
        <w:t xml:space="preserve">。此外，《武汉市非机动车管理办法》（2022年）通过量化行为标准（如“最高时速不超过15公里”）和禁止性条款（如“禁止双手脱把、使用手机、佩戴耳机”），实现了从原则性要求到可操作规则的制度具化</w:t>
      </w:r>
      <w:r>
        <w:rPr>
          <w:rFonts w:hint="default" w:ascii="Times New Roman" w:hAnsi="Times New Roman" w:cs="Times New Roman"/>
          <w:lang w:val="en-US" w:eastAsia="zh-CN"/>
          <w:vertAlign w:val="superscript"/>
        </w:rPr>
        <w:t xml:space="preserve">[2]</w:t>
      </w:r>
      <w:r>
        <w:rPr>
          <w:rFonts w:hint="default" w:ascii="Times New Roman" w:hAnsi="Times New Roman" w:cs="Times New Roman"/>
          <w:lang w:val="en-US" w:eastAsia="zh-CN"/>
        </w:rPr>
        <w:t xml:space="preserve">。</w:t>
      </w:r>
    </w:p>
    <w:p w14:paraId="09C0C395">
      <w:pPr>
        <w:pStyle w:val="4"/>
        <w:rPr>
          <w:rFonts w:hint="default" w:ascii="Times New Roman" w:hAnsi="Times New Roman" w:cs="Times New Roman"/>
          <w:lang w:val="en-US" w:eastAsia="zh-CN"/>
        </w:rPr>
      </w:pPr>
      <w:r>
        <w:rPr>
          <w:rFonts w:hint="default" w:ascii="Times New Roman" w:hAnsi="Times New Roman" w:cs="Times New Roman"/>
          <w:lang w:val="en-US" w:eastAsia="zh-CN"/>
        </w:rPr>
        <w:t>然而，政策规范的完善并未从根本上消解高校共享道路的交通冲突。其深层的问题在于：行人与骑行者之间存在显著的安全感知差异与路权认知分歧，这种认知错位形成了交通冲突的内生驱动机制。其具体表现为：第一，高校共享道路路权竞争引发的路径冲突，即缺乏明确分隔标识的共享空间使步行者与骑行者产生路线混淆，显著增加碰撞风险；第二，交通参与者感知不对称导致的行为冲突，即行人面对骑行者的安全威胁感知明显偏高，但骑行者往往低估其速度对行人的危险性，这种感知偏差催生频繁的近距离冲突和危险交通行为。此类交通冲突不仅直接危及师生人身安全，更通过扰乱校园交通秩序、降低通行效率、削弱骑行的出行优势等途径，对校园交通系统的整体安全性和可持续性构成威胁。因此，解析交通冲突的生成机理并构建精准化安全引导策略，成为高校共享道路治理的重要课题之一。</w:t>
      </w:r>
    </w:p>
    <w:p w14:paraId="290B1796">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1.2研究意义</w:t>
      </w:r>
    </w:p>
    <w:p w14:paraId="770FCF53">
      <w:pPr>
        <w:pStyle w:val="4"/>
        <w:rPr>
          <w:rFonts w:hint="default" w:ascii="Times New Roman" w:hAnsi="Times New Roman" w:cs="Times New Roman"/>
          <w:lang w:val="en-US" w:eastAsia="zh-CN"/>
        </w:rPr>
      </w:pPr>
      <w:r>
        <w:rPr>
          <w:rFonts w:hint="default" w:ascii="Times New Roman" w:hAnsi="Times New Roman" w:cs="Times New Roman"/>
          <w:lang w:val="en-US" w:eastAsia="zh-CN"/>
        </w:rPr>
        <w:t>本研究具有重要的理论和实践意义。</w:t>
      </w:r>
    </w:p>
    <w:p w14:paraId="479B83E2">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在理论层面，本研究立足于设计学视角，并与交通工程、心理学以及行为科学相融合，弥补了校园交通安全领域内工程措施与人文因素相分离的缺陷，为校园交通安全研究开辟新的视角。当前，校园交通安全相关研究大多聚焦于工程举措或行政管理办法。尽管这些举措在一定程度上提升了个体参与校园共享道路交通行为的规范性，但常常忽略了行为背后的心理认知要素。本课题将引入行为科学视角，着重考察行人和骑行者对交通安全的主观认知与行为意向，从心理动机层面剖析不安全行为的成因。本研究成果将在一定程度上丰富高校共享道路安全管理的理论体系，有助于克服单纯依靠工程和管理手段的局限性。 </w:t>
      </w:r>
    </w:p>
    <w:p w14:paraId="42652FBD">
      <w:pPr>
        <w:pStyle w:val="4"/>
        <w:rPr>
          <w:rFonts w:hint="default" w:ascii="Times New Roman" w:hAnsi="Times New Roman" w:cs="Times New Roman"/>
          <w:lang w:val="en-US" w:eastAsia="zh-CN"/>
        </w:rPr>
      </w:pPr>
      <w:r>
        <w:rPr>
          <w:rFonts w:hint="default" w:ascii="Times New Roman" w:hAnsi="Times New Roman" w:cs="Times New Roman"/>
          <w:lang w:val="en-US" w:eastAsia="zh-CN"/>
        </w:rPr>
        <w:t>从实践层面来看，本课题紧密贴合当下校园安全管理的紧迫需求。课题的研究成果将为校园交通规划与管理提供科学支撑，为构建“安全校园”与“绿色校园”提供实践性参考。同时，本课题将基于理论成果生成的视觉设计策略，优化高校共享道路中参与者的交通行为，降低交通冲突概率，增强师生出行的安全感。此外，本研究与国家交通安全与地区可持续发展战略相契合，为高校安全研究领域提供应用推广方案。</w:t>
      </w:r>
    </w:p>
    <w:p w14:paraId="4DCFD65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kern w:val="2"/>
          <w:sz w:val="24"/>
          <w:szCs w:val="24"/>
          <w:lang w:val="en-US" w:eastAsia="zh-CN" w:bidi="ar-SA"/>
        </w:rPr>
      </w:pPr>
    </w:p>
    <w:p w14:paraId="159399C1">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2课题研究现状及目标</w:t>
      </w:r>
    </w:p>
    <w:p w14:paraId="4BC02344">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2.1课题研究现状</w:t>
      </w:r>
    </w:p>
    <w:p w14:paraId="3B88E0AD">
      <w:pPr>
        <w:pStyle w:val="3"/>
        <w:spacing w:before="100" w:after="300" w:line="400" w:lineRule="exact"/>
        <w:rPr>
          <w:rFonts w:hint="default" w:ascii="黑体" w:hAnsi="黑体" w:eastAsia="黑体"/>
          <w:b w:val="0"/>
          <w:bCs w:val="0"/>
          <w:sz w:val="28"/>
          <w:szCs w:val="28"/>
          <w:lang w:val="en-US" w:eastAsia="zh-CN"/>
        </w:rPr>
      </w:pPr>
      <w:r>
        <w:rPr>
          <w:rFonts w:hint="eastAsia" w:ascii="黑体" w:hAnsi="黑体" w:eastAsia="黑体"/>
          <w:b w:val="0"/>
          <w:bCs w:val="0"/>
          <w:sz w:val="28"/>
          <w:szCs w:val="28"/>
          <w:lang w:val="en-US" w:eastAsia="zh-CN"/>
        </w:rPr>
        <w:t>2.1.1</w:t>
      </w:r>
      <w:r>
        <w:rPr>
          <w:rFonts w:hint="default" w:ascii="黑体" w:hAnsi="黑体" w:eastAsia="黑体"/>
          <w:b w:val="0"/>
          <w:bCs w:val="0"/>
          <w:sz w:val="28"/>
          <w:szCs w:val="28"/>
          <w:lang w:val="en-US" w:eastAsia="zh-CN"/>
        </w:rPr>
        <w:t>共享道路交通冲突识别方法研究</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共享道路交通安全研究的首要任务是精准识别行为冲突并界定空间热点。视频观测技术为这一领域带来了突破性进展。针对深圳共享路径的一项研究通过部署摄像头和轨迹分析</w:t>
      </w:r>
      <w:r>
        <w:rPr>
          <w:rFonts w:hint="default" w:ascii="Times New Roman" w:hAnsi="Times New Roman" w:cs="Times New Roman"/>
          <w:lang w:val="en-US" w:eastAsia="zh-CN"/>
          <w:vertAlign w:val="superscript"/>
        </w:rPr>
        <w:t xml:space="preserve">[3]</w:t>
      </w:r>
      <w:r>
        <w:rPr>
          <w:rFonts w:hint="default" w:ascii="Times New Roman" w:hAnsi="Times New Roman" w:cs="Times New Roman"/>
          <w:lang w:val="en-US" w:eastAsia="zh-CN"/>
        </w:rPr>
        <w:t xml:space="preserve">，将1164起冲突分类为潜在、轻微和严重三个层级，并采用SMOTE增强随机森林建模识别出10个关键影响因素。其研究结果表明：当行人流量较高或骑行者违章时，冲突更易演化为严重险情。这一研究结果还提示在人车混行的校园空间中，不规范行为是诱发冲突的主要因素。此外，在空间热点识别方面，研究采用泊松对数正态模型结合机器学习方法，成功定位城镇层面的事故热点区域。然而，现有研究仅从客观层面分析发生交通冲突的具体问题，如何从交通参与者的主观层面分析发生冲突的原因仍需要深入探讨。</w:t>
      </w:r>
    </w:p>
    <w:p w14:paraId="376473E8">
      <w:pPr>
        <w:pStyle w:val="3"/>
        <w:spacing w:before="100" w:after="300" w:line="400" w:lineRule="exact"/>
        <w:rPr>
          <w:rFonts w:hint="default" w:ascii="黑体" w:hAnsi="黑体" w:eastAsia="黑体"/>
          <w:b w:val="0"/>
          <w:bCs w:val="0"/>
          <w:sz w:val="28"/>
          <w:szCs w:val="28"/>
          <w:lang w:val="en-US" w:eastAsia="zh-CN"/>
        </w:rPr>
      </w:pPr>
      <w:r>
        <w:rPr>
          <w:rFonts w:hint="eastAsia" w:ascii="黑体" w:hAnsi="黑体" w:eastAsia="黑体"/>
          <w:b w:val="0"/>
          <w:bCs w:val="0"/>
          <w:sz w:val="28"/>
          <w:szCs w:val="28"/>
          <w:lang w:val="en-US" w:eastAsia="zh-CN"/>
        </w:rPr>
        <w:t>2.1.2面向校园交通环境特征的主观认知评价</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研究人员还探索了客观环境如何通过主观感知影响行为选择。国内外研究均探讨了校园道路使用者的主观安全感受及影响因素</w:t>
      </w:r>
      <w:r>
        <w:rPr>
          <w:rFonts w:hint="default" w:ascii="Times New Roman" w:hAnsi="Times New Roman" w:cs="Times New Roman"/>
          <w:lang w:val="en-US" w:eastAsia="zh-CN"/>
          <w:vertAlign w:val="superscript"/>
        </w:rPr>
        <w:t xml:space="preserve">[4-5]</w:t>
      </w:r>
      <w:r>
        <w:rPr>
          <w:rFonts w:hint="default" w:ascii="Times New Roman" w:hAnsi="Times New Roman" w:cs="Times New Roman"/>
          <w:lang w:val="en-US" w:eastAsia="zh-CN"/>
        </w:rPr>
        <w:t xml:space="preserve">。一些研究采用自行车服务水平（Bicycle Level of Service，BLOS）或路径行人舒适度指数（Path User Comfort Equivalent， PUCE ）等相关方法对校园交通环境特征进行测度</w:t>
      </w:r>
      <w:r>
        <w:rPr>
          <w:rFonts w:hint="default" w:ascii="Times New Roman" w:hAnsi="Times New Roman" w:cs="Times New Roman"/>
          <w:lang w:val="en-US" w:eastAsia="zh-CN"/>
          <w:vertAlign w:val="superscript"/>
        </w:rPr>
        <w:t xml:space="preserve">[6]</w:t>
      </w:r>
      <w:r>
        <w:rPr>
          <w:rFonts w:hint="default" w:ascii="Times New Roman" w:hAnsi="Times New Roman" w:cs="Times New Roman"/>
          <w:lang w:val="en-US" w:eastAsia="zh-CN"/>
        </w:rPr>
        <w:t xml:space="preserve">，发现人行道宽度、连通性、照明等因素直接影响行人舒适度和安全感知。天津大学通过分析157段校园道路，发现步道条件改善可提高行人流量与安全感，而狭窄或缺乏无障碍的人行道会迫使行人进入车行道，并降低安全舒适度。中东地区的校园步行友好性研究表明，人行道品质和设施完善度与学生的步行意愿显著相关。此类客观测量数据为解释环境－行为关系的问题提供了数据支撑。然而，现有研究虽然认识到校园交通环境特征与道路参与者主观认知具有一定的关联性，但如何将主观认知转化为具体的交通环境优化策略，并通过相关设计引导共享空间中道路参与者的交通安全行为还需要展开深入研究。</w:t>
      </w:r>
    </w:p>
    <w:p w14:paraId="36FD0835">
      <w:pPr>
        <w:pStyle w:val="3"/>
        <w:spacing w:before="100" w:after="300" w:line="400" w:lineRule="exact"/>
        <w:rPr>
          <w:rFonts w:hint="default" w:ascii="黑体" w:hAnsi="黑体" w:eastAsia="黑体"/>
          <w:b w:val="0"/>
          <w:bCs w:val="0"/>
          <w:sz w:val="28"/>
          <w:szCs w:val="28"/>
          <w:lang w:val="en-US" w:eastAsia="zh-CN"/>
        </w:rPr>
      </w:pPr>
      <w:r>
        <w:rPr>
          <w:rFonts w:hint="eastAsia" w:ascii="黑体" w:hAnsi="黑体" w:eastAsia="黑体"/>
          <w:b w:val="0"/>
          <w:bCs w:val="0"/>
          <w:sz w:val="28"/>
          <w:szCs w:val="28"/>
          <w:lang w:val="en-US" w:eastAsia="zh-CN"/>
        </w:rPr>
        <w:t>2.1.3共享道路参与者行为特征与冲突形成机理研究</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在识别客观冲突基础上，理解心理认知过程成为预测和改变不安全行为的关键。基于计划行为理论（Theory of Planned Behavior， TPB）、合理行为理论（Theory of Reasoned Action，TRA）与技术接受模型（Technology Acceptance Model，TAM）的理论框架</w:t>
      </w:r>
      <w:r>
        <w:rPr>
          <w:rFonts w:hint="default" w:ascii="Times New Roman" w:hAnsi="Times New Roman" w:cs="Times New Roman"/>
          <w:lang w:val="en-US" w:eastAsia="zh-CN"/>
          <w:vertAlign w:val="superscript"/>
        </w:rPr>
        <w:t xml:space="preserve">[7-9]</w:t>
      </w:r>
      <w:r>
        <w:rPr>
          <w:rFonts w:hint="default" w:ascii="Times New Roman" w:hAnsi="Times New Roman" w:cs="Times New Roman"/>
          <w:lang w:val="en-US" w:eastAsia="zh-CN"/>
        </w:rPr>
        <w:t xml:space="preserve">，有研究人员针对408名校园内的电动自行车用户开展了结构方程模型分析</w:t>
      </w:r>
      <w:r>
        <w:rPr>
          <w:rFonts w:hint="default" w:ascii="Times New Roman" w:hAnsi="Times New Roman" w:cs="Times New Roman"/>
          <w:lang w:val="en-US" w:eastAsia="zh-CN"/>
          <w:vertAlign w:val="superscript"/>
        </w:rPr>
        <w:t xml:space="preserve">[10]</w:t>
      </w:r>
      <w:r>
        <w:rPr>
          <w:rFonts w:hint="default" w:ascii="Times New Roman" w:hAnsi="Times New Roman" w:cs="Times New Roman"/>
          <w:lang w:val="en-US" w:eastAsia="zh-CN"/>
        </w:rPr>
        <w:t xml:space="preserve">，结果显示感知有用性和易用性等主观认知因素对违规行为（如超速、违规停放、危险充电）的影响最为显著。这一发现具有重要的实践意义：要减少违规行为，不能仅依赖规则制定和惩罚机制，更需从提升合规行为本身的便利性和有用性入手。此外，还有研究人员从态度、主观规范、行为控制感等维度识别影响安全行为的关键心理驱动因素</w:t>
      </w:r>
      <w:r>
        <w:rPr>
          <w:rFonts w:hint="default" w:ascii="Times New Roman" w:hAnsi="Times New Roman" w:cs="Times New Roman"/>
          <w:lang w:val="en-US" w:eastAsia="zh-CN"/>
          <w:vertAlign w:val="superscript"/>
        </w:rPr>
        <w:t xml:space="preserve">[11]</w:t>
      </w:r>
      <w:r>
        <w:rPr>
          <w:rFonts w:hint="default" w:ascii="Times New Roman" w:hAnsi="Times New Roman" w:cs="Times New Roman"/>
          <w:lang w:val="en-US" w:eastAsia="zh-CN"/>
        </w:rPr>
        <w:t xml:space="preserve">，为理解校园交通参与者的决策过程提供了理论依据。同时，有研究人员利用AIGC工具生成的场景图片模拟行人和骑行者的交会场景</w:t>
      </w:r>
      <w:r>
        <w:rPr>
          <w:rFonts w:hint="default" w:ascii="Times New Roman" w:hAnsi="Times New Roman" w:cs="Times New Roman"/>
          <w:lang w:val="en-US" w:eastAsia="zh-CN"/>
          <w:vertAlign w:val="superscript"/>
        </w:rPr>
        <w:t xml:space="preserve">[12]</w:t>
      </w:r>
      <w:r>
        <w:rPr>
          <w:rFonts w:hint="default" w:ascii="Times New Roman" w:hAnsi="Times New Roman" w:cs="Times New Roman"/>
          <w:lang w:val="en-US" w:eastAsia="zh-CN"/>
        </w:rPr>
        <w:t xml:space="preserve">，并发现：行人提早避让、设置多车道步道等措施能有效降低碰撞风险感知。研究人员基于研究结果，还通过精确操控情境变量揭示风险感知形成认知心理模型</w:t>
      </w:r>
      <w:r>
        <w:rPr>
          <w:rFonts w:hint="default" w:ascii="Times New Roman" w:hAnsi="Times New Roman" w:cs="Times New Roman"/>
          <w:lang w:val="en-US" w:eastAsia="zh-CN"/>
          <w:vertAlign w:val="superscript"/>
        </w:rPr>
        <w:t xml:space="preserve">[13]</w:t>
      </w:r>
      <w:r>
        <w:rPr>
          <w:rFonts w:hint="default" w:ascii="Times New Roman" w:hAnsi="Times New Roman" w:cs="Times New Roman"/>
          <w:lang w:val="en-US" w:eastAsia="zh-CN"/>
        </w:rPr>
        <w:t xml:space="preserve">。然而，心理模型研究在理论应用与实践验证间存在显著鸿沟。在复杂的校园交通共享道路中，交通参与者的认知意图与行为转化机制仍旧相对模糊。</w:t>
      </w:r>
    </w:p>
    <w:p w14:paraId="1C6054A5">
      <w:pPr>
        <w:pStyle w:val="3"/>
        <w:spacing w:before="100" w:after="300" w:line="400" w:lineRule="exact"/>
        <w:rPr>
          <w:rFonts w:hint="eastAsia" w:ascii="黑体" w:hAnsi="黑体" w:eastAsia="黑体"/>
          <w:b w:val="0"/>
          <w:bCs w:val="0"/>
          <w:sz w:val="28"/>
          <w:szCs w:val="28"/>
          <w:lang w:val="en-US" w:eastAsia="zh-CN"/>
        </w:rPr>
      </w:pPr>
      <w:r>
        <w:rPr>
          <w:rFonts w:hint="eastAsia" w:ascii="黑体" w:hAnsi="黑体" w:eastAsia="黑体"/>
          <w:b w:val="0"/>
          <w:bCs w:val="0"/>
          <w:sz w:val="28"/>
          <w:szCs w:val="28"/>
          <w:lang w:val="en-US" w:eastAsia="zh-CN"/>
        </w:rPr>
        <w:t>2.1.4高校共享道路安全引导策略研究</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为提高高校共享道路交通的安全性，国内外研究在工程、教育和管理等领域提出了多样化的设计干预策略。在工程设计上，通过增设或完善自行车道和人行道、设置物理隔离、优化人行横道和信号灯等措施，可明显减少行人与车辆直接冲突的机会</w:t>
      </w:r>
      <w:r>
        <w:rPr>
          <w:rFonts w:hint="default" w:ascii="Times New Roman" w:hAnsi="Times New Roman" w:cs="Times New Roman"/>
          <w:lang w:val="en-US" w:eastAsia="zh-CN"/>
          <w:vertAlign w:val="superscript"/>
        </w:rPr>
        <w:t xml:space="preserve">[14-15]</w:t>
      </w:r>
      <w:r>
        <w:rPr>
          <w:rFonts w:hint="default" w:ascii="Times New Roman" w:hAnsi="Times New Roman" w:cs="Times New Roman"/>
          <w:lang w:val="en-US" w:eastAsia="zh-CN"/>
        </w:rPr>
        <w:t xml:space="preserve">。同时，有研究证实：提供连续且宽敞的步行和骑行空间、改善照明和指引标识，有助于提升使用者的安全感并规避危险交通行为。在产品设计中，Kegalle等人开发了电动滑板车的自动警报系统，通过语音提示和铃声增强骑行者与行人之间的沟通，显著提高了行人对周边车辆接近的感知度，减少了共享交通环境中的突然冲突。此外，许多校园开始尝试部署主动感知技术：利用视频监控、雷达传感器等组成物联网网络，实时监测交通流与冲突情况，从而及时预警危险。例如，地理围栏技术（Geofencing）在共享电动自行车管理中被广泛应用，使车辆一旦驶入特定区域就自动限速或发出提醒，并引导车辆停放到指定区域。然而，当前研究未充分从设计角度考虑在校园共享交通环境下行人与非机动车的交通需求和行为动机的关联性，这导致实际产品在实际环境中的适用性大打折扣。</w:t>
      </w:r>
    </w:p>
    <w:p w14:paraId="161E67D6">
      <w:pPr>
        <w:pStyle w:val="4"/>
        <w:rPr>
          <w:rFonts w:hint="default" w:ascii="Times New Roman" w:hAnsi="Times New Roman" w:cs="Times New Roman"/>
          <w:lang w:val="en-US" w:eastAsia="zh-CN"/>
        </w:rPr>
      </w:pPr>
      <w:r>
        <w:rPr>
          <w:rFonts w:hint="default" w:ascii="Times New Roman" w:hAnsi="Times New Roman" w:cs="Times New Roman"/>
          <w:lang w:val="en-US" w:eastAsia="zh-CN"/>
        </w:rPr>
        <w:t>综上所述，国内外研究人员在高校共享道路交通安全领域已积累了相当的研究基础并取得了阶段性进展，但彼此研究间缺乏有机联系，并很少基于理论研究成果生成相匹配的应用策略。综上，本研究认为：目前针对高校共享道路交通冲突机理的系统性研究，以及提升共享道路安全性的实践策略研究均</w:t>
      </w:r>
      <w:r>
        <w:rPr>
          <w:rFonts w:hint="eastAsia" w:ascii="Times New Roman" w:hAnsi="Times New Roman" w:cs="Times New Roman"/>
          <w:lang w:val="en-US" w:eastAsia="zh-CN"/>
        </w:rPr>
        <w:t>相对不足</w:t>
      </w:r>
      <w:r>
        <w:rPr>
          <w:rFonts w:hint="default" w:ascii="Times New Roman" w:hAnsi="Times New Roman" w:cs="Times New Roman"/>
          <w:lang w:val="en-US" w:eastAsia="zh-CN"/>
        </w:rPr>
        <w:t xml:space="preserve">。 </w:t>
      </w:r>
    </w:p>
    <w:p w14:paraId="468C9264">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2.2课题研究目标</w:t>
      </w:r>
    </w:p>
    <w:p w14:paraId="7D1F2E0A">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本课题的核心研究问题在于：针对高校共享道路的交通冲突机理开展的系统性研究，以及提升共享道路安全性的实践策略研究均相对不足。  </w:t>
      </w:r>
    </w:p>
    <w:p w14:paraId="110E05A9">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因此，为解决以上研究问题，研究目标如下：本课题聚焦于高校共享道路中的交通安全议题，以行人和骑行者作为研究对象，遵循“特征识别—模型构建—需求识别—策略生成”的研究路径，系统性地探究高校共享道路内部的交通冲突机理，并据此构建共享道路交通参与者的行为模型，进而形成降低共享道路交通冲突的安全引导策略，为营造安全的校园共享交通环境提供理论与实践层面的支撑。 </w:t>
      </w:r>
    </w:p>
    <w:p w14:paraId="5C328F7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kern w:val="2"/>
          <w:sz w:val="24"/>
          <w:szCs w:val="24"/>
          <w:lang w:val="en-US" w:eastAsia="zh-CN" w:bidi="ar-SA"/>
        </w:rPr>
      </w:pPr>
    </w:p>
    <w:p w14:paraId="29BAA49A">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3课题研究路径</w:t>
      </w:r>
      <w:r>
        <w:rPr>
          <w:rFonts w:hint="eastAsia" w:ascii="黑体" w:hAnsi="黑体" w:eastAsia="黑体"/>
          <w:b w:val="0"/>
          <w:bCs w:val="0"/>
          <w:sz w:val="30"/>
          <w:szCs w:val="30"/>
          <w:lang w:val="en-US" w:eastAsia="zh-CN"/>
        </w:rPr>
        <w:t>与方法</w:t>
      </w:r>
    </w:p>
    <w:p w14:paraId="6B899940">
      <w:pPr>
        <w:pStyle w:val="4"/>
        <w:rPr>
          <w:rFonts w:hint="default" w:ascii="Times New Roman" w:hAnsi="Times New Roman" w:cs="Times New Roman"/>
          <w:lang w:val="en-US" w:eastAsia="zh-CN"/>
        </w:rPr>
      </w:pPr>
      <w:r>
        <w:rPr>
          <w:rFonts w:hint="default" w:ascii="Times New Roman" w:hAnsi="Times New Roman" w:cs="Times New Roman"/>
          <w:lang w:val="en-US" w:eastAsia="zh-CN"/>
        </w:rPr>
        <w:t>基于研究问题和目标，本课题构建了四项循序渐进的研究任务</w:t>
      </w:r>
      <w:r>
        <w:rPr>
          <w:rFonts w:hint="eastAsia" w:ascii="Times New Roman" w:hAnsi="Times New Roman" w:cs="Times New Roman"/>
          <w:lang w:val="en-US" w:eastAsia="zh-CN"/>
        </w:rPr>
        <w:t>：第一，高校共享道路交通冲突特征识别</w:t>
      </w:r>
      <w:r>
        <w:rPr>
          <w:rFonts w:hint="default" w:ascii="Times New Roman" w:hAnsi="Times New Roman" w:cs="Times New Roman"/>
          <w:lang w:val="en-US" w:eastAsia="zh-CN"/>
        </w:rPr>
        <w:t>；</w:t>
      </w:r>
      <w:r>
        <w:rPr>
          <w:rFonts w:hint="eastAsia" w:ascii="Times New Roman" w:hAnsi="Times New Roman" w:cs="Times New Roman"/>
          <w:lang w:val="en-US" w:eastAsia="zh-CN"/>
        </w:rPr>
        <w:t>第二，共享道路冲突主体安全认知与行为意图作用机理研究</w:t>
      </w:r>
      <w:r>
        <w:rPr>
          <w:rFonts w:hint="default" w:ascii="Times New Roman" w:hAnsi="Times New Roman" w:cs="Times New Roman"/>
          <w:lang w:val="en-US" w:eastAsia="zh-CN"/>
        </w:rPr>
        <w:t>；</w:t>
      </w:r>
      <w:r>
        <w:rPr>
          <w:rFonts w:hint="eastAsia" w:ascii="Times New Roman" w:hAnsi="Times New Roman" w:cs="Times New Roman"/>
          <w:lang w:val="en-US" w:eastAsia="zh-CN"/>
        </w:rPr>
        <w:t>第三，</w:t>
      </w:r>
      <w:r>
        <w:rPr>
          <w:rFonts w:hint="default" w:ascii="Times New Roman" w:hAnsi="Times New Roman" w:cs="Times New Roman"/>
          <w:lang w:val="en-US" w:eastAsia="zh-CN"/>
        </w:rPr>
        <w:t>共享道路交通冲突主体认知偏差与需求分析；</w:t>
      </w:r>
      <w:r>
        <w:rPr>
          <w:rFonts w:hint="eastAsia" w:ascii="Times New Roman" w:hAnsi="Times New Roman" w:cs="Times New Roman"/>
          <w:lang w:val="en-US" w:eastAsia="zh-CN"/>
        </w:rPr>
        <w:t>第四，</w:t>
      </w:r>
      <w:r>
        <w:rPr>
          <w:rFonts w:hint="default" w:ascii="Times New Roman" w:hAnsi="Times New Roman" w:cs="Times New Roman"/>
          <w:lang w:val="en-US" w:eastAsia="zh-CN"/>
        </w:rPr>
        <w:t>高校共享道路安全引导策略生成与验证。四项研究子任务基于“特征识别</w:t>
      </w:r>
      <w:r>
        <w:rPr>
          <w:rFonts w:hint="eastAsia" w:ascii="Times New Roman" w:hAnsi="Times New Roman" w:cs="Times New Roman"/>
          <w:lang w:val="en-US" w:eastAsia="zh-CN"/>
        </w:rPr>
        <w:t>-</w:t>
      </w:r>
      <w:r>
        <w:rPr>
          <w:rFonts w:hint="default" w:ascii="Times New Roman" w:hAnsi="Times New Roman" w:cs="Times New Roman"/>
          <w:lang w:val="en-US" w:eastAsia="zh-CN"/>
        </w:rPr>
        <w:t>模型构建-需求识别-</w:t>
      </w:r>
      <w:r>
        <w:rPr>
          <w:rFonts w:hint="eastAsia" w:ascii="Times New Roman" w:hAnsi="Times New Roman" w:cs="Times New Roman"/>
          <w:lang w:val="en-US" w:eastAsia="zh-CN"/>
        </w:rPr>
        <w:t>策略生成</w:t>
      </w:r>
      <w:r>
        <w:rPr>
          <w:rFonts w:hint="default" w:ascii="Times New Roman" w:hAnsi="Times New Roman" w:cs="Times New Roman"/>
          <w:lang w:val="en-US" w:eastAsia="zh-CN"/>
        </w:rPr>
        <w:t>”的研究框架，形成</w:t>
      </w:r>
      <w:r>
        <w:rPr>
          <w:rFonts w:hint="eastAsia" w:ascii="Times New Roman" w:hAnsi="Times New Roman" w:cs="Times New Roman"/>
          <w:lang w:val="en-US" w:eastAsia="zh-CN"/>
        </w:rPr>
        <w:t>了完整的</w:t>
      </w:r>
      <w:r>
        <w:rPr>
          <w:rFonts w:hint="default" w:ascii="Times New Roman" w:hAnsi="Times New Roman" w:cs="Times New Roman"/>
          <w:lang w:val="en-US" w:eastAsia="zh-CN"/>
        </w:rPr>
        <w:t>技术路线</w:t>
      </w:r>
      <w:r>
        <w:rPr>
          <w:rFonts w:hint="eastAsia" w:ascii="Times New Roman" w:hAnsi="Times New Roman" w:cs="Times New Roman"/>
          <w:lang w:val="en-US" w:eastAsia="zh-CN"/>
        </w:rPr>
        <w:t>（如图1所示）</w:t>
      </w:r>
      <w:r>
        <w:rPr>
          <w:rFonts w:hint="default" w:ascii="Times New Roman" w:hAnsi="Times New Roman" w:cs="Times New Roman"/>
          <w:lang w:val="en-US" w:eastAsia="zh-CN"/>
        </w:rPr>
        <w:t>。</w:t>
      </w:r>
    </w:p>
    <w:p w14:paraId="5005586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kern w:val="2"/>
          <w:sz w:val="24"/>
          <w:szCs w:val="24"/>
          <w:lang w:eastAsia="zh-CN" w:bidi="ar-SA"/>
        </w:rPr>
        <w:drawing>
          <wp:anchor distT="0" distB="0" distL="114300" distR="114300" simplePos="0" relativeHeight="251670528" behindDoc="0" locked="0" layoutInCell="1" allowOverlap="1">
            <wp:simplePos x="0" y="0"/>
            <wp:positionH relativeFrom="column">
              <wp:posOffset>299720</wp:posOffset>
            </wp:positionH>
            <wp:positionV relativeFrom="paragraph">
              <wp:posOffset>94615</wp:posOffset>
            </wp:positionV>
            <wp:extent cx="4675505" cy="4726305"/>
            <wp:effectExtent l="0" t="0" r="0" b="0"/>
            <wp:wrapSquare wrapText="bothSides"/>
            <wp:docPr id="4" name="图片 4" descr="C:/Users/zm/Desktop/【新【2025-武汉市社科联-技术路线.png【新【2025-武汉市社科联-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zm/Desktop/【新【2025-武汉市社科联-技术路线.png【新【2025-武汉市社科联-技术路线"/>
                    <pic:cNvPicPr>
                      <a:picLocks noChangeAspect="1"/>
                    </pic:cNvPicPr>
                  </pic:nvPicPr>
                  <pic:blipFill>
                    <a:blip r:embed="rId8"/>
                    <a:srcRect t="308" b="919"/>
                    <a:stretch>
                      <a:fillRect/>
                    </a:stretch>
                  </pic:blipFill>
                  <pic:spPr>
                    <a:xfrm>
                      <a:off x="0" y="0"/>
                      <a:ext cx="4675505" cy="4726305"/>
                    </a:xfrm>
                    <a:prstGeom prst="rect">
                      <a:avLst/>
                    </a:prstGeom>
                  </pic:spPr>
                </pic:pic>
              </a:graphicData>
            </a:graphic>
          </wp:anchor>
        </w:drawing>
      </w:r>
      <w:r>
        <w:rPr>
          <w:rFonts w:hint="default" w:ascii="Times New Roman" w:hAnsi="Times New Roman" w:eastAsia="宋体" w:cs="Times New Roman"/>
          <w:sz w:val="24"/>
          <w:szCs w:val="24"/>
          <w:lang w:val="en-US" w:eastAsia="zh-CN"/>
        </w:rPr>
        <w:t>图1</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val="en-US" w:eastAsia="zh-CN"/>
        </w:rPr>
        <w:t>本课题技术路线图</w:t>
      </w:r>
    </w:p>
    <w:p w14:paraId="32F3436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szCs w:val="24"/>
          <w:lang w:val="en-US" w:eastAsia="zh-CN"/>
        </w:rPr>
      </w:pPr>
    </w:p>
    <w:p w14:paraId="47C4B8D0">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3.1高校共享道路交通冲突特征识别</w:t>
      </w:r>
      <w:r>
        <w:rPr>
          <w:rFonts w:hint="eastAsia" w:ascii="黑体" w:hAnsi="黑体" w:eastAsia="黑体"/>
          <w:b w:val="0"/>
          <w:bCs w:val="0"/>
          <w:sz w:val="30"/>
          <w:szCs w:val="30"/>
          <w:lang w:val="en-US" w:eastAsia="zh-CN"/>
        </w:rPr>
        <w:t>方法</w:t>
      </w:r>
    </w:p>
    <w:p w14:paraId="0506DF13">
      <w:pPr>
        <w:pStyle w:val="4"/>
        <w:rPr>
          <w:rFonts w:hint="default" w:ascii="Times New Roman" w:hAnsi="Times New Roman" w:cs="Times New Roman"/>
          <w:lang w:val="en-US" w:eastAsia="zh-CN"/>
        </w:rPr>
      </w:pPr>
      <w:r>
        <w:rPr>
          <w:rFonts w:hint="default" w:ascii="Times New Roman" w:hAnsi="Times New Roman" w:cs="Times New Roman"/>
          <w:lang w:val="en-US" w:eastAsia="zh-CN"/>
        </w:rPr>
        <w:t>本任务旨在通过对高校共享道路的主要交通参与者（行人与骑行者）在校园共享道路中互动行为的观察与分析，揭示在何种情境下易发生冲突以及冲突的严重程度分布，为后续研究提供客观的研究基线。该任务将明确行人与骑行者在校园共享道路中的冲突热点区域，并梳理影响共享空间校园交通安全的关键行为模式。具体研究路径如下。</w:t>
      </w:r>
    </w:p>
    <w:p w14:paraId="0BAB0162">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第一，基于民族志、访谈法及问卷调研法确定校园内人流车流密集且事故隐患较高的观察点，布设摄像设备获取行人与骑行者间的冲突数据；</w:t>
      </w:r>
    </w:p>
    <w:p w14:paraId="104A5DDB">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第二，基于视频分析与人工智能工具共同提取冲突事件，建立“时间-空间-行为”数据，归纳冲突的发生地点、情境和行为类型清单；</w:t>
      </w:r>
    </w:p>
    <w:p w14:paraId="07628E46">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第三，基于分析获得的冲突数据生成冲突热点图，突出行人与骑行者在校园共享空间中冲突高发的路段；</w:t>
      </w:r>
    </w:p>
    <w:p w14:paraId="5D56F186">
      <w:pPr>
        <w:pStyle w:val="4"/>
        <w:rPr>
          <w:rFonts w:hint="default" w:ascii="Times New Roman" w:hAnsi="Times New Roman" w:cs="Times New Roman"/>
          <w:lang w:val="en-US" w:eastAsia="zh-CN"/>
        </w:rPr>
      </w:pPr>
      <w:r>
        <w:rPr>
          <w:rFonts w:hint="default" w:ascii="Times New Roman" w:hAnsi="Times New Roman" w:cs="Times New Roman"/>
          <w:lang w:val="en-US" w:eastAsia="zh-CN"/>
        </w:rPr>
        <w:t>第四，将热点区域的环境特征（如交通组织、标志标线情况）与行为模式对应分析，形成对风险成因的初步假设。</w:t>
      </w:r>
    </w:p>
    <w:p w14:paraId="20725C4E">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3.2</w:t>
      </w:r>
      <w:r>
        <w:rPr>
          <w:rFonts w:hint="eastAsia" w:ascii="黑体" w:hAnsi="黑体" w:eastAsia="黑体"/>
          <w:b w:val="0"/>
          <w:bCs w:val="0"/>
          <w:sz w:val="30"/>
          <w:szCs w:val="30"/>
          <w:lang w:val="en-US" w:eastAsia="zh-CN"/>
        </w:rPr>
        <w:t>共享道路冲突主体安全认知与行为意图作用机理研究方法</w:t>
      </w:r>
    </w:p>
    <w:p w14:paraId="4CD4D7FA">
      <w:pPr>
        <w:pStyle w:val="4"/>
        <w:rPr>
          <w:rFonts w:hint="default" w:ascii="Times New Roman" w:hAnsi="Times New Roman" w:cs="Times New Roman"/>
          <w:lang w:val="en-US" w:eastAsia="zh-CN"/>
        </w:rPr>
      </w:pPr>
      <w:r>
        <w:rPr>
          <w:rFonts w:hint="default" w:ascii="Times New Roman" w:hAnsi="Times New Roman" w:cs="Times New Roman"/>
          <w:lang w:val="en-US" w:eastAsia="zh-CN"/>
        </w:rPr>
        <w:t>本任务针对子任务①调研所得的热点冲突区域，旨在构建解释共享交通参与者安全感知与交通行为意图之间关系的心理学结构模型，通过量化影响安全感知、风险态度以及违规或守规意向的关键心理因素，揭示行人与骑行者在校园共享道路中行动决策机制上的差异。该任务将建立结构方程模型，以阐明安全感知如何作用于行为意图并识别主要影响路径，为后续针对性干预设计提供理论支撑。具体研究路径如下。</w:t>
      </w:r>
    </w:p>
    <w:p w14:paraId="48D40B50">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第一，基于计划行为理论（TPB）、合理行为理论（TRA）和技术接受模型（TAM）构建整合理论框架，并形成相关量表问卷，且量表内容涵盖态度、主观规范、知觉行为控制、感知有用性和易用性等维度；</w:t>
      </w:r>
    </w:p>
    <w:p w14:paraId="366190FF">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第二，基于分层抽样法向校园中共享道路参与者发放问卷，收集安全感知水平、过往冲突经历及行为意图等数据，获取有效样本用于模型构建；</w:t>
      </w:r>
    </w:p>
    <w:p w14:paraId="2626730C">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第三，基于结构方程模型（SEM）进行验证性因子分析和路径分析，采用逐步回归和多群组分析检验行人与骑行者的路径差异；</w:t>
      </w:r>
    </w:p>
    <w:p w14:paraId="22B44525">
      <w:pPr>
        <w:pStyle w:val="4"/>
        <w:rPr>
          <w:rFonts w:hint="default" w:ascii="Times New Roman" w:hAnsi="Times New Roman" w:cs="Times New Roman"/>
          <w:lang w:val="en-US" w:eastAsia="zh-CN"/>
        </w:rPr>
      </w:pPr>
      <w:r>
        <w:rPr>
          <w:rFonts w:hint="default" w:ascii="Times New Roman" w:hAnsi="Times New Roman" w:cs="Times New Roman"/>
          <w:lang w:val="en-US" w:eastAsia="zh-CN"/>
        </w:rPr>
        <w:t>第四，通过模型比较分析高校共享道路的主要交通参与者在心理机制上的异同，提取各自行为意图的决定性因素，分别形成行人与骑行者参与校园共享道路的行为决策模型。</w:t>
      </w:r>
    </w:p>
    <w:p w14:paraId="0397DA5E">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3.3共享道路交通冲突主体认知偏差与需求分析</w:t>
      </w:r>
      <w:r>
        <w:rPr>
          <w:rFonts w:hint="eastAsia" w:ascii="黑体" w:hAnsi="黑体" w:eastAsia="黑体"/>
          <w:b w:val="0"/>
          <w:bCs w:val="0"/>
          <w:sz w:val="30"/>
          <w:szCs w:val="30"/>
          <w:lang w:val="en-US" w:eastAsia="zh-CN"/>
        </w:rPr>
        <w:t>方法</w:t>
      </w:r>
    </w:p>
    <w:p w14:paraId="7C1784FF">
      <w:pPr>
        <w:pStyle w:val="4"/>
        <w:rPr>
          <w:rFonts w:hint="default" w:ascii="Times New Roman" w:hAnsi="Times New Roman" w:cs="Times New Roman"/>
          <w:lang w:val="en-US" w:eastAsia="zh-CN"/>
        </w:rPr>
      </w:pPr>
      <w:r>
        <w:rPr>
          <w:rFonts w:hint="default" w:ascii="Times New Roman" w:hAnsi="Times New Roman" w:cs="Times New Roman"/>
          <w:lang w:val="en-US" w:eastAsia="zh-CN"/>
        </w:rPr>
        <w:t>本研究旨在深入探究高校共享道路客观交通环境要素差异对共享道路参与者主观认知的影响，通过对认知偏差的量化揭示哪些路段或道路要素被用户低估了风险或高估了安全性，并分析导致认知偏差的潜在因素。本研究将识别出需要改进的共享道路交通环境要素以及契合行人与骑行者需求的引导信息类型，从而为安全引导系统设计策略的形成提供实证支撑。 具体研究路径如下。</w:t>
      </w:r>
    </w:p>
    <w:p w14:paraId="1240CCCF">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第一，利用焦点小组通过基于AI生成相应场景的模拟图片探讨受试者在不同设计条件下的主观紧张度和生理反应，获取主观感受的多维数据；</w:t>
      </w:r>
    </w:p>
    <w:p w14:paraId="4AD611BA">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第二，基于相关性分析和偏差系数计算，将主观评分与子任务①中热点冲突区域交通环境特征进行统计比对，识别存在显著认知偏差的路段，剖析视觉线索缺乏、交通规则意识不足等差异成因；</w:t>
      </w:r>
    </w:p>
    <w:p w14:paraId="240EFDB6">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第三，基于深度访谈和用户参与式设计，提炼出在校园共享道路空间中面向共享道路主要参与者的具体需求，构建面向高校共享道路的安全引导策略清单。</w:t>
      </w:r>
    </w:p>
    <w:p w14:paraId="1860B42E">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3.</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高校共享道路安全引导策略生成与验证</w:t>
      </w:r>
      <w:r>
        <w:rPr>
          <w:rFonts w:hint="eastAsia" w:ascii="黑体" w:hAnsi="黑体" w:eastAsia="黑体"/>
          <w:b w:val="0"/>
          <w:bCs w:val="0"/>
          <w:sz w:val="30"/>
          <w:szCs w:val="30"/>
          <w:lang w:val="en-US" w:eastAsia="zh-CN"/>
        </w:rPr>
        <w:t>方法</w:t>
      </w:r>
    </w:p>
    <w:p w14:paraId="62FE1BB6">
      <w:pPr>
        <w:pStyle w:val="4"/>
        <w:rPr>
          <w:rFonts w:hint="default" w:ascii="Times New Roman" w:hAnsi="Times New Roman" w:cs="Times New Roman"/>
          <w:lang w:val="en-US" w:eastAsia="zh-CN"/>
        </w:rPr>
      </w:pPr>
      <w:r>
        <w:rPr>
          <w:rFonts w:hint="default" w:ascii="Times New Roman" w:hAnsi="Times New Roman" w:cs="Times New Roman"/>
          <w:lang w:val="en-US" w:eastAsia="zh-CN"/>
        </w:rPr>
        <w:t>本任务旨在生成高校共享道路的具体安全引导策略，并基于设计学视角构建一套视觉车道引导系统的设计原型，通过道路标识、标线、色彩引导、动态提示装置等视觉元素，改善共享道路主要参与者对空间的感知和行为决策。该任务将构建形成融合人因工程和交互设计原则的系统化解决方案，并进行相应的可用性验证。具体研究路径如下。</w:t>
      </w:r>
    </w:p>
    <w:p w14:paraId="1AEE79D1">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第一，基于子任务③获取的面向高校共享道路的安全引导策略清单，筛选具体的安全引导策略；</w:t>
      </w:r>
    </w:p>
    <w:p w14:paraId="497781B2">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第二，基于设计策略，开展多方案概念设计，通过专家评审和参与式设计确定综合方案，完成包含平面布置、立面提示、信息设计等详细设计内容；</w:t>
      </w:r>
    </w:p>
    <w:p w14:paraId="018799FB">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第三，基于数字建模和原型制作技术，将视觉引导系统嵌入典型校园场景，形成中等保真度的测试原型，基于系统可用性量表（SUS - System Usability Scale）对其进行可用性测试并进行调整；</w:t>
      </w:r>
    </w:p>
    <w:p w14:paraId="52237131">
      <w:pPr>
        <w:pStyle w:val="4"/>
        <w:rPr>
          <w:rFonts w:hint="default" w:ascii="Times New Roman" w:hAnsi="Times New Roman" w:cs="Times New Roman"/>
          <w:lang w:val="en-US" w:eastAsia="zh-CN"/>
        </w:rPr>
      </w:pPr>
      <w:r>
        <w:rPr>
          <w:rFonts w:hint="default" w:ascii="Times New Roman" w:hAnsi="Times New Roman" w:cs="Times New Roman"/>
          <w:lang w:val="en-US" w:eastAsia="zh-CN"/>
        </w:rPr>
        <w:t>第四，基于AI生成相应场景的模拟图片，利用BLOS及 PUCE 模型对设计原型进行安全性量化评估，以验证系统在减少冲突事件、规范通行行为方面的效能，并对设计原型进行优化和调整。</w:t>
      </w:r>
    </w:p>
    <w:p w14:paraId="60C7FD3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p>
    <w:p w14:paraId="272DF3A6">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课题</w:t>
      </w:r>
      <w:r>
        <w:rPr>
          <w:rFonts w:hint="default" w:ascii="黑体" w:hAnsi="黑体" w:eastAsia="黑体"/>
          <w:b w:val="0"/>
          <w:bCs w:val="0"/>
          <w:sz w:val="30"/>
          <w:szCs w:val="30"/>
          <w:lang w:val="en-US" w:eastAsia="zh-CN"/>
        </w:rPr>
        <w:t>研究流程及结果</w:t>
      </w:r>
    </w:p>
    <w:p w14:paraId="287AA0DF">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4.1高校共享道路交通</w:t>
      </w:r>
      <w:r>
        <w:rPr>
          <w:rFonts w:hint="eastAsia" w:ascii="黑体" w:hAnsi="黑体" w:eastAsia="黑体"/>
          <w:b w:val="0"/>
          <w:bCs w:val="0"/>
          <w:sz w:val="30"/>
          <w:szCs w:val="30"/>
          <w:lang w:val="en-US" w:eastAsia="zh-CN"/>
        </w:rPr>
        <w:t>冲突</w:t>
      </w:r>
      <w:r>
        <w:rPr>
          <w:rFonts w:hint="default" w:ascii="黑体" w:hAnsi="黑体" w:eastAsia="黑体"/>
          <w:b w:val="0"/>
          <w:bCs w:val="0"/>
          <w:sz w:val="30"/>
          <w:szCs w:val="30"/>
          <w:lang w:val="en-US" w:eastAsia="zh-CN"/>
        </w:rPr>
        <w:t>识别</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共享道路（Shared Space）概念最早由荷兰交通工程师Hans Monderman提出</w:t>
      </w:r>
      <w:r>
        <w:rPr>
          <w:rFonts w:hint="default" w:ascii="Times New Roman" w:hAnsi="Times New Roman" w:cs="Times New Roman"/>
          <w:lang w:val="en-US" w:eastAsia="zh-CN"/>
          <w:vertAlign w:val="superscript"/>
        </w:rPr>
        <w:t xml:space="preserve">[16]</w:t>
      </w:r>
      <w:r>
        <w:rPr>
          <w:rFonts w:hint="default" w:ascii="Times New Roman" w:hAnsi="Times New Roman" w:cs="Times New Roman"/>
          <w:lang w:val="en-US" w:eastAsia="zh-CN"/>
        </w:rPr>
        <w:t xml:space="preserve">，强调通过模糊化道路边界、减少交通标识等设计手段，促使不同交通参与者通过眼神交流和社会协商来协调路权使用。这一理念在欧洲多个城市的实践中取得了积极成效，但其在高密度、高流量的校园环境中的适用性仍存在争议</w:t>
      </w:r>
      <w:r>
        <w:rPr>
          <w:rFonts w:hint="default" w:ascii="Times New Roman" w:hAnsi="Times New Roman" w:cs="Times New Roman"/>
          <w:lang w:val="en-US" w:eastAsia="zh-CN"/>
          <w:vertAlign w:val="superscript"/>
        </w:rPr>
        <w:t xml:space="preserve">[17-18]</w:t>
      </w:r>
      <w:r>
        <w:rPr>
          <w:rFonts w:hint="default" w:ascii="Times New Roman" w:hAnsi="Times New Roman" w:cs="Times New Roman"/>
          <w:lang w:val="en-US" w:eastAsia="zh-CN"/>
        </w:rPr>
        <w:t xml:space="preserve">。从设计学的视角来看，高校共享道路不仅是一个物理空间，更是一个复杂的“人-环境-行为”交互系统</w:t>
      </w:r>
      <w:r>
        <w:rPr>
          <w:rFonts w:hint="default" w:ascii="Times New Roman" w:hAnsi="Times New Roman" w:cs="Times New Roman"/>
          <w:lang w:val="en-US" w:eastAsia="zh-CN"/>
          <w:vertAlign w:val="superscript"/>
        </w:rPr>
        <w:t xml:space="preserve">[19-20]</w:t>
      </w:r>
      <w:r>
        <w:rPr>
          <w:rFonts w:hint="default" w:ascii="Times New Roman" w:hAnsi="Times New Roman" w:cs="Times New Roman"/>
          <w:lang w:val="en-US" w:eastAsia="zh-CN"/>
        </w:rPr>
        <w:t xml:space="preserve">。在此系统中，不同共享道路交通参与者的认知差异、行为模式和空间需求相互作用，共同塑造了道路使用的现实图景。行人追求步行的自由度和安全感，骑行者关注通行效率和路线连续性，两者在共享道路中的需求冲突构成了校园交通安全问题的核心矛盾。因此，深入理解此类冲突的分布特征、发生机制和影响因素，对于设计有效的安全引导系统具有重要的理论价值和实践意义。</w:t>
      </w:r>
    </w:p>
    <w:p w14:paraId="36E819A8">
      <w:pPr>
        <w:pStyle w:val="4"/>
        <w:rPr>
          <w:rFonts w:hint="default" w:ascii="Times New Roman" w:hAnsi="Times New Roman" w:cs="Times New Roman"/>
          <w:lang w:val="en-US" w:eastAsia="zh-CN"/>
        </w:rPr>
      </w:pPr>
      <w:r>
        <w:rPr>
          <w:rFonts w:hint="default" w:ascii="Times New Roman" w:hAnsi="Times New Roman" w:cs="Times New Roman"/>
          <w:lang w:val="en-US" w:eastAsia="zh-CN"/>
        </w:rPr>
        <w:t>研究场地选择湖北工业大学主校区为研究对象，该校区占地面积约1600亩，在校师生约3万人，校园内道路总长约8公里，道路总面积约63500平方米，具有典型的中国高校校园交通特征。本研究立足于人本设计理念，通过系统的实证研究方法，旨在揭示校园共享道路</w:t>
      </w:r>
      <w:r>
        <w:rPr>
          <w:rFonts w:hint="eastAsia" w:ascii="Times New Roman" w:hAnsi="Times New Roman" w:cs="Times New Roman"/>
          <w:lang w:val="en-US" w:eastAsia="zh-CN"/>
        </w:rPr>
        <w:t>的主要交通参与者，即</w:t>
      </w:r>
      <w:r>
        <w:rPr>
          <w:rFonts w:hint="default" w:ascii="Times New Roman" w:hAnsi="Times New Roman" w:cs="Times New Roman"/>
          <w:lang w:val="en-US" w:eastAsia="zh-CN"/>
        </w:rPr>
        <w:t>行人与骑行者冲突的分布规律和特征模式。</w:t>
      </w:r>
      <w:r>
        <w:rPr>
          <w:rFonts w:hint="eastAsia" w:ascii="Times New Roman" w:hAnsi="Times New Roman" w:cs="Times New Roman"/>
          <w:lang w:val="en-US" w:eastAsia="zh-CN"/>
        </w:rPr>
        <w:t>因此，</w:t>
      </w:r>
      <w:r>
        <w:rPr>
          <w:rFonts w:hint="default" w:ascii="Times New Roman" w:hAnsi="Times New Roman" w:cs="Times New Roman"/>
          <w:lang w:val="en-US" w:eastAsia="zh-CN"/>
        </w:rPr>
        <w:t>本任务研究将解释：冲突事件在时空维度上如何分布？哪些行为模式容易引发冲突？</w:t>
      </w:r>
      <w:r>
        <w:rPr>
          <w:rFonts w:hint="eastAsia" w:ascii="Times New Roman" w:hAnsi="Times New Roman" w:cs="Times New Roman"/>
          <w:lang w:val="en-US" w:eastAsia="zh-CN"/>
        </w:rPr>
        <w:t>交通环境特征要素</w:t>
      </w:r>
      <w:r>
        <w:rPr>
          <w:rFonts w:hint="default" w:ascii="Times New Roman" w:hAnsi="Times New Roman" w:cs="Times New Roman"/>
          <w:lang w:val="en-US" w:eastAsia="zh-CN"/>
        </w:rPr>
        <w:t>如何影响冲突的发生？通过解答以上研究问题，本研究期望为后续的设计介入提供科学依据，最终构建一个安全、高效、人性化的校园道路共享交通系统。</w:t>
      </w:r>
    </w:p>
    <w:p w14:paraId="673CF6BE">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4.1.1</w:t>
      </w:r>
      <w:r>
        <w:rPr>
          <w:rFonts w:hint="eastAsia" w:ascii="黑体" w:hAnsi="黑体" w:eastAsia="黑体"/>
          <w:b w:val="0"/>
          <w:bCs w:val="0"/>
          <w:sz w:val="30"/>
          <w:szCs w:val="30"/>
          <w:lang w:val="en-US" w:eastAsia="zh-CN"/>
        </w:rPr>
        <w:t>校园共享交通道路冲突事件的数据采集</w:t>
      </w:r>
    </w:p>
    <w:p w14:paraId="79EABB6B">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本研究采用混合方法研究设计，整合定量观察与定性访谈，以获得对校园共享道路冲突现象的全面理解。研究</w:t>
      </w:r>
      <w:r>
        <w:rPr>
          <w:rFonts w:hint="eastAsia" w:ascii="Times New Roman" w:hAnsi="Times New Roman" w:cs="Times New Roman"/>
          <w:lang w:val="en-US" w:eastAsia="zh-CN"/>
        </w:rPr>
        <w:t>共</w:t>
      </w:r>
      <w:r>
        <w:rPr>
          <w:rFonts w:hint="default" w:ascii="Times New Roman" w:hAnsi="Times New Roman" w:cs="Times New Roman"/>
          <w:lang w:val="en-US" w:eastAsia="zh-CN"/>
        </w:rPr>
        <w:t>分为四个阶段：（1）研究准备阶段，通过实地踏勘和初步观察确定研究范围和观察点；（2）数据采集阶段，部署视频设备进行长期观察，同时开展深度访谈；（3）数据分析阶段，运用计算机视觉技术提取冲突事件，结合人工标注确保准确性，并基于时间冲突指标（Time-to-Collision,TTC）对冲突进行分类；（4）结果验证阶段，通过专家评议和用户反馈验证研究发现的有效性。</w:t>
      </w:r>
    </w:p>
    <w:p w14:paraId="776ABD79">
      <w:pPr>
        <w:pStyle w:val="4"/>
        <w:ind w:left="0" w:leftChars="0" w:firstLine="0" w:firstLineChars="0"/>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（1）研究准备阶段</w:t>
      </w:r>
    </w:p>
    <w:p w14:paraId="1F7B9853">
      <w:pPr>
        <w:pStyle w:val="4"/>
        <w:rPr>
          <w:rFonts w:hint="default" w:ascii="Times New Roman" w:hAnsi="Times New Roman" w:cs="Times New Roman"/>
          <w:lang w:val="en-US" w:eastAsia="zh-CN"/>
        </w:rPr>
      </w:pPr>
      <w:r>
        <w:rPr>
          <w:rFonts w:hint="default" w:ascii="Times New Roman" w:hAnsi="Times New Roman" w:cs="Times New Roman"/>
          <w:lang w:val="en-US" w:eastAsia="zh-CN"/>
        </w:rPr>
        <w:t>实验准备阶段历时一个月，主要完成了场地勘察、设备部署和团队培训三项工作。研究团队首先进行了为期两周的前期勘察，通过实地观察、历史数据分析和专家咨询，最终确定了校园内共12个关键观察点位</w:t>
      </w:r>
      <w:r>
        <w:rPr>
          <w:rFonts w:hint="eastAsia" w:ascii="Times New Roman" w:hAnsi="Times New Roman" w:cs="Times New Roman"/>
          <w:lang w:val="en-US" w:eastAsia="zh-CN"/>
        </w:rPr>
        <w:t>（</w:t>
      </w:r>
      <w:r>
        <w:rPr>
          <w:rFonts w:hint="default" w:ascii="Times New Roman" w:hAnsi="Times New Roman" w:cs="Times New Roman"/>
          <w:lang w:val="en-US" w:eastAsia="zh-CN"/>
        </w:rPr>
        <w:t>如表1所示</w:t>
      </w:r>
      <w:r>
        <w:rPr>
          <w:rFonts w:hint="eastAsia" w:ascii="Times New Roman" w:hAnsi="Times New Roman" w:cs="Times New Roman"/>
          <w:lang w:val="en-US" w:eastAsia="zh-CN"/>
        </w:rPr>
        <w:t>）</w:t>
      </w:r>
      <w:r>
        <w:rPr>
          <w:rFonts w:hint="default" w:ascii="Times New Roman" w:hAnsi="Times New Roman" w:cs="Times New Roman"/>
          <w:lang w:val="en-US" w:eastAsia="zh-CN"/>
        </w:rPr>
        <w:t>，覆盖教学楼群入口、食堂周边、主要道路交叉口、宿舍区连接道路和图书馆广场等不同类型行人与骑行者的共享道路场景，如</w:t>
      </w:r>
      <w:r>
        <w:rPr>
          <w:rFonts w:hint="eastAsia" w:ascii="Times New Roman" w:hAnsi="Times New Roman" w:cs="Times New Roman"/>
          <w:lang w:val="en-US" w:eastAsia="zh-CN"/>
        </w:rPr>
        <w:t>图2</w:t>
      </w:r>
      <w:r>
        <w:rPr>
          <w:rFonts w:hint="default" w:ascii="Times New Roman" w:hAnsi="Times New Roman" w:cs="Times New Roman"/>
          <w:lang w:val="en-US" w:eastAsia="zh-CN"/>
        </w:rPr>
        <w:t>所示。</w:t>
      </w:r>
    </w:p>
    <w:p w14:paraId="1F9F922B">
      <w:pPr>
        <w:pStyle w:val="4"/>
        <w:rPr>
          <w:rFonts w:hint="default" w:ascii="Times New Roman" w:hAnsi="Times New Roman" w:cs="Times New Roman"/>
          <w:lang w:val="en-US" w:eastAsia="zh-CN"/>
        </w:rPr>
      </w:pPr>
      <w:r>
        <w:rPr>
          <w:rFonts w:hint="default" w:ascii="Times New Roman" w:hAnsi="Times New Roman" w:cs="Times New Roman"/>
          <w:lang w:val="en-US" w:eastAsia="zh-CN"/>
        </w:rPr>
        <w:t>设备部署方面，在每个观察点使用一台苹果手机作为高清摄像（分辨率1920×1080，帧率30fps）。摄像头高度设置在1.8米，俯角约30-45度，以获得最佳的行人和骑行者识别效果，并可对录制过程进行实时监控。所有录像素材存储于云端网盘中，以方便对素材进行存储和传输。</w:t>
      </w:r>
    </w:p>
    <w:p w14:paraId="01BCCF2E">
      <w:pPr>
        <w:pStyle w:val="4"/>
        <w:rPr>
          <w:rFonts w:hint="default" w:ascii="Times New Roman" w:hAnsi="Times New Roman" w:cs="Times New Roman"/>
          <w:lang w:val="en-US" w:eastAsia="zh-CN"/>
        </w:rPr>
      </w:pPr>
    </w:p>
    <w:p w14:paraId="7260E3D8">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表1</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校园共享道路观测点</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4"/>
        <w:gridCol w:w="4296"/>
        <w:gridCol w:w="1576"/>
      </w:tblGrid>
      <w:tr w14:paraId="4ED92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blHeader/>
          <w:jc w:val="center"/>
        </w:trPr>
        <w:tc>
          <w:tcPr>
            <w:tcW w:w="0" w:type="auto"/>
            <w:tcBorders>
              <w:top w:val="single" w:color="000000" w:sz="4" w:space="0"/>
              <w:left w:val="nil"/>
              <w:bottom w:val="single" w:color="000000" w:sz="12" w:space="0"/>
              <w:right w:val="nil"/>
            </w:tcBorders>
            <w:shd w:val="clear" w:color="auto" w:fill="FFFFFF"/>
            <w:vAlign w:val="center"/>
          </w:tcPr>
          <w:p w14:paraId="43362F53">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校园共享道路场景</w:t>
            </w:r>
          </w:p>
        </w:tc>
        <w:tc>
          <w:tcPr>
            <w:tcW w:w="0" w:type="auto"/>
            <w:tcBorders>
              <w:top w:val="single" w:color="000000" w:sz="4" w:space="0"/>
              <w:left w:val="nil"/>
              <w:bottom w:val="single" w:color="000000" w:sz="12" w:space="0"/>
              <w:right w:val="nil"/>
            </w:tcBorders>
            <w:shd w:val="clear" w:color="auto" w:fill="FFFFFF"/>
            <w:vAlign w:val="center"/>
          </w:tcPr>
          <w:p w14:paraId="5A6F3FFC">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道路交通特征</w:t>
            </w:r>
          </w:p>
        </w:tc>
        <w:tc>
          <w:tcPr>
            <w:tcW w:w="1576" w:type="dxa"/>
            <w:tcBorders>
              <w:top w:val="single" w:color="000000" w:sz="4" w:space="0"/>
              <w:left w:val="nil"/>
              <w:bottom w:val="single" w:color="000000" w:sz="12" w:space="0"/>
              <w:right w:val="nil"/>
            </w:tcBorders>
            <w:shd w:val="clear" w:color="auto" w:fill="FFFFFF"/>
            <w:vAlign w:val="center"/>
          </w:tcPr>
          <w:p w14:paraId="11E19EBD">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具体位置</w:t>
            </w:r>
          </w:p>
        </w:tc>
      </w:tr>
      <w:tr w14:paraId="7123B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restart"/>
            <w:tcBorders>
              <w:top w:val="single" w:color="000000" w:sz="12" w:space="0"/>
              <w:left w:val="nil"/>
              <w:bottom w:val="nil"/>
              <w:right w:val="nil"/>
            </w:tcBorders>
            <w:shd w:val="clear" w:color="auto" w:fill="FFFFFF"/>
            <w:vAlign w:val="center"/>
          </w:tcPr>
          <w:p w14:paraId="294CA9B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教学楼群入口区域</w:t>
            </w:r>
          </w:p>
        </w:tc>
        <w:tc>
          <w:tcPr>
            <w:tcW w:w="0" w:type="auto"/>
            <w:vMerge w:val="restart"/>
            <w:tcBorders>
              <w:top w:val="single" w:color="000000" w:sz="12" w:space="0"/>
              <w:left w:val="nil"/>
              <w:bottom w:val="nil"/>
              <w:right w:val="nil"/>
            </w:tcBorders>
            <w:shd w:val="clear" w:color="auto" w:fill="FFFFFF"/>
            <w:vAlign w:val="center"/>
          </w:tcPr>
          <w:p w14:paraId="030DDDBC">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学生流量最大，上下课时段尤为集中；</w:t>
            </w:r>
          </w:p>
        </w:tc>
        <w:tc>
          <w:tcPr>
            <w:tcW w:w="1576" w:type="dxa"/>
            <w:tcBorders>
              <w:top w:val="single" w:color="000000" w:sz="4" w:space="0"/>
              <w:left w:val="nil"/>
              <w:bottom w:val="single" w:color="000000" w:sz="4" w:space="0"/>
              <w:right w:val="nil"/>
              <w:tl2br w:val="nil"/>
            </w:tcBorders>
            <w:shd w:val="clear" w:color="auto" w:fill="FFFFFF"/>
            <w:vAlign w:val="center"/>
          </w:tcPr>
          <w:p w14:paraId="2846437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P01</w:t>
            </w:r>
          </w:p>
        </w:tc>
      </w:tr>
      <w:tr w14:paraId="1BD36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nil"/>
              <w:left w:val="nil"/>
              <w:bottom w:val="nil"/>
              <w:right w:val="nil"/>
            </w:tcBorders>
            <w:shd w:val="clear" w:color="auto" w:fill="FFFFFF"/>
            <w:vAlign w:val="center"/>
          </w:tcPr>
          <w:p w14:paraId="1EC01B4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0" w:type="auto"/>
            <w:vMerge w:val="continue"/>
            <w:tcBorders>
              <w:top w:val="nil"/>
              <w:left w:val="nil"/>
              <w:bottom w:val="nil"/>
              <w:right w:val="nil"/>
            </w:tcBorders>
            <w:shd w:val="clear" w:color="auto" w:fill="FFFFFF"/>
            <w:vAlign w:val="center"/>
          </w:tcPr>
          <w:p w14:paraId="68798855">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56F1575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P02</w:t>
            </w:r>
          </w:p>
        </w:tc>
      </w:tr>
      <w:tr w14:paraId="2FEFA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nil"/>
              <w:left w:val="nil"/>
              <w:bottom w:val="nil"/>
              <w:right w:val="nil"/>
            </w:tcBorders>
            <w:shd w:val="clear" w:color="auto" w:fill="FFFFFF"/>
            <w:vAlign w:val="center"/>
          </w:tcPr>
          <w:p w14:paraId="1353007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0" w:type="auto"/>
            <w:vMerge w:val="continue"/>
            <w:tcBorders>
              <w:top w:val="nil"/>
              <w:left w:val="nil"/>
              <w:bottom w:val="nil"/>
              <w:right w:val="nil"/>
            </w:tcBorders>
            <w:shd w:val="clear" w:color="auto" w:fill="FFFFFF"/>
            <w:vAlign w:val="center"/>
          </w:tcPr>
          <w:p w14:paraId="233F2802">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70469F1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P03</w:t>
            </w:r>
          </w:p>
        </w:tc>
      </w:tr>
      <w:tr w14:paraId="21E0E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restart"/>
            <w:tcBorders>
              <w:top w:val="single" w:color="000000" w:sz="4" w:space="0"/>
              <w:left w:val="nil"/>
              <w:bottom w:val="single" w:color="000000" w:sz="4" w:space="0"/>
              <w:right w:val="nil"/>
              <w:tl2br w:val="nil"/>
            </w:tcBorders>
            <w:shd w:val="clear" w:color="auto" w:fill="FFFFFF"/>
            <w:vAlign w:val="center"/>
          </w:tcPr>
          <w:p w14:paraId="62C6686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食堂周边道路</w:t>
            </w:r>
          </w:p>
        </w:tc>
        <w:tc>
          <w:tcPr>
            <w:tcW w:w="0" w:type="auto"/>
            <w:vMerge w:val="restart"/>
            <w:tcBorders>
              <w:top w:val="single" w:color="000000" w:sz="4" w:space="0"/>
              <w:left w:val="nil"/>
              <w:bottom w:val="single" w:color="000000" w:sz="4" w:space="0"/>
              <w:right w:val="nil"/>
            </w:tcBorders>
            <w:shd w:val="clear" w:color="auto" w:fill="FFFFFF"/>
            <w:vAlign w:val="center"/>
          </w:tcPr>
          <w:p w14:paraId="7B3DA848">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就餐时段人车混行严重；</w:t>
            </w:r>
          </w:p>
        </w:tc>
        <w:tc>
          <w:tcPr>
            <w:tcW w:w="1576" w:type="dxa"/>
            <w:tcBorders>
              <w:top w:val="single" w:color="000000" w:sz="4" w:space="0"/>
              <w:left w:val="nil"/>
              <w:bottom w:val="single" w:color="000000" w:sz="4" w:space="0"/>
              <w:right w:val="nil"/>
            </w:tcBorders>
            <w:shd w:val="clear" w:color="auto" w:fill="FFFFFF"/>
            <w:vAlign w:val="center"/>
          </w:tcPr>
          <w:p w14:paraId="5368269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P04</w:t>
            </w:r>
          </w:p>
        </w:tc>
      </w:tr>
      <w:tr w14:paraId="209A1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000000" w:sz="4" w:space="0"/>
              <w:left w:val="nil"/>
              <w:bottom w:val="single" w:color="000000" w:sz="4" w:space="0"/>
              <w:right w:val="nil"/>
            </w:tcBorders>
            <w:shd w:val="clear" w:color="auto" w:fill="FFFFFF"/>
            <w:vAlign w:val="center"/>
          </w:tcPr>
          <w:p w14:paraId="319A892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0" w:type="auto"/>
            <w:vMerge w:val="continue"/>
            <w:tcBorders>
              <w:top w:val="single" w:color="000000" w:sz="4" w:space="0"/>
              <w:left w:val="nil"/>
              <w:bottom w:val="single" w:color="000000" w:sz="4" w:space="0"/>
              <w:right w:val="nil"/>
            </w:tcBorders>
            <w:shd w:val="clear" w:color="auto" w:fill="FFFFFF"/>
            <w:vAlign w:val="center"/>
          </w:tcPr>
          <w:p w14:paraId="15D27163">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40BD1B2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P05</w:t>
            </w:r>
          </w:p>
        </w:tc>
      </w:tr>
      <w:tr w14:paraId="49B57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000000" w:sz="4" w:space="0"/>
              <w:left w:val="nil"/>
              <w:bottom w:val="single" w:color="000000" w:sz="4" w:space="0"/>
              <w:right w:val="nil"/>
            </w:tcBorders>
            <w:shd w:val="clear" w:color="auto" w:fill="FFFFFF"/>
            <w:vAlign w:val="center"/>
          </w:tcPr>
          <w:p w14:paraId="5201A07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0" w:type="auto"/>
            <w:vMerge w:val="continue"/>
            <w:tcBorders>
              <w:top w:val="single" w:color="000000" w:sz="4" w:space="0"/>
              <w:left w:val="nil"/>
              <w:bottom w:val="single" w:color="000000" w:sz="4" w:space="0"/>
              <w:right w:val="nil"/>
            </w:tcBorders>
            <w:shd w:val="clear" w:color="auto" w:fill="FFFFFF"/>
            <w:vAlign w:val="center"/>
          </w:tcPr>
          <w:p w14:paraId="332610C5">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051F563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P06</w:t>
            </w:r>
          </w:p>
        </w:tc>
      </w:tr>
    </w:tbl>
    <w:p w14:paraId="11412588">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表1</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校园共享道路观测点</w:t>
      </w:r>
      <w:r>
        <w:rPr>
          <w:rFonts w:hint="eastAsia" w:ascii="Times New Roman" w:hAnsi="Times New Roman" w:cs="Times New Roman"/>
          <w:lang w:val="en-US" w:eastAsia="zh-CN"/>
        </w:rPr>
        <w:t>（续）</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4"/>
        <w:gridCol w:w="4296"/>
        <w:gridCol w:w="1576"/>
      </w:tblGrid>
      <w:tr w14:paraId="49B2D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restart"/>
            <w:tcBorders>
              <w:top w:val="single" w:color="000000" w:sz="4" w:space="0"/>
              <w:left w:val="nil"/>
              <w:bottom w:val="single" w:color="000000" w:sz="4" w:space="0"/>
              <w:right w:val="nil"/>
            </w:tcBorders>
            <w:shd w:val="clear" w:color="auto" w:fill="FFFFFF"/>
            <w:vAlign w:val="center"/>
          </w:tcPr>
          <w:p w14:paraId="6D9FB36E">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主要道路交叉口</w:t>
            </w:r>
          </w:p>
        </w:tc>
        <w:tc>
          <w:tcPr>
            <w:tcW w:w="4296" w:type="dxa"/>
            <w:vMerge w:val="restart"/>
            <w:tcBorders>
              <w:top w:val="single" w:color="000000" w:sz="4" w:space="0"/>
              <w:left w:val="nil"/>
              <w:bottom w:val="single" w:color="000000" w:sz="4" w:space="0"/>
              <w:right w:val="nil"/>
            </w:tcBorders>
            <w:shd w:val="clear" w:color="auto" w:fill="FFFFFF"/>
            <w:vAlign w:val="center"/>
          </w:tcPr>
          <w:p w14:paraId="0D731FB1">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多向交通流交汇，冲突类型复杂；</w:t>
            </w:r>
          </w:p>
        </w:tc>
        <w:tc>
          <w:tcPr>
            <w:tcW w:w="1576" w:type="dxa"/>
            <w:tcBorders>
              <w:top w:val="single" w:color="000000" w:sz="4" w:space="0"/>
              <w:left w:val="nil"/>
              <w:bottom w:val="single" w:color="000000" w:sz="4" w:space="0"/>
              <w:right w:val="nil"/>
            </w:tcBorders>
            <w:shd w:val="clear" w:color="auto" w:fill="FFFFFF"/>
            <w:vAlign w:val="center"/>
          </w:tcPr>
          <w:p w14:paraId="544006D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P07</w:t>
            </w:r>
          </w:p>
        </w:tc>
      </w:tr>
      <w:tr w14:paraId="5A378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continue"/>
            <w:tcBorders>
              <w:top w:val="single" w:color="000000" w:sz="4" w:space="0"/>
              <w:left w:val="nil"/>
              <w:bottom w:val="single" w:color="000000" w:sz="4" w:space="0"/>
              <w:right w:val="nil"/>
            </w:tcBorders>
            <w:shd w:val="clear" w:color="auto" w:fill="FFFFFF"/>
            <w:vAlign w:val="center"/>
          </w:tcPr>
          <w:p w14:paraId="3B0B641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4296" w:type="dxa"/>
            <w:vMerge w:val="continue"/>
            <w:tcBorders>
              <w:top w:val="single" w:color="000000" w:sz="4" w:space="0"/>
              <w:left w:val="nil"/>
              <w:bottom w:val="single" w:color="000000" w:sz="4" w:space="0"/>
              <w:right w:val="nil"/>
            </w:tcBorders>
            <w:shd w:val="clear" w:color="auto" w:fill="FFFFFF"/>
            <w:vAlign w:val="center"/>
          </w:tcPr>
          <w:p w14:paraId="637C321C">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25F56CC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P08</w:t>
            </w:r>
          </w:p>
        </w:tc>
      </w:tr>
      <w:tr w14:paraId="25558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continue"/>
            <w:tcBorders>
              <w:top w:val="single" w:color="000000" w:sz="4" w:space="0"/>
              <w:left w:val="nil"/>
              <w:bottom w:val="single" w:color="000000" w:sz="4" w:space="0"/>
              <w:right w:val="nil"/>
            </w:tcBorders>
            <w:shd w:val="clear" w:color="auto" w:fill="FFFFFF"/>
            <w:vAlign w:val="center"/>
          </w:tcPr>
          <w:p w14:paraId="01B61E2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4296" w:type="dxa"/>
            <w:vMerge w:val="continue"/>
            <w:tcBorders>
              <w:top w:val="single" w:color="000000" w:sz="4" w:space="0"/>
              <w:left w:val="nil"/>
              <w:bottom w:val="single" w:color="000000" w:sz="4" w:space="0"/>
              <w:right w:val="nil"/>
            </w:tcBorders>
            <w:shd w:val="clear" w:color="auto" w:fill="FFFFFF"/>
            <w:vAlign w:val="center"/>
          </w:tcPr>
          <w:p w14:paraId="23E00A33">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5323C06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P09</w:t>
            </w:r>
          </w:p>
        </w:tc>
      </w:tr>
      <w:tr w14:paraId="02F96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restart"/>
            <w:tcBorders>
              <w:top w:val="single" w:color="000000" w:sz="4" w:space="0"/>
              <w:left w:val="nil"/>
              <w:bottom w:val="single" w:color="000000" w:sz="4" w:space="0"/>
              <w:right w:val="nil"/>
            </w:tcBorders>
            <w:shd w:val="clear" w:color="auto" w:fill="FFFFFF"/>
            <w:vAlign w:val="center"/>
          </w:tcPr>
          <w:p w14:paraId="15F2F43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宿舍区连接道路</w:t>
            </w:r>
          </w:p>
        </w:tc>
        <w:tc>
          <w:tcPr>
            <w:tcW w:w="0" w:type="auto"/>
            <w:vMerge w:val="restart"/>
            <w:tcBorders>
              <w:top w:val="single" w:color="000000" w:sz="4" w:space="0"/>
              <w:left w:val="nil"/>
              <w:bottom w:val="single" w:color="000000" w:sz="4" w:space="0"/>
              <w:right w:val="nil"/>
            </w:tcBorders>
            <w:shd w:val="clear" w:color="auto" w:fill="FFFFFF"/>
            <w:vAlign w:val="center"/>
          </w:tcPr>
          <w:p w14:paraId="05F323E9">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早晚高峰期流量大；</w:t>
            </w:r>
          </w:p>
        </w:tc>
        <w:tc>
          <w:tcPr>
            <w:tcW w:w="1576" w:type="dxa"/>
            <w:tcBorders>
              <w:top w:val="single" w:color="000000" w:sz="4" w:space="0"/>
              <w:left w:val="nil"/>
              <w:bottom w:val="single" w:color="000000" w:sz="4" w:space="0"/>
              <w:right w:val="nil"/>
            </w:tcBorders>
            <w:shd w:val="clear" w:color="auto" w:fill="FFFFFF"/>
            <w:vAlign w:val="center"/>
          </w:tcPr>
          <w:p w14:paraId="3CDDDB6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P10</w:t>
            </w:r>
          </w:p>
        </w:tc>
      </w:tr>
      <w:tr w14:paraId="43D78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000000" w:sz="4" w:space="0"/>
              <w:left w:val="nil"/>
              <w:bottom w:val="single" w:color="000000" w:sz="4" w:space="0"/>
              <w:right w:val="nil"/>
            </w:tcBorders>
            <w:shd w:val="clear" w:color="auto" w:fill="FFFFFF"/>
            <w:vAlign w:val="center"/>
          </w:tcPr>
          <w:p w14:paraId="65AD44D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0" w:type="auto"/>
            <w:vMerge w:val="continue"/>
            <w:tcBorders>
              <w:top w:val="single" w:color="000000" w:sz="4" w:space="0"/>
              <w:left w:val="nil"/>
              <w:bottom w:val="single" w:color="000000" w:sz="4" w:space="0"/>
              <w:right w:val="nil"/>
            </w:tcBorders>
            <w:shd w:val="clear" w:color="auto" w:fill="FFFFFF"/>
            <w:vAlign w:val="center"/>
          </w:tcPr>
          <w:p w14:paraId="1958FA5C">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6A48FF7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P11</w:t>
            </w:r>
          </w:p>
        </w:tc>
      </w:tr>
      <w:tr w14:paraId="35576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single" w:color="000000" w:sz="4" w:space="0"/>
              <w:right w:val="nil"/>
            </w:tcBorders>
            <w:shd w:val="clear" w:color="auto" w:fill="FFFFFF"/>
            <w:vAlign w:val="center"/>
          </w:tcPr>
          <w:p w14:paraId="18696FD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图书馆</w:t>
            </w:r>
            <w:r>
              <w:rPr>
                <w:rFonts w:hint="eastAsia" w:ascii="Times New Roman" w:hAnsi="Times New Roman" w:eastAsia="宋体" w:cs="Times New Roman"/>
                <w:b w:val="0"/>
                <w:color w:val="000000"/>
                <w:kern w:val="0"/>
                <w:sz w:val="24"/>
                <w:szCs w:val="24"/>
                <w:lang w:val="en-US" w:eastAsia="zh-CN" w:bidi="ar"/>
              </w:rPr>
              <w:t>南门</w:t>
            </w:r>
          </w:p>
        </w:tc>
        <w:tc>
          <w:tcPr>
            <w:tcW w:w="0" w:type="auto"/>
            <w:tcBorders>
              <w:top w:val="nil"/>
              <w:left w:val="nil"/>
              <w:bottom w:val="single" w:color="000000" w:sz="4" w:space="0"/>
              <w:right w:val="nil"/>
            </w:tcBorders>
            <w:shd w:val="clear" w:color="auto" w:fill="FFFFFF"/>
            <w:vAlign w:val="center"/>
          </w:tcPr>
          <w:p w14:paraId="075AB0E0">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开放空间，行人活动自由度高。</w:t>
            </w:r>
          </w:p>
        </w:tc>
        <w:tc>
          <w:tcPr>
            <w:tcW w:w="1576" w:type="dxa"/>
            <w:tcBorders>
              <w:top w:val="nil"/>
              <w:left w:val="nil"/>
              <w:bottom w:val="single" w:color="000000" w:sz="4" w:space="0"/>
              <w:right w:val="nil"/>
            </w:tcBorders>
            <w:shd w:val="clear" w:color="auto" w:fill="FFFFFF"/>
            <w:vAlign w:val="center"/>
          </w:tcPr>
          <w:p w14:paraId="2BCDDE4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P12</w:t>
            </w:r>
          </w:p>
        </w:tc>
      </w:tr>
    </w:tbl>
    <w:p w14:paraId="75D7140B">
      <w:pPr>
        <w:pStyle w:val="4"/>
        <w:ind w:left="0" w:leftChars="0" w:firstLine="0" w:firstLineChars="0"/>
        <w:rPr>
          <w:rFonts w:hint="default" w:ascii="Times New Roman" w:hAnsi="Times New Roman" w:eastAsia="黑体" w:cs="Times New Roman"/>
          <w:lang w:val="en-US" w:eastAsia="zh-CN"/>
        </w:rPr>
      </w:pPr>
    </w:p>
    <w:p w14:paraId="373AAA16">
      <w:pPr>
        <w:pStyle w:val="4"/>
        <w:ind w:left="0" w:leftChars="0" w:firstLine="0" w:firstLineChars="0"/>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drawing>
          <wp:inline distT="0" distB="0" distL="114300" distR="114300">
            <wp:extent cx="5233035" cy="3544570"/>
            <wp:effectExtent l="0" t="0" r="0" b="0"/>
            <wp:docPr id="13" name="图片 13" descr="1763475257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63475257816"/>
                    <pic:cNvPicPr>
                      <a:picLocks noChangeAspect="1"/>
                    </pic:cNvPicPr>
                  </pic:nvPicPr>
                  <pic:blipFill>
                    <a:blip r:embed="rId9"/>
                    <a:srcRect b="10185"/>
                    <a:stretch>
                      <a:fillRect/>
                    </a:stretch>
                  </pic:blipFill>
                  <pic:spPr>
                    <a:xfrm>
                      <a:off x="0" y="0"/>
                      <a:ext cx="5233035" cy="3544570"/>
                    </a:xfrm>
                    <a:prstGeom prst="rect">
                      <a:avLst/>
                    </a:prstGeom>
                  </pic:spPr>
                </pic:pic>
              </a:graphicData>
            </a:graphic>
          </wp:inline>
        </w:drawing>
      </w:r>
    </w:p>
    <w:p w14:paraId="3CE68FF5">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图2 </w:t>
      </w:r>
      <w:r>
        <w:rPr>
          <w:rFonts w:hint="default" w:ascii="Times New Roman" w:hAnsi="Times New Roman" w:cs="Times New Roman"/>
          <w:lang w:val="en-US" w:eastAsia="zh-CN"/>
        </w:rPr>
        <w:t>校园共享道路</w:t>
      </w:r>
      <w:r>
        <w:rPr>
          <w:rFonts w:hint="eastAsia" w:ascii="Times New Roman" w:hAnsi="Times New Roman" w:cs="Times New Roman"/>
          <w:lang w:val="en-US" w:eastAsia="zh-CN"/>
        </w:rPr>
        <w:t>12个</w:t>
      </w:r>
      <w:r>
        <w:rPr>
          <w:rFonts w:hint="default" w:ascii="Times New Roman" w:hAnsi="Times New Roman" w:cs="Times New Roman"/>
          <w:lang w:val="en-US" w:eastAsia="zh-CN"/>
        </w:rPr>
        <w:t>观测点</w:t>
      </w:r>
    </w:p>
    <w:p w14:paraId="10C03443">
      <w:pPr>
        <w:pStyle w:val="4"/>
        <w:ind w:left="0" w:leftChars="0" w:firstLine="0" w:firstLineChars="0"/>
        <w:rPr>
          <w:rFonts w:hint="default" w:ascii="Times New Roman" w:hAnsi="Times New Roman" w:eastAsia="黑体" w:cs="Times New Roman"/>
          <w:lang w:val="en-US" w:eastAsia="zh-CN"/>
        </w:rPr>
      </w:pPr>
    </w:p>
    <w:p w14:paraId="4E35AEE3">
      <w:pPr>
        <w:pStyle w:val="4"/>
        <w:ind w:left="0" w:leftChars="0" w:firstLine="0" w:firstLineChars="0"/>
        <w:rPr>
          <w:rFonts w:hint="eastAsia" w:ascii="Times New Roman" w:hAnsi="Times New Roman" w:eastAsia="黑体" w:cs="Times New Roman"/>
          <w:lang w:val="en-US" w:eastAsia="zh-CN"/>
        </w:rPr>
      </w:pPr>
      <w:r>
        <w:rPr>
          <w:rFonts w:hint="default" w:ascii="Times New Roman" w:hAnsi="Times New Roman" w:eastAsia="黑体" w:cs="Times New Roman"/>
          <w:lang w:val="en-US" w:eastAsia="zh-CN"/>
        </w:rPr>
        <w:t>（2）数据采集阶段</w:t>
      </w:r>
    </w:p>
    <w:p w14:paraId="08478395">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正式数据采集期为</w:t>
      </w:r>
      <w:r>
        <w:rPr>
          <w:rFonts w:hint="eastAsia" w:ascii="Times New Roman" w:hAnsi="Times New Roman" w:cs="Times New Roman"/>
          <w:lang w:val="en-US" w:eastAsia="zh-CN"/>
        </w:rPr>
        <w:t>一个月</w:t>
      </w:r>
      <w:r>
        <w:rPr>
          <w:rFonts w:hint="default" w:ascii="Times New Roman" w:hAnsi="Times New Roman" w:cs="Times New Roman"/>
          <w:lang w:val="en-US" w:eastAsia="zh-CN"/>
        </w:rPr>
        <w:t>。采集时段覆盖每日7:00-20:00。根据校园作息规律，将采集时段细分为早高峰（7:30-9:</w:t>
      </w:r>
      <w:r>
        <w:rPr>
          <w:rFonts w:hint="eastAsia" w:ascii="Times New Roman" w:hAnsi="Times New Roman" w:cs="Times New Roman"/>
          <w:lang w:val="en-US" w:eastAsia="zh-CN"/>
        </w:rPr>
        <w:t>00）</w:t>
      </w:r>
      <w:r>
        <w:rPr>
          <w:rFonts w:hint="default" w:ascii="Times New Roman" w:hAnsi="Times New Roman" w:cs="Times New Roman"/>
          <w:lang w:val="en-US" w:eastAsia="zh-CN"/>
        </w:rPr>
        <w:t>午高峰（11:30-13:</w:t>
      </w:r>
      <w:r>
        <w:rPr>
          <w:rFonts w:hint="eastAsia" w:ascii="Times New Roman" w:hAnsi="Times New Roman" w:cs="Times New Roman"/>
          <w:lang w:val="en-US" w:eastAsia="zh-CN"/>
        </w:rPr>
        <w:t>00）</w:t>
      </w:r>
      <w:r>
        <w:rPr>
          <w:rFonts w:hint="default" w:ascii="Times New Roman" w:hAnsi="Times New Roman" w:cs="Times New Roman"/>
          <w:lang w:val="en-US" w:eastAsia="zh-CN"/>
        </w:rPr>
        <w:t>晚高峰（17:00-18:30）和平峰时段。高峰时段进行全量采集，平峰时段进行抽样采集（50%采集率）。为确保数据质量，实施了多层次质量控制措施：第一，每周检查设备状态，清洁镜头，校准角度；第二，录像数据实时云端备份，本地存储；第三，20%数据进行二次标注，不一致处由专家裁定；第四，恶劣天气、设备故障等异常情况记录并补充采集。整个采集期间，设备正常运行率达到96.3%，数据完整性达到98.7%。</w:t>
      </w:r>
    </w:p>
    <w:p w14:paraId="680072C0">
      <w:pPr>
        <w:pStyle w:val="4"/>
        <w:rPr>
          <w:rFonts w:hint="default" w:ascii="Times New Roman" w:hAnsi="Times New Roman" w:cs="Times New Roman"/>
          <w:lang w:val="en-US" w:eastAsia="zh-CN"/>
        </w:rPr>
      </w:pPr>
      <w:r>
        <w:rPr>
          <w:rFonts w:hint="default" w:ascii="Times New Roman" w:hAnsi="Times New Roman" w:cs="Times New Roman"/>
          <w:lang w:val="en-US" w:eastAsia="zh-CN"/>
        </w:rPr>
        <w:t>此外</w:t>
      </w:r>
      <w:r>
        <w:rPr>
          <w:rFonts w:hint="eastAsia" w:ascii="Times New Roman" w:hAnsi="Times New Roman" w:cs="Times New Roman"/>
          <w:lang w:val="en-US" w:eastAsia="zh-CN"/>
        </w:rPr>
        <w:t>，</w:t>
      </w:r>
      <w:r>
        <w:rPr>
          <w:rFonts w:hint="default" w:ascii="Times New Roman" w:hAnsi="Times New Roman" w:cs="Times New Roman"/>
          <w:lang w:val="en-US" w:eastAsia="zh-CN"/>
        </w:rPr>
        <w:t>为深入理解冲突背后的认知和行为机制，本研究开展了半结构化深度访谈。访谈对象包括：经常步行的学生（20人）、经常骑行的学生（20人）、教职工（10人）、校园管理人员（3人）。访谈内容涵盖：对校园交通安全的感知、学生出行习惯和路线选择、曾经历或目击的冲突事件、对现有交通设施的评价、改善建议等。访谈采用主题分析法进行数据处理，通过开放编码、轴心编码和选择性编码三个步骤，提炼出核心主题和关键发现。</w:t>
      </w:r>
    </w:p>
    <w:p>
      <w:pPr>
        <w:pStyle w:val="4"/>
        <w:rPr>
          <w:rFonts w:hint="eastAsia" w:ascii="Times New Roman" w:hAnsi="Times New Roman" w:cs="Times New Roman"/>
          <w:lang w:val="en-US" w:eastAsia="zh-CN"/>
        </w:rPr>
      </w:pPr>
      <w:r>
        <w:rPr>
          <w:rFonts w:hint="default" w:ascii="Times New Roman" w:hAnsi="Times New Roman" w:cs="Times New Roman"/>
          <w:lang w:val="en-US" w:eastAsia="zh-CN"/>
        </w:rPr>
        <w:t xml:space="preserve">此外，校园共享道路交通环境特征要素的筛选经历了一个系统化的多阶段过程。在研究初期，团队通过文献综述法对国内外相关研究进行了全面梳理，初步识别出可能影响人车冲突的交通环境特征要素多达十八项，包括道路宽度、路面材质、坡度、弯道半径、视距条件、绿化遮挡、标识系统、照明水平、路面平整度、排水系统、路缘石高度、护栏设置、交通信号、减速设施、路面颜色、噪声水平、温度条件和风力条件等。这些因素涵盖了道路几何特征、交通设施、环境质量和气象条件四大类别。为筛选核心变量，研究团队采用德尔菲法进行两轮专家咨询</w:t>
      </w:r>
      <w:r>
        <w:rPr>
          <w:rFonts w:hint="default" w:ascii="Times New Roman" w:hAnsi="Times New Roman" w:cs="Times New Roman"/>
          <w:lang w:val="en-US" w:eastAsia="zh-CN"/>
          <w:vertAlign w:val="superscript"/>
        </w:rPr>
        <w:t xml:space="preserve">[21]</w:t>
      </w:r>
      <w:r>
        <w:rPr>
          <w:rFonts w:hint="default" w:ascii="Times New Roman" w:hAnsi="Times New Roman" w:cs="Times New Roman"/>
          <w:lang w:val="en-US" w:eastAsia="zh-CN"/>
        </w:rPr>
        <w:t xml:space="preserve">。邀请十二位来自交通工程、城市规划、安全管理和校园管理领域的专家，根据理论重要性、测量可行性和可改善性三项标准对十八项因素进行评分（每项1-5分，总分3-15分）。经过两轮咨询，道路宽度、视距条件、标识系统、照明水平和路面质量五项因素得分显著高于其他因素，最终确定为核心研究要素。此外，基于五项交通环境特征要素构建问卷，</w:t>
      </w:r>
    </w:p>
    <w:p>
      <w:pPr>
        <w:pStyle w:val="4"/>
        <w:rPr>
          <w:rFonts w:hint="eastAsia" w:ascii="Times New Roman" w:hAnsi="Times New Roman" w:cs="Times New Roman"/>
          <w:lang w:val="en-US" w:eastAsia="zh-CN"/>
        </w:rPr>
      </w:pPr>
      <w:r>
        <w:rPr>
          <w:rFonts w:hint="eastAsia" w:ascii="Times New Roman" w:hAnsi="Times New Roman" w:cs="Times New Roman"/>
          <w:lang w:val="en-US" w:eastAsia="zh-CN"/>
        </w:rPr>
        <w:t xml:space="preserve">问卷采用结构化设计，分为基本信息（4题）与五大环境因素评价（32题）两大板块，合计36个题项，综合运用5级李克特量表系统收集使用者对道路宽度、视距条件、标识系统、照明水平和路面质量的主观感知、实际影响及改善建议。问卷经过两轮预测试和信效度检验（克隆巴赫系数0.75-0.88），最终通过线上线下相结合方式回收有效问卷132份，有效率达92.3%，客观测量数据与主观感知数据的相关系数为0.69-0.81，验证了问卷的科学性和有效性。</w:t>
      </w:r>
    </w:p>
    <w:p w14:paraId="76879608">
      <w:pPr>
        <w:pStyle w:val="4"/>
        <w:spacing w:before="120" w:after="120" w:line="360" w:lineRule="auto"/>
        <w:ind w:firstLine="480"/>
        <w:rPr>
          <w:rFonts w:hint="eastAsia" w:ascii="Times New Roman" w:hAnsi="Times New Roman" w:eastAsia="宋体" w:cs="Times New Roman"/>
          <w:color w:val="000000"/>
          <w:sz w:val="24"/>
          <w:szCs w:val="24"/>
        </w:rPr>
      </w:pPr>
    </w:p>
    <w:p w14:paraId="1EC30B40">
      <w:pPr>
        <w:pStyle w:val="4"/>
        <w:spacing w:before="120" w:after="120" w:line="360" w:lineRule="auto"/>
        <w:ind w:firstLine="480"/>
        <w:rPr>
          <w:rFonts w:hint="eastAsia" w:ascii="Times New Roman" w:hAnsi="Times New Roman" w:eastAsia="宋体" w:cs="Times New Roman"/>
          <w:color w:val="000000"/>
          <w:sz w:val="24"/>
          <w:szCs w:val="24"/>
        </w:rPr>
      </w:pPr>
    </w:p>
    <w:p w14:paraId="4E065B94">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表2</w:t>
      </w:r>
      <w:r>
        <w:rPr>
          <w:rFonts w:hint="eastAsia" w:ascii="Times New Roman" w:hAnsi="Times New Roman" w:cs="Times New Roman"/>
          <w:lang w:val="en-US" w:eastAsia="zh-CN"/>
        </w:rPr>
        <w:t xml:space="preserve"> </w:t>
      </w:r>
      <w:r>
        <w:rPr>
          <w:rFonts w:hint="eastAsia" w:ascii="Times New Roman" w:hAnsi="Times New Roman" w:eastAsia="宋体" w:cs="Times New Roman"/>
          <w:lang w:val="en-US" w:eastAsia="zh-CN"/>
        </w:rPr>
        <w:t>面向</w:t>
      </w:r>
      <w:r>
        <w:rPr>
          <w:rFonts w:hint="eastAsia" w:ascii="Times New Roman" w:hAnsi="Times New Roman" w:cs="Times New Roman"/>
          <w:lang w:val="en-US" w:eastAsia="zh-CN"/>
        </w:rPr>
        <w:t>交通冲突者</w:t>
      </w:r>
      <w:r>
        <w:rPr>
          <w:rFonts w:hint="eastAsia" w:ascii="Times New Roman" w:hAnsi="Times New Roman" w:eastAsia="宋体" w:cs="Times New Roman"/>
          <w:lang w:val="en-US" w:eastAsia="zh-CN"/>
        </w:rPr>
        <w:t>的</w:t>
      </w:r>
      <w:r>
        <w:rPr>
          <w:rFonts w:hint="eastAsia" w:ascii="Times New Roman" w:hAnsi="Times New Roman" w:cs="Times New Roman"/>
          <w:lang w:val="en-US" w:eastAsia="zh-CN"/>
        </w:rPr>
        <w:t>高校</w:t>
      </w:r>
      <w:r>
        <w:rPr>
          <w:rFonts w:hint="eastAsia" w:ascii="Times New Roman" w:hAnsi="Times New Roman" w:eastAsia="宋体" w:cs="Times New Roman"/>
          <w:lang w:val="en-US" w:eastAsia="zh-CN"/>
        </w:rPr>
        <w:t>共享道路交通环境特征要素调研问卷内容</w:t>
      </w:r>
    </w:p>
    <w:tbl>
      <w:tblPr>
        <w:tblStyle w:val="9"/>
        <w:tblW w:w="86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5"/>
        <w:gridCol w:w="1235"/>
        <w:gridCol w:w="1275"/>
        <w:gridCol w:w="4718"/>
      </w:tblGrid>
      <w:tr w14:paraId="67C19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1425" w:type="dxa"/>
            <w:tcBorders>
              <w:top w:val="single" w:color="000000" w:sz="4" w:space="0"/>
              <w:left w:val="nil"/>
              <w:bottom w:val="single" w:color="000000" w:sz="12" w:space="0"/>
              <w:right w:val="nil"/>
            </w:tcBorders>
            <w:shd w:val="clear" w:color="auto" w:fill="FFFFFF"/>
            <w:vAlign w:val="center"/>
          </w:tcPr>
          <w:p w14:paraId="35401A7D">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ascii="宋体" w:hAnsi="宋体" w:eastAsia="宋体" w:cs="宋体"/>
                <w:b/>
                <w:bCs w:val="0"/>
                <w:color w:val="000000"/>
                <w:kern w:val="0"/>
                <w:sz w:val="24"/>
                <w:szCs w:val="24"/>
                <w:lang w:val="en-US" w:eastAsia="zh-CN" w:bidi="ar"/>
              </w:rPr>
              <w:t>部分</w:t>
            </w:r>
          </w:p>
        </w:tc>
        <w:tc>
          <w:tcPr>
            <w:tcW w:w="1235" w:type="dxa"/>
            <w:tcBorders>
              <w:top w:val="single" w:color="000000" w:sz="4" w:space="0"/>
              <w:left w:val="nil"/>
              <w:bottom w:val="single" w:color="000000" w:sz="12" w:space="0"/>
              <w:right w:val="nil"/>
            </w:tcBorders>
            <w:shd w:val="clear" w:color="auto" w:fill="FFFFFF"/>
            <w:vAlign w:val="center"/>
          </w:tcPr>
          <w:p w14:paraId="35B99097">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eastAsia" w:ascii="Times New Roman" w:hAnsi="Times New Roman" w:eastAsia="宋体" w:cs="Times New Roman"/>
                <w:b/>
                <w:bCs w:val="0"/>
                <w:color w:val="000000"/>
                <w:sz w:val="24"/>
                <w:szCs w:val="24"/>
                <w:vertAlign w:val="baseline"/>
                <w:lang w:val="en-US" w:eastAsia="zh-CN"/>
              </w:rPr>
              <w:t>题项</w:t>
            </w:r>
          </w:p>
        </w:tc>
        <w:tc>
          <w:tcPr>
            <w:tcW w:w="1275" w:type="dxa"/>
            <w:tcBorders>
              <w:top w:val="single" w:color="000000" w:sz="4" w:space="0"/>
              <w:left w:val="nil"/>
              <w:bottom w:val="single" w:color="000000" w:sz="12" w:space="0"/>
              <w:right w:val="nil"/>
            </w:tcBorders>
            <w:shd w:val="clear" w:color="auto" w:fill="FFFFFF"/>
            <w:vAlign w:val="center"/>
          </w:tcPr>
          <w:p w14:paraId="73B5954A">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ascii="宋体" w:hAnsi="宋体" w:eastAsia="宋体" w:cs="宋体"/>
                <w:b/>
                <w:bCs w:val="0"/>
                <w:color w:val="000000"/>
                <w:kern w:val="0"/>
                <w:sz w:val="24"/>
                <w:szCs w:val="24"/>
                <w:lang w:val="en-US" w:eastAsia="zh-CN" w:bidi="ar"/>
              </w:rPr>
              <w:t>题项数</w:t>
            </w:r>
          </w:p>
        </w:tc>
        <w:tc>
          <w:tcPr>
            <w:tcW w:w="4718" w:type="dxa"/>
            <w:tcBorders>
              <w:top w:val="single" w:color="000000" w:sz="4" w:space="0"/>
              <w:left w:val="nil"/>
              <w:bottom w:val="single" w:color="000000" w:sz="12" w:space="0"/>
              <w:right w:val="nil"/>
            </w:tcBorders>
            <w:shd w:val="clear" w:color="auto" w:fill="FFFFFF"/>
            <w:vAlign w:val="center"/>
          </w:tcPr>
          <w:p w14:paraId="6748216C">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ascii="宋体" w:hAnsi="宋体" w:eastAsia="宋体" w:cs="宋体"/>
                <w:b/>
                <w:bCs w:val="0"/>
                <w:color w:val="000000"/>
                <w:kern w:val="0"/>
                <w:sz w:val="24"/>
                <w:szCs w:val="24"/>
                <w:lang w:val="en-US" w:eastAsia="zh-CN" w:bidi="ar"/>
              </w:rPr>
              <w:t>核心测量内容</w:t>
            </w:r>
          </w:p>
        </w:tc>
      </w:tr>
      <w:tr w14:paraId="2CF94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tcBorders>
              <w:top w:val="single" w:color="000000" w:sz="12" w:space="0"/>
              <w:left w:val="nil"/>
              <w:bottom w:val="nil"/>
              <w:right w:val="nil"/>
            </w:tcBorders>
            <w:shd w:val="clear" w:color="auto" w:fill="FFFFFF"/>
            <w:vAlign w:val="center"/>
          </w:tcPr>
          <w:p w14:paraId="41B8E8BC">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受试者信息</w:t>
            </w:r>
          </w:p>
        </w:tc>
        <w:tc>
          <w:tcPr>
            <w:tcW w:w="1235" w:type="dxa"/>
            <w:tcBorders>
              <w:top w:val="single" w:color="000000" w:sz="12" w:space="0"/>
              <w:left w:val="nil"/>
              <w:bottom w:val="nil"/>
              <w:right w:val="nil"/>
            </w:tcBorders>
            <w:shd w:val="clear" w:color="auto" w:fill="FFFFFF"/>
            <w:vAlign w:val="center"/>
          </w:tcPr>
          <w:p w14:paraId="01C439D3">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基本信息</w:t>
            </w:r>
          </w:p>
        </w:tc>
        <w:tc>
          <w:tcPr>
            <w:tcW w:w="1275" w:type="dxa"/>
            <w:tcBorders>
              <w:top w:val="single" w:color="000000" w:sz="12" w:space="0"/>
              <w:left w:val="nil"/>
              <w:bottom w:val="nil"/>
              <w:right w:val="nil"/>
            </w:tcBorders>
            <w:shd w:val="clear" w:color="auto" w:fill="FFFFFF"/>
            <w:vAlign w:val="center"/>
          </w:tcPr>
          <w:p w14:paraId="16240F20">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4</w:t>
            </w:r>
          </w:p>
        </w:tc>
        <w:tc>
          <w:tcPr>
            <w:tcW w:w="4718" w:type="dxa"/>
            <w:tcBorders>
              <w:top w:val="single" w:color="000000" w:sz="12" w:space="0"/>
              <w:left w:val="nil"/>
              <w:bottom w:val="nil"/>
              <w:right w:val="nil"/>
            </w:tcBorders>
            <w:shd w:val="clear" w:color="auto" w:fill="FFFFFF"/>
            <w:vAlign w:val="center"/>
          </w:tcPr>
          <w:p w14:paraId="18CD2593">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身份、交通方式、出行频次、在校时长</w:t>
            </w:r>
          </w:p>
        </w:tc>
      </w:tr>
      <w:tr w14:paraId="21763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restart"/>
            <w:tcBorders>
              <w:top w:val="nil"/>
              <w:left w:val="nil"/>
              <w:right w:val="nil"/>
            </w:tcBorders>
            <w:shd w:val="clear" w:color="auto" w:fill="FFFFFF"/>
            <w:vAlign w:val="center"/>
          </w:tcPr>
          <w:p w14:paraId="6B15B003">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sz w:val="24"/>
                <w:szCs w:val="24"/>
                <w:vertAlign w:val="baseline"/>
                <w:lang w:val="en-US" w:eastAsia="zh-CN"/>
              </w:rPr>
              <w:t>交通环境特征要素</w:t>
            </w:r>
          </w:p>
        </w:tc>
        <w:tc>
          <w:tcPr>
            <w:tcW w:w="1235" w:type="dxa"/>
            <w:tcBorders>
              <w:top w:val="nil"/>
              <w:left w:val="nil"/>
              <w:bottom w:val="nil"/>
              <w:right w:val="nil"/>
            </w:tcBorders>
            <w:shd w:val="clear" w:color="auto" w:fill="FFFFFF"/>
            <w:vAlign w:val="center"/>
          </w:tcPr>
          <w:p w14:paraId="663DCDB3">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道路宽度</w:t>
            </w:r>
          </w:p>
        </w:tc>
        <w:tc>
          <w:tcPr>
            <w:tcW w:w="1275" w:type="dxa"/>
            <w:tcBorders>
              <w:top w:val="nil"/>
              <w:left w:val="nil"/>
              <w:bottom w:val="nil"/>
              <w:right w:val="nil"/>
            </w:tcBorders>
            <w:shd w:val="clear" w:color="auto" w:fill="FFFFFF"/>
            <w:vAlign w:val="center"/>
          </w:tcPr>
          <w:p w14:paraId="619F3917">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6</w:t>
            </w:r>
          </w:p>
        </w:tc>
        <w:tc>
          <w:tcPr>
            <w:tcW w:w="4718" w:type="dxa"/>
            <w:tcBorders>
              <w:top w:val="nil"/>
              <w:left w:val="nil"/>
              <w:bottom w:val="nil"/>
              <w:right w:val="nil"/>
            </w:tcBorders>
            <w:shd w:val="clear" w:color="auto" w:fill="FFFFFF"/>
            <w:vAlign w:val="center"/>
          </w:tcPr>
          <w:p w14:paraId="03B8FCA4">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满意度、冲突频率、问题路段、改善建议</w:t>
            </w:r>
          </w:p>
        </w:tc>
      </w:tr>
      <w:tr w14:paraId="28C8A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continue"/>
            <w:tcBorders>
              <w:left w:val="nil"/>
              <w:right w:val="nil"/>
            </w:tcBorders>
            <w:shd w:val="clear" w:color="auto" w:fill="FFFFFF"/>
            <w:vAlign w:val="center"/>
          </w:tcPr>
          <w:p w14:paraId="2DED96CD">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p>
        </w:tc>
        <w:tc>
          <w:tcPr>
            <w:tcW w:w="1235" w:type="dxa"/>
            <w:tcBorders>
              <w:top w:val="nil"/>
              <w:left w:val="nil"/>
              <w:bottom w:val="nil"/>
              <w:right w:val="nil"/>
            </w:tcBorders>
            <w:shd w:val="clear" w:color="auto" w:fill="FFFFFF"/>
            <w:vAlign w:val="center"/>
          </w:tcPr>
          <w:p w14:paraId="7F65CD5B">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视距条件</w:t>
            </w:r>
          </w:p>
        </w:tc>
        <w:tc>
          <w:tcPr>
            <w:tcW w:w="1275" w:type="dxa"/>
            <w:tcBorders>
              <w:top w:val="nil"/>
              <w:left w:val="nil"/>
              <w:bottom w:val="nil"/>
              <w:right w:val="nil"/>
            </w:tcBorders>
            <w:shd w:val="clear" w:color="auto" w:fill="FFFFFF"/>
            <w:vAlign w:val="center"/>
          </w:tcPr>
          <w:p w14:paraId="03AD942C">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7</w:t>
            </w:r>
          </w:p>
        </w:tc>
        <w:tc>
          <w:tcPr>
            <w:tcW w:w="4718" w:type="dxa"/>
            <w:tcBorders>
              <w:top w:val="nil"/>
              <w:left w:val="nil"/>
              <w:bottom w:val="nil"/>
              <w:right w:val="nil"/>
            </w:tcBorders>
            <w:shd w:val="clear" w:color="auto" w:fill="FFFFFF"/>
            <w:vAlign w:val="center"/>
          </w:tcPr>
          <w:p w14:paraId="76A5E84A">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遮挡频率、原因分析、重点区域评价</w:t>
            </w:r>
          </w:p>
        </w:tc>
      </w:tr>
      <w:tr w14:paraId="63DF6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continue"/>
            <w:tcBorders>
              <w:left w:val="nil"/>
              <w:right w:val="nil"/>
            </w:tcBorders>
            <w:shd w:val="clear" w:color="auto" w:fill="FFFFFF"/>
            <w:vAlign w:val="center"/>
          </w:tcPr>
          <w:p w14:paraId="2283DF07">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p>
        </w:tc>
        <w:tc>
          <w:tcPr>
            <w:tcW w:w="1235" w:type="dxa"/>
            <w:tcBorders>
              <w:top w:val="nil"/>
              <w:left w:val="nil"/>
              <w:bottom w:val="nil"/>
              <w:right w:val="nil"/>
            </w:tcBorders>
            <w:shd w:val="clear" w:color="auto" w:fill="FFFFFF"/>
            <w:vAlign w:val="center"/>
          </w:tcPr>
          <w:p w14:paraId="1B54AF2A">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标识系统</w:t>
            </w:r>
          </w:p>
        </w:tc>
        <w:tc>
          <w:tcPr>
            <w:tcW w:w="1275" w:type="dxa"/>
            <w:tcBorders>
              <w:top w:val="nil"/>
              <w:left w:val="nil"/>
              <w:bottom w:val="nil"/>
              <w:right w:val="nil"/>
            </w:tcBorders>
            <w:shd w:val="clear" w:color="auto" w:fill="FFFFFF"/>
            <w:vAlign w:val="center"/>
          </w:tcPr>
          <w:p w14:paraId="1A7EB4D6">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8</w:t>
            </w:r>
          </w:p>
        </w:tc>
        <w:tc>
          <w:tcPr>
            <w:tcW w:w="4718" w:type="dxa"/>
            <w:tcBorders>
              <w:top w:val="nil"/>
              <w:left w:val="nil"/>
              <w:bottom w:val="nil"/>
              <w:right w:val="nil"/>
            </w:tcBorders>
            <w:shd w:val="clear" w:color="auto" w:fill="FFFFFF"/>
            <w:vAlign w:val="center"/>
          </w:tcPr>
          <w:p w14:paraId="15F663AA">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清晰度、问题类型、子系统评分、改善方向</w:t>
            </w:r>
          </w:p>
        </w:tc>
      </w:tr>
      <w:tr w14:paraId="434B1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continue"/>
            <w:tcBorders>
              <w:left w:val="nil"/>
              <w:right w:val="nil"/>
            </w:tcBorders>
            <w:shd w:val="clear" w:color="auto" w:fill="FFFFFF"/>
            <w:vAlign w:val="center"/>
          </w:tcPr>
          <w:p w14:paraId="378D5331">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p>
        </w:tc>
        <w:tc>
          <w:tcPr>
            <w:tcW w:w="1235" w:type="dxa"/>
            <w:tcBorders>
              <w:top w:val="nil"/>
              <w:left w:val="nil"/>
              <w:bottom w:val="nil"/>
              <w:right w:val="nil"/>
            </w:tcBorders>
            <w:shd w:val="clear" w:color="auto" w:fill="FFFFFF"/>
            <w:vAlign w:val="center"/>
          </w:tcPr>
          <w:p w14:paraId="29DB14FC">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照明水平</w:t>
            </w:r>
          </w:p>
        </w:tc>
        <w:tc>
          <w:tcPr>
            <w:tcW w:w="1275" w:type="dxa"/>
            <w:tcBorders>
              <w:top w:val="nil"/>
              <w:left w:val="nil"/>
              <w:bottom w:val="nil"/>
              <w:right w:val="nil"/>
            </w:tcBorders>
            <w:shd w:val="clear" w:color="auto" w:fill="FFFFFF"/>
            <w:vAlign w:val="center"/>
          </w:tcPr>
          <w:p w14:paraId="21A84074">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6</w:t>
            </w:r>
          </w:p>
        </w:tc>
        <w:tc>
          <w:tcPr>
            <w:tcW w:w="4718" w:type="dxa"/>
            <w:tcBorders>
              <w:top w:val="nil"/>
              <w:left w:val="nil"/>
              <w:bottom w:val="nil"/>
              <w:right w:val="nil"/>
            </w:tcBorders>
            <w:shd w:val="clear" w:color="auto" w:fill="FFFFFF"/>
            <w:vAlign w:val="center"/>
          </w:tcPr>
          <w:p w14:paraId="5226C48C">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充足度、影响分析、分时段评价、改善方案</w:t>
            </w:r>
          </w:p>
        </w:tc>
      </w:tr>
      <w:tr w14:paraId="1E5D6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continue"/>
            <w:tcBorders>
              <w:left w:val="nil"/>
              <w:bottom w:val="single" w:color="000000" w:sz="4" w:space="0"/>
              <w:right w:val="nil"/>
            </w:tcBorders>
            <w:shd w:val="clear" w:color="auto" w:fill="FFFFFF"/>
            <w:vAlign w:val="center"/>
          </w:tcPr>
          <w:p w14:paraId="52510803">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p>
        </w:tc>
        <w:tc>
          <w:tcPr>
            <w:tcW w:w="1235" w:type="dxa"/>
            <w:tcBorders>
              <w:top w:val="nil"/>
              <w:left w:val="nil"/>
              <w:bottom w:val="single" w:color="000000" w:sz="4" w:space="0"/>
              <w:right w:val="nil"/>
            </w:tcBorders>
            <w:shd w:val="clear" w:color="auto" w:fill="FFFFFF"/>
            <w:vAlign w:val="center"/>
          </w:tcPr>
          <w:p w14:paraId="5233534C">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路面质量</w:t>
            </w:r>
          </w:p>
        </w:tc>
        <w:tc>
          <w:tcPr>
            <w:tcW w:w="1275" w:type="dxa"/>
            <w:tcBorders>
              <w:top w:val="nil"/>
              <w:left w:val="nil"/>
              <w:bottom w:val="single" w:color="000000" w:sz="4" w:space="0"/>
              <w:right w:val="nil"/>
            </w:tcBorders>
            <w:shd w:val="clear" w:color="auto" w:fill="FFFFFF"/>
            <w:vAlign w:val="center"/>
          </w:tcPr>
          <w:p w14:paraId="60BDD6DE">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5</w:t>
            </w:r>
          </w:p>
        </w:tc>
        <w:tc>
          <w:tcPr>
            <w:tcW w:w="4718" w:type="dxa"/>
            <w:tcBorders>
              <w:top w:val="nil"/>
              <w:left w:val="nil"/>
              <w:bottom w:val="single" w:color="000000" w:sz="4" w:space="0"/>
              <w:right w:val="nil"/>
            </w:tcBorders>
            <w:shd w:val="clear" w:color="auto" w:fill="FFFFFF"/>
            <w:vAlign w:val="center"/>
          </w:tcPr>
          <w:p w14:paraId="7CFBBB9C">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平整度、问题类型、影响程度、改善路段</w:t>
            </w:r>
          </w:p>
        </w:tc>
      </w:tr>
    </w:tbl>
    <w:p w14:paraId="31359C7F">
      <w:pPr>
        <w:pStyle w:val="4"/>
        <w:spacing w:before="120" w:after="120" w:line="360" w:lineRule="auto"/>
        <w:ind w:firstLine="480"/>
        <w:rPr>
          <w:rFonts w:hint="default" w:ascii="Times New Roman Regular" w:hAnsi="Times New Roman Regular" w:eastAsia="宋体" w:cs="Times New Roman Regular"/>
          <w:color w:val="000000"/>
          <w:sz w:val="24"/>
          <w:szCs w:val="24"/>
          <w:lang w:val="en-US" w:eastAsia="zh-CN"/>
        </w:rPr>
      </w:pPr>
    </w:p>
    <w:p w14:paraId="48325871">
      <w:pPr>
        <w:pStyle w:val="4"/>
        <w:ind w:left="0" w:leftChars="0" w:firstLine="0" w:firstLineChars="0"/>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（3）数据分析阶段</w:t>
      </w:r>
    </w:p>
    <w:p w14:paraId="6AD3293D">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在本研究的视频数据处理中，采用人机协同的方式以确保数据质量和分析的准确性。首先，对原始视频进行预处理，包括统一视频格式、分辨率标准化以及时间戳同步等操作。其次，进行目标检测与跟踪：借助深度学习模型，在每帧图像中识别并定位行人及骑行者，以便于帮助研究人员更好观测并识别行人与骑行者在校园共享道路中的冲突事件及其类别</w:t>
      </w:r>
      <w:r>
        <w:rPr>
          <w:rFonts w:hint="eastAsia" w:ascii="Times New Roman" w:hAnsi="Times New Roman" w:cs="Times New Roman"/>
          <w:lang w:val="en-US" w:eastAsia="zh-CN"/>
        </w:rPr>
        <w:t>。</w:t>
      </w: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此外，TTC是交通冲突技术中最经典且最常用的时间类替代安全指标</w:t>
      </w:r>
      <w:r>
        <w:rPr>
          <w:rFonts w:hint="default" w:ascii="Times New Roman" w:hAnsi="Times New Roman" w:cs="Times New Roman"/>
          <w:lang w:val="en-US" w:eastAsia="zh-CN"/>
          <w:vertAlign w:val="superscript"/>
        </w:rPr>
        <w:t xml:space="preserve">[22-24]</w:t>
      </w:r>
      <w:r>
        <w:rPr>
          <w:rFonts w:hint="default" w:ascii="Times New Roman" w:hAnsi="Times New Roman" w:cs="Times New Roman"/>
          <w:lang w:val="en-US" w:eastAsia="zh-CN"/>
        </w:rPr>
        <w:t xml:space="preserve">，被用于衡量两名交通参与者在保持当前速度与方向不变的情况下发生碰撞所需的时间。TTC本质上是一种“危险迫近性”量化指标，能够在事故发生之前反映潜在风险，因此被认为是预测性最强的冲突评估方法之一。在机动车高速场景中，TTC通常被划分为四类：TTC＜1s为严重冲突，1-2s为中度冲突，2-3s为轻微冲突，超过3 s则为潜在冲突。然而，高校共享道路交通具有速度低、轨迹变化大、可供性模糊和注意力分散频繁等特征，使得参与者对危险的反应时间显著延长，从而需要采用更敏感的TTC阈值。因此，针对行人与骑行者在校园共享道路中的冲突研究，本课题对TTC的冲突分级进行了适当调整，如表3所示。</w:t>
      </w:r>
    </w:p>
    <w:p w14:paraId="652C650F">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以教学楼前共享道路为例，行人A与骑行者B在斜向交汇路段接近同一潜在冲突点。通过提取其轨迹数据可知，行人A的速度为1.4 m/s，与冲突点的距离为3.0 m；骑行者B的速度为4.5 m/s，距离为8.0 m。根据两者到达冲突点的时间计算公式，行人A的到达时间为2.14 s，骑行者B为1.78 s，时间差为0.36 s。因此，若双方保持当前速度和方向不变，则TTC=0.36 s。依据本研究的校园慢行交通分级标准（TTC＜1.5 s为严重冲突），该事件可被判定为一级严重冲突。对于AI自动检测出的所有潜在冲突事件，需要进行人工验证与分类。专业标注员对每一起事件进行复核，确保检测结果的准确性，并根据事件特征进行详细编码。</w:t>
      </w:r>
    </w:p>
    <w:p w14:paraId="484B5025">
      <w:pPr>
        <w:pStyle w:val="4"/>
        <w:ind w:left="0" w:leftChars="0" w:firstLine="480" w:firstLineChars="200"/>
        <w:jc w:val="both"/>
        <w:rPr>
          <w:rFonts w:hint="default" w:ascii="Times New Roman" w:hAnsi="Times New Roman" w:cs="Times New Roman"/>
          <w:lang w:val="en-US" w:eastAsia="zh-CN"/>
        </w:rPr>
      </w:pPr>
    </w:p>
    <w:p w14:paraId="040D65EE">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 xml:space="preserve">表3 </w:t>
      </w:r>
      <w:r>
        <w:rPr>
          <w:rFonts w:hint="default" w:ascii="Times New Roman" w:hAnsi="Times New Roman" w:cs="Times New Roman"/>
          <w:lang w:val="en-US" w:eastAsia="zh-CN"/>
        </w:rPr>
        <w:t>行人与骑行者在校园共享道路中的</w:t>
      </w:r>
      <w:r>
        <w:rPr>
          <w:rFonts w:hint="eastAsia" w:ascii="Times New Roman" w:hAnsi="Times New Roman" w:cs="Times New Roman"/>
          <w:lang w:val="en-US" w:eastAsia="zh-CN"/>
        </w:rPr>
        <w:t>TTC分级</w:t>
      </w:r>
    </w:p>
    <w:tbl>
      <w:tblPr>
        <w:tblStyle w:val="9"/>
        <w:tblW w:w="84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2157"/>
        <w:gridCol w:w="2941"/>
        <w:gridCol w:w="1608"/>
      </w:tblGrid>
      <w:tr w14:paraId="5EBD1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single" w:color="000000" w:sz="4" w:space="0"/>
              <w:left w:val="nil"/>
              <w:bottom w:val="single" w:color="000000" w:sz="12" w:space="0"/>
              <w:right w:val="nil"/>
            </w:tcBorders>
            <w:shd w:val="clear" w:color="auto" w:fill="FFFFFF"/>
            <w:vAlign w:val="center"/>
          </w:tcPr>
          <w:p w14:paraId="68BF6013">
            <w:pPr>
              <w:keepNext w:val="0"/>
              <w:keepLines w:val="0"/>
              <w:widowControl/>
              <w:suppressLineNumbers w:val="0"/>
              <w:jc w:val="center"/>
              <w:rPr>
                <w:rFonts w:hint="default" w:ascii="Times New Roman" w:hAnsi="Times New Roman" w:cs="Times New Roman"/>
                <w:b/>
                <w:bCs w:val="0"/>
                <w:color w:val="000000"/>
                <w:sz w:val="20"/>
                <w:szCs w:val="22"/>
                <w:vertAlign w:val="baseline"/>
                <w:lang w:val="en-US" w:eastAsia="zh-CN"/>
              </w:rPr>
            </w:pPr>
            <w:r>
              <w:rPr>
                <w:rFonts w:hint="default" w:ascii="Times New Roman" w:hAnsi="Times New Roman" w:eastAsia="宋体" w:cs="Times New Roman"/>
                <w:b/>
                <w:bCs w:val="0"/>
                <w:color w:val="000000"/>
                <w:kern w:val="0"/>
                <w:sz w:val="22"/>
                <w:szCs w:val="22"/>
                <w:lang w:val="en-US" w:eastAsia="zh-CN" w:bidi="ar"/>
              </w:rPr>
              <w:t>冲突等级</w:t>
            </w:r>
          </w:p>
        </w:tc>
        <w:tc>
          <w:tcPr>
            <w:tcW w:w="2157" w:type="dxa"/>
            <w:tcBorders>
              <w:top w:val="single" w:color="000000" w:sz="4" w:space="0"/>
              <w:left w:val="nil"/>
              <w:bottom w:val="single" w:color="000000" w:sz="12" w:space="0"/>
              <w:right w:val="nil"/>
            </w:tcBorders>
            <w:shd w:val="clear" w:color="auto" w:fill="FFFFFF"/>
            <w:vAlign w:val="center"/>
          </w:tcPr>
          <w:p w14:paraId="7C9E5A8F">
            <w:pPr>
              <w:keepNext w:val="0"/>
              <w:keepLines w:val="0"/>
              <w:widowControl/>
              <w:suppressLineNumbers w:val="0"/>
              <w:jc w:val="center"/>
              <w:rPr>
                <w:rFonts w:hint="default" w:ascii="Times New Roman" w:hAnsi="Times New Roman" w:cs="Times New Roman"/>
                <w:b/>
                <w:bCs w:val="0"/>
                <w:color w:val="000000"/>
                <w:sz w:val="20"/>
                <w:szCs w:val="22"/>
                <w:vertAlign w:val="baseline"/>
                <w:lang w:val="en-US" w:eastAsia="zh-CN"/>
              </w:rPr>
            </w:pPr>
            <w:r>
              <w:rPr>
                <w:rFonts w:hint="default" w:ascii="Times New Roman" w:hAnsi="Times New Roman" w:eastAsia="宋体" w:cs="Times New Roman"/>
                <w:b/>
                <w:bCs w:val="0"/>
                <w:color w:val="000000"/>
                <w:kern w:val="0"/>
                <w:sz w:val="22"/>
                <w:szCs w:val="22"/>
                <w:lang w:val="en-US" w:eastAsia="zh-CN" w:bidi="ar"/>
              </w:rPr>
              <w:t>TTC阈值</w:t>
            </w:r>
          </w:p>
        </w:tc>
        <w:tc>
          <w:tcPr>
            <w:tcW w:w="2941" w:type="dxa"/>
            <w:tcBorders>
              <w:top w:val="single" w:color="000000" w:sz="4" w:space="0"/>
              <w:left w:val="nil"/>
              <w:bottom w:val="single" w:color="000000" w:sz="12" w:space="0"/>
              <w:right w:val="nil"/>
            </w:tcBorders>
            <w:shd w:val="clear" w:color="auto" w:fill="FFFFFF"/>
            <w:vAlign w:val="center"/>
          </w:tcPr>
          <w:p w14:paraId="0B333C96">
            <w:pPr>
              <w:keepNext w:val="0"/>
              <w:keepLines w:val="0"/>
              <w:widowControl/>
              <w:suppressLineNumbers w:val="0"/>
              <w:jc w:val="center"/>
              <w:rPr>
                <w:rFonts w:hint="default" w:ascii="Times New Roman" w:hAnsi="Times New Roman" w:cs="Times New Roman"/>
                <w:b/>
                <w:bCs w:val="0"/>
                <w:color w:val="000000"/>
                <w:sz w:val="20"/>
                <w:szCs w:val="22"/>
                <w:vertAlign w:val="baseline"/>
                <w:lang w:val="en-US" w:eastAsia="zh-CN"/>
              </w:rPr>
            </w:pPr>
            <w:r>
              <w:rPr>
                <w:rFonts w:hint="default" w:ascii="Times New Roman" w:hAnsi="Times New Roman" w:eastAsia="宋体" w:cs="Times New Roman"/>
                <w:b/>
                <w:bCs w:val="0"/>
                <w:color w:val="000000"/>
                <w:kern w:val="0"/>
                <w:sz w:val="22"/>
                <w:szCs w:val="22"/>
                <w:lang w:val="en-US" w:eastAsia="zh-CN" w:bidi="ar"/>
              </w:rPr>
              <w:t>行为学含义</w:t>
            </w:r>
          </w:p>
        </w:tc>
        <w:tc>
          <w:tcPr>
            <w:tcW w:w="1608" w:type="dxa"/>
            <w:tcBorders>
              <w:top w:val="single" w:color="000000" w:sz="4" w:space="0"/>
              <w:left w:val="nil"/>
              <w:bottom w:val="single" w:color="000000" w:sz="12" w:space="0"/>
              <w:right w:val="nil"/>
            </w:tcBorders>
            <w:shd w:val="clear" w:color="auto" w:fill="FFFFFF"/>
            <w:vAlign w:val="center"/>
          </w:tcPr>
          <w:p w14:paraId="5924E6B2">
            <w:pPr>
              <w:keepNext w:val="0"/>
              <w:keepLines w:val="0"/>
              <w:widowControl/>
              <w:suppressLineNumbers w:val="0"/>
              <w:jc w:val="center"/>
              <w:rPr>
                <w:rFonts w:hint="default" w:ascii="Times New Roman" w:hAnsi="Times New Roman" w:cs="Times New Roman"/>
                <w:b/>
                <w:bCs w:val="0"/>
                <w:color w:val="000000"/>
                <w:sz w:val="20"/>
                <w:szCs w:val="22"/>
                <w:vertAlign w:val="baseline"/>
                <w:lang w:val="en-US" w:eastAsia="zh-CN"/>
              </w:rPr>
            </w:pPr>
            <w:r>
              <w:rPr>
                <w:rFonts w:hint="default" w:ascii="Times New Roman" w:hAnsi="Times New Roman" w:eastAsia="宋体" w:cs="Times New Roman"/>
                <w:b/>
                <w:bCs w:val="0"/>
                <w:color w:val="000000"/>
                <w:kern w:val="0"/>
                <w:sz w:val="22"/>
                <w:szCs w:val="22"/>
                <w:lang w:val="en-US" w:eastAsia="zh-CN" w:bidi="ar"/>
              </w:rPr>
              <w:t>适用</w:t>
            </w:r>
            <w:r>
              <w:rPr>
                <w:rFonts w:hint="eastAsia" w:ascii="Times New Roman" w:hAnsi="Times New Roman" w:eastAsia="宋体" w:cs="Times New Roman"/>
                <w:b/>
                <w:bCs w:val="0"/>
                <w:color w:val="000000"/>
                <w:kern w:val="0"/>
                <w:sz w:val="22"/>
                <w:szCs w:val="22"/>
                <w:lang w:val="en-US" w:eastAsia="zh-CN" w:bidi="ar"/>
              </w:rPr>
              <w:t>场景</w:t>
            </w:r>
          </w:p>
        </w:tc>
      </w:tr>
      <w:tr w14:paraId="3117C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single" w:color="000000" w:sz="12" w:space="0"/>
              <w:left w:val="nil"/>
              <w:bottom w:val="nil"/>
              <w:right w:val="nil"/>
            </w:tcBorders>
            <w:shd w:val="clear" w:color="auto" w:fill="FFFFFF"/>
            <w:vAlign w:val="center"/>
          </w:tcPr>
          <w:p w14:paraId="12250DF8">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一级：严重冲突（Severe）</w:t>
            </w:r>
          </w:p>
        </w:tc>
        <w:tc>
          <w:tcPr>
            <w:tcW w:w="2157" w:type="dxa"/>
            <w:tcBorders>
              <w:top w:val="single" w:color="000000" w:sz="12" w:space="0"/>
              <w:left w:val="nil"/>
              <w:bottom w:val="nil"/>
              <w:right w:val="nil"/>
            </w:tcBorders>
            <w:shd w:val="clear" w:color="auto" w:fill="FFFFFF"/>
            <w:vAlign w:val="center"/>
          </w:tcPr>
          <w:p w14:paraId="0DD1FF75">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TTC&lt;1.5 s</w:t>
            </w:r>
          </w:p>
        </w:tc>
        <w:tc>
          <w:tcPr>
            <w:tcW w:w="2941" w:type="dxa"/>
            <w:tcBorders>
              <w:top w:val="single" w:color="000000" w:sz="12" w:space="0"/>
              <w:left w:val="nil"/>
              <w:bottom w:val="nil"/>
              <w:right w:val="nil"/>
            </w:tcBorders>
            <w:shd w:val="clear" w:color="auto" w:fill="FFFFFF"/>
            <w:vAlign w:val="center"/>
          </w:tcPr>
          <w:p w14:paraId="301CD1C4">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已处于高度危险，双方必须立刻紧急制动或急转向才能避免碰撞</w:t>
            </w:r>
          </w:p>
        </w:tc>
        <w:tc>
          <w:tcPr>
            <w:tcW w:w="1608" w:type="dxa"/>
            <w:tcBorders>
              <w:top w:val="single" w:color="000000" w:sz="12" w:space="0"/>
              <w:left w:val="nil"/>
              <w:bottom w:val="nil"/>
              <w:right w:val="nil"/>
            </w:tcBorders>
            <w:shd w:val="clear" w:color="auto" w:fill="FFFFFF"/>
            <w:vAlign w:val="center"/>
          </w:tcPr>
          <w:p w14:paraId="39578347">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弯道、出口、视距受限或注意力分散场景常见</w:t>
            </w:r>
          </w:p>
        </w:tc>
      </w:tr>
      <w:tr w14:paraId="787A2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nil"/>
              <w:left w:val="nil"/>
              <w:bottom w:val="nil"/>
              <w:right w:val="nil"/>
            </w:tcBorders>
            <w:shd w:val="clear" w:color="auto" w:fill="FFFFFF"/>
            <w:vAlign w:val="center"/>
          </w:tcPr>
          <w:p w14:paraId="4A990D55">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二级：中度冲突（Moderate）</w:t>
            </w:r>
          </w:p>
        </w:tc>
        <w:tc>
          <w:tcPr>
            <w:tcW w:w="2157" w:type="dxa"/>
            <w:tcBorders>
              <w:top w:val="nil"/>
              <w:left w:val="nil"/>
              <w:bottom w:val="nil"/>
              <w:right w:val="nil"/>
            </w:tcBorders>
            <w:shd w:val="clear" w:color="auto" w:fill="FFFFFF"/>
            <w:vAlign w:val="center"/>
          </w:tcPr>
          <w:p w14:paraId="6400337A">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1.5 s≤TTC&lt;2.5 s</w:t>
            </w:r>
          </w:p>
        </w:tc>
        <w:tc>
          <w:tcPr>
            <w:tcW w:w="2941" w:type="dxa"/>
            <w:tcBorders>
              <w:top w:val="nil"/>
              <w:left w:val="nil"/>
              <w:bottom w:val="nil"/>
              <w:right w:val="nil"/>
            </w:tcBorders>
            <w:shd w:val="clear" w:color="auto" w:fill="FFFFFF"/>
            <w:vAlign w:val="center"/>
          </w:tcPr>
          <w:p w14:paraId="23850C84">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已进入不安全</w:t>
            </w:r>
            <w:r>
              <w:rPr>
                <w:rFonts w:hint="eastAsia" w:ascii="Times New Roman" w:hAnsi="Times New Roman" w:eastAsia="宋体" w:cs="Times New Roman"/>
                <w:b w:val="0"/>
                <w:color w:val="000000"/>
                <w:kern w:val="0"/>
                <w:sz w:val="22"/>
                <w:szCs w:val="22"/>
                <w:lang w:val="en-US" w:eastAsia="zh-CN" w:bidi="ar"/>
              </w:rPr>
              <w:t>的范畴</w:t>
            </w:r>
            <w:r>
              <w:rPr>
                <w:rFonts w:hint="default" w:ascii="Times New Roman" w:hAnsi="Times New Roman" w:eastAsia="宋体" w:cs="Times New Roman"/>
                <w:b w:val="0"/>
                <w:color w:val="000000"/>
                <w:kern w:val="0"/>
                <w:sz w:val="22"/>
                <w:szCs w:val="22"/>
                <w:lang w:val="en-US" w:eastAsia="zh-CN" w:bidi="ar"/>
              </w:rPr>
              <w:t>，双方需要快速调整速度或方向</w:t>
            </w:r>
          </w:p>
        </w:tc>
        <w:tc>
          <w:tcPr>
            <w:tcW w:w="1608" w:type="dxa"/>
            <w:tcBorders>
              <w:top w:val="nil"/>
              <w:left w:val="nil"/>
              <w:bottom w:val="nil"/>
              <w:right w:val="nil"/>
            </w:tcBorders>
            <w:shd w:val="clear" w:color="auto" w:fill="FFFFFF"/>
            <w:vAlign w:val="center"/>
          </w:tcPr>
          <w:p w14:paraId="6D38D6BC">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常见于教学楼门口、瓶颈路段</w:t>
            </w:r>
          </w:p>
        </w:tc>
      </w:tr>
      <w:tr w14:paraId="4701D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nil"/>
              <w:left w:val="nil"/>
              <w:bottom w:val="nil"/>
              <w:right w:val="nil"/>
            </w:tcBorders>
            <w:shd w:val="clear" w:color="auto" w:fill="FFFFFF"/>
            <w:vAlign w:val="center"/>
          </w:tcPr>
          <w:p w14:paraId="2D3057B9">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三级：轻微冲突（Minor）</w:t>
            </w:r>
          </w:p>
        </w:tc>
        <w:tc>
          <w:tcPr>
            <w:tcW w:w="2157" w:type="dxa"/>
            <w:tcBorders>
              <w:top w:val="nil"/>
              <w:left w:val="nil"/>
              <w:bottom w:val="nil"/>
              <w:right w:val="nil"/>
            </w:tcBorders>
            <w:shd w:val="clear" w:color="auto" w:fill="FFFFFF"/>
            <w:vAlign w:val="center"/>
          </w:tcPr>
          <w:p w14:paraId="14CEE93A">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2.5 s≤TTC&lt;3.5 s</w:t>
            </w:r>
          </w:p>
        </w:tc>
        <w:tc>
          <w:tcPr>
            <w:tcW w:w="2941" w:type="dxa"/>
            <w:tcBorders>
              <w:top w:val="nil"/>
              <w:left w:val="nil"/>
              <w:bottom w:val="nil"/>
              <w:right w:val="nil"/>
            </w:tcBorders>
            <w:shd w:val="clear" w:color="auto" w:fill="FFFFFF"/>
            <w:vAlign w:val="center"/>
          </w:tcPr>
          <w:p w14:paraId="1FD9FD6B">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有一定反应时间，但已影响正常通行，需要避让</w:t>
            </w:r>
          </w:p>
        </w:tc>
        <w:tc>
          <w:tcPr>
            <w:tcW w:w="1608" w:type="dxa"/>
            <w:tcBorders>
              <w:top w:val="nil"/>
              <w:left w:val="nil"/>
              <w:bottom w:val="nil"/>
              <w:right w:val="nil"/>
            </w:tcBorders>
            <w:shd w:val="clear" w:color="auto" w:fill="FFFFFF"/>
            <w:vAlign w:val="center"/>
          </w:tcPr>
          <w:p w14:paraId="388A76F4">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典型的“擦身而过”场景</w:t>
            </w:r>
          </w:p>
        </w:tc>
      </w:tr>
      <w:tr w14:paraId="6DF7C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nil"/>
              <w:left w:val="nil"/>
              <w:bottom w:val="single" w:color="000000" w:sz="4" w:space="0"/>
              <w:right w:val="nil"/>
            </w:tcBorders>
            <w:shd w:val="clear" w:color="auto" w:fill="FFFFFF"/>
            <w:vAlign w:val="center"/>
          </w:tcPr>
          <w:p w14:paraId="763DCF4E">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四级：潜在冲突（Potential）</w:t>
            </w:r>
          </w:p>
        </w:tc>
        <w:tc>
          <w:tcPr>
            <w:tcW w:w="2157" w:type="dxa"/>
            <w:tcBorders>
              <w:top w:val="nil"/>
              <w:left w:val="nil"/>
              <w:bottom w:val="single" w:color="000000" w:sz="4" w:space="0"/>
              <w:right w:val="nil"/>
            </w:tcBorders>
            <w:shd w:val="clear" w:color="auto" w:fill="FFFFFF"/>
            <w:vAlign w:val="center"/>
          </w:tcPr>
          <w:p w14:paraId="43F223C2">
            <w:pPr>
              <w:keepNext w:val="0"/>
              <w:keepLines w:val="0"/>
              <w:widowControl/>
              <w:suppressLineNumbers w:val="0"/>
              <w:jc w:val="left"/>
              <w:rPr>
                <w:rStyle w:val="11"/>
                <w:rFonts w:hint="default" w:ascii="Times New Roman" w:hAnsi="Times New Roman" w:eastAsia="宋体" w:cs="Times New Roman"/>
                <w:b w:val="0"/>
                <w:color w:val="000000"/>
                <w:kern w:val="0"/>
                <w:sz w:val="22"/>
                <w:szCs w:val="22"/>
                <w:lang w:val="en-US" w:eastAsia="zh-CN" w:bidi="ar"/>
              </w:rPr>
            </w:pPr>
            <w:r>
              <w:rPr>
                <w:rStyle w:val="11"/>
                <w:rFonts w:hint="default" w:ascii="Times New Roman" w:hAnsi="Times New Roman" w:eastAsia="宋体" w:cs="Times New Roman"/>
                <w:b w:val="0"/>
                <w:color w:val="000000"/>
                <w:kern w:val="0"/>
                <w:sz w:val="22"/>
                <w:szCs w:val="22"/>
                <w:lang w:val="en-US" w:eastAsia="zh-CN" w:bidi="ar"/>
              </w:rPr>
              <w:t>TTC≥3.5 s</w:t>
            </w:r>
          </w:p>
          <w:p w14:paraId="14E8ECF9">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（但伴随明显避让行为）</w:t>
            </w:r>
          </w:p>
        </w:tc>
        <w:tc>
          <w:tcPr>
            <w:tcW w:w="2941" w:type="dxa"/>
            <w:tcBorders>
              <w:top w:val="nil"/>
              <w:left w:val="nil"/>
              <w:bottom w:val="single" w:color="000000" w:sz="4" w:space="0"/>
              <w:right w:val="nil"/>
            </w:tcBorders>
            <w:shd w:val="clear" w:color="auto" w:fill="FFFFFF"/>
            <w:vAlign w:val="center"/>
          </w:tcPr>
          <w:p w14:paraId="0B86843B">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虽未</w:t>
            </w:r>
            <w:r>
              <w:rPr>
                <w:rFonts w:hint="eastAsia" w:ascii="Times New Roman" w:hAnsi="Times New Roman" w:eastAsia="宋体" w:cs="Times New Roman"/>
                <w:b w:val="0"/>
                <w:color w:val="000000"/>
                <w:kern w:val="0"/>
                <w:sz w:val="22"/>
                <w:szCs w:val="22"/>
                <w:lang w:val="en-US" w:eastAsia="zh-CN" w:bidi="ar"/>
              </w:rPr>
              <w:t>达到</w:t>
            </w:r>
            <w:r>
              <w:rPr>
                <w:rFonts w:hint="default" w:ascii="Times New Roman" w:hAnsi="Times New Roman" w:eastAsia="宋体" w:cs="Times New Roman"/>
                <w:b w:val="0"/>
                <w:color w:val="000000"/>
                <w:kern w:val="0"/>
                <w:sz w:val="22"/>
                <w:szCs w:val="22"/>
                <w:lang w:val="en-US" w:eastAsia="zh-CN" w:bidi="ar"/>
              </w:rPr>
              <w:t>危险阈值，但存在注意力分散、路径纠错等行为线索</w:t>
            </w:r>
          </w:p>
        </w:tc>
        <w:tc>
          <w:tcPr>
            <w:tcW w:w="1608" w:type="dxa"/>
            <w:tcBorders>
              <w:top w:val="nil"/>
              <w:left w:val="nil"/>
              <w:bottom w:val="single" w:color="000000" w:sz="4" w:space="0"/>
              <w:right w:val="nil"/>
            </w:tcBorders>
            <w:shd w:val="clear" w:color="auto" w:fill="FFFFFF"/>
            <w:vAlign w:val="center"/>
          </w:tcPr>
          <w:p w14:paraId="6ECB5BB0">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步行区与骑行区交叉口常见</w:t>
            </w:r>
          </w:p>
        </w:tc>
      </w:tr>
    </w:tbl>
    <w:p w14:paraId="05504A99">
      <w:pPr>
        <w:pStyle w:val="4"/>
        <w:ind w:left="0" w:leftChars="0" w:firstLine="480" w:firstLineChars="200"/>
        <w:jc w:val="both"/>
        <w:rPr>
          <w:rFonts w:hint="default" w:ascii="Times New Roman" w:hAnsi="Times New Roman" w:eastAsia="宋体" w:cs="Times New Roman"/>
        </w:rPr>
      </w:pP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访谈数据方面，本研究采用主题分析法进行处理</w:t>
      </w:r>
      <w:r>
        <w:rPr>
          <w:rFonts w:hint="default" w:ascii="Times New Roman" w:hAnsi="Times New Roman" w:cs="Times New Roman"/>
          <w:lang w:val="en-US" w:eastAsia="zh-CN"/>
          <w:vertAlign w:val="superscript"/>
        </w:rPr>
        <w:t xml:space="preserve">[25]</w:t>
      </w:r>
      <w:r>
        <w:rPr>
          <w:rFonts w:hint="default" w:ascii="Times New Roman" w:hAnsi="Times New Roman" w:cs="Times New Roman"/>
          <w:lang w:val="en-US" w:eastAsia="zh-CN"/>
        </w:rPr>
        <w:t xml:space="preserve">。首先，将53份访谈录音进行逐字转录，形成文本材料。研究团队按照传统的质性分析程序实施三级编码</w:t>
      </w:r>
      <w:r>
        <w:rPr>
          <w:rFonts w:hint="default" w:ascii="Times New Roman" w:hAnsi="Times New Roman" w:cs="Times New Roman"/>
          <w:lang w:val="en-US" w:eastAsia="zh-CN"/>
          <w:vertAlign w:val="superscript"/>
        </w:rPr>
        <w:t xml:space="preserve">[26]</w:t>
      </w:r>
      <w:r>
        <w:rPr>
          <w:rFonts w:hint="default" w:ascii="Times New Roman" w:hAnsi="Times New Roman" w:cs="Times New Roman"/>
          <w:lang w:val="en-US" w:eastAsia="zh-CN"/>
        </w:rPr>
        <w:t xml:space="preserve">：通过开放式编码识别出286个初始概念，再通过轴心编码将这些概念归纳为42个类属，最后通过选择性编码提炼出8个核心主题。这一编码过程在两名研究者间交叉进行，并通过讨论达成编码一致性，以揭示访谈材料中的主要主题和潜在逻辑。</w:t>
      </w:r>
    </w:p>
    <w:p w14:paraId="430D7900">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问卷采用线上线下相结合的方式进行数据采集。线上问卷通过问卷星平台发布，线下问卷则由调查员在12个观察点位现场街头拦截式调研。同时，使用“滚雪球抽样法”重点收集在该点位有实际使用经验的师生意见。为确保问卷质量，研究团队设置了注意力检查题和逻辑一致性检查机制，剔除明显不认真作答的问卷，最终有效问卷数量与有效率见前文数据采集阶段的说明。</w:t>
      </w:r>
    </w:p>
    <w:p w14:paraId="353B9EF9">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通过问卷调查获得的主观感知数据与前期客观测量数据进行了交叉验证。相关分析显示，客观环境指标与主观感知评价之间存在显著的正相关关系，表明使用者能够较为准确地感知环境特征，也证明了问卷设计的有效性。同时，问卷中收集的开放式意见和改善建议为后续制定优化方案提供了宝贵的一手资料，使研究成果更加贴近实际需求，具有更强的实践指导价值。</w:t>
      </w:r>
    </w:p>
    <w:p w14:paraId="707023E3">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4.1.</w:t>
      </w:r>
      <w:r>
        <w:rPr>
          <w:rFonts w:hint="eastAsia" w:ascii="黑体" w:hAnsi="黑体" w:eastAsia="黑体"/>
          <w:b w:val="0"/>
          <w:bCs w:val="0"/>
          <w:sz w:val="30"/>
          <w:szCs w:val="30"/>
          <w:lang w:val="en-US" w:eastAsia="zh-CN"/>
        </w:rPr>
        <w:t>2校园共享交通道路冲突事件的数据分析</w:t>
      </w:r>
    </w:p>
    <w:p w14:paraId="7278A9D6">
      <w:pPr>
        <w:pStyle w:val="4"/>
        <w:ind w:left="0" w:leftChars="0" w:firstLine="0" w:firstLineChars="0"/>
        <w:rPr>
          <w:rFonts w:hint="eastAsia" w:ascii="黑体" w:hAnsi="黑体" w:eastAsia="黑体" w:cs="黑体"/>
          <w:lang w:val="en-US" w:eastAsia="zh-CN"/>
        </w:rPr>
      </w:pPr>
      <w:r>
        <w:rPr>
          <w:rFonts w:hint="eastAsia" w:ascii="黑体" w:hAnsi="黑体" w:eastAsia="黑体" w:cs="黑体"/>
          <w:lang w:val="en-US" w:eastAsia="zh-CN"/>
        </w:rPr>
        <w:t>（1）冲突事件总体分布</w:t>
      </w:r>
    </w:p>
    <w:p w14:paraId="380C6E06">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经过系统观察和分析，共识别出294起有效冲突事件。按严重程度分类：严重冲突43起（占14.6%），中度冲突93起（占31.6%），轻微冲突116起（占39.5%），潜在冲突42起（占14.3%）。这些冲突事件在时间和空间维度上呈现出明显的分布规律。</w:t>
      </w:r>
    </w:p>
    <w:p w14:paraId="69478DC7">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从时段分布角度考察，早高峰时段是冲突事件最为集中的时段，该时段内共发生冲突事件83起，占冲突事件总数的28.2%，这一情况与早课开始前7时30分至8时这一时间段内人员集中出行的现象高度契合。晚高峰时段冲突事件的发生数量次之，为77起，占总数的26.2%，主要集中于下午课程结束后的17时至18时。午高峰时段发生冲突事件65起，占总数的22.1%，这与中午就餐时段人员流量集中的情况密切相关。其余非高峰时段发生的零散冲突事件总计69起，占总数的23.5%，这些冲突事件的分布相对均匀，且引发冲突的原因具有多样性特征。</w:t>
      </w:r>
    </w:p>
    <w:p w14:paraId="2DE1F24C">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2</w:t>
      </w:r>
      <w:r>
        <w:rPr>
          <w:rFonts w:hint="default" w:ascii="黑体" w:hAnsi="黑体" w:eastAsia="黑体" w:cs="黑体"/>
          <w:lang w:val="en-US" w:eastAsia="zh-CN"/>
        </w:rPr>
        <w:t>）冲突事件空间分布特征</w:t>
      </w:r>
    </w:p>
    <w:p w14:paraId="39DEB66D">
      <w:pPr>
        <w:pStyle w:val="4"/>
        <w:jc w:val="both"/>
        <w:rPr>
          <w:rFonts w:hint="default" w:ascii="Times New Roman" w:hAnsi="Times New Roman" w:cs="Times New Roman"/>
          <w:lang w:val="en-US" w:eastAsia="zh-CN"/>
        </w:rPr>
      </w:pPr>
      <w:r>
        <w:rPr>
          <w:rFonts w:hint="eastAsia" w:ascii="Times New Roman" w:hAnsi="Times New Roman" w:cs="Times New Roman"/>
          <w:lang w:val="en-US" w:eastAsia="zh-CN"/>
        </w:rPr>
        <w:t>冲突事件在空间上呈现明显的热点聚集现象，本研究识别出五个主要冲突热点区域（具体点位数据如表4所示，如图3、图4所示）。工程一号楼主入口区域位居首位，累计发生冲突43起，占总数的14.6%，该区域在早晚课时段因大量学生集中进出而形成明显的交通瓶颈，道路宽度且缺乏有效的人车分流设施。西苑</w:t>
      </w:r>
      <w:r>
        <w:rPr>
          <w:rFonts w:hint="default" w:ascii="Times New Roman" w:hAnsi="Times New Roman" w:cs="Times New Roman"/>
          <w:lang w:val="en-US" w:eastAsia="zh-CN"/>
        </w:rPr>
        <w:t>食堂</w:t>
      </w:r>
      <w:r>
        <w:rPr>
          <w:rFonts w:hint="eastAsia" w:ascii="Times New Roman" w:hAnsi="Times New Roman" w:cs="Times New Roman"/>
          <w:lang w:val="en-US" w:eastAsia="zh-CN"/>
        </w:rPr>
        <w:t>T字路口紧随其后，发生冲突36起，占12.2%，该路口连接主要教学区与生活区，形成交通流的高度交汇点，高峰时段每小时人流量超过800人次。西苑公寓发生冲突27起，占9.2%，该路段因停放机动车与非机动车较多，导致骑行者与行人之间的有效视距不足。中央大道主校道横纵轴连接处发生冲突25起，占8.5%，该区域在下午16时至18时的课外活动时段交通密度显著提升，部分学生在体育锻炼后处于疲劳状态，反应能力和注意力水平下降。图书馆南门发生冲突21起，占7.1%，该</w:t>
      </w:r>
      <w:r>
        <w:rPr>
          <w:rFonts w:hint="default" w:ascii="Times New Roman" w:hAnsi="Times New Roman" w:cs="Times New Roman"/>
          <w:lang w:val="en-US" w:eastAsia="zh-CN"/>
        </w:rPr>
        <w:t>区域的冲突主要源于人群的随机运动模式</w:t>
      </w:r>
      <w:r>
        <w:rPr>
          <w:rFonts w:hint="eastAsia" w:ascii="Times New Roman" w:hAnsi="Times New Roman" w:cs="Times New Roman"/>
          <w:lang w:val="en-US" w:eastAsia="zh-CN"/>
        </w:rPr>
        <w:t>，以及该位置位于通往教学楼、图书馆、食堂及宿舍多个区域的路段，导致该区域</w:t>
      </w:r>
      <w:r>
        <w:rPr>
          <w:rFonts w:hint="default" w:ascii="Times New Roman" w:hAnsi="Times New Roman" w:cs="Times New Roman"/>
          <w:lang w:val="en-US" w:eastAsia="zh-CN"/>
        </w:rPr>
        <w:t>交通组织混乱。上述</w:t>
      </w:r>
      <w:r>
        <w:rPr>
          <w:rFonts w:hint="eastAsia" w:ascii="Times New Roman" w:hAnsi="Times New Roman" w:cs="Times New Roman"/>
          <w:lang w:val="en-US" w:eastAsia="zh-CN"/>
        </w:rPr>
        <w:t>5</w:t>
      </w:r>
      <w:r>
        <w:rPr>
          <w:rFonts w:hint="default" w:ascii="Times New Roman" w:hAnsi="Times New Roman" w:cs="Times New Roman"/>
          <w:lang w:val="en-US" w:eastAsia="zh-CN"/>
        </w:rPr>
        <w:t>个热点区域的冲突事件合计152起，占总数的51.7%，显示出冲突事件的高度空间集中特征。其余七个观察点位分布较为分散，合计发生冲突142起，占48.3%，这些区域的冲突发生率相对较低，且多为偶发性事件。</w:t>
      </w:r>
    </w:p>
    <w:p w14:paraId="07F05B66">
      <w:pPr>
        <w:pStyle w:val="4"/>
        <w:jc w:val="both"/>
        <w:rPr>
          <w:rFonts w:hint="default" w:ascii="Times New Roman" w:hAnsi="Times New Roman" w:cs="Times New Roman"/>
          <w:lang w:val="en-US" w:eastAsia="zh-CN"/>
        </w:rPr>
      </w:pPr>
    </w:p>
    <w:p w14:paraId="4009F490">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表</w:t>
      </w:r>
      <w:r>
        <w:rPr>
          <w:rFonts w:hint="default" w:ascii="Times New Roman" w:hAnsi="Times New Roman" w:cs="Times New Roman"/>
          <w:lang w:val="en-US" w:eastAsia="zh-CN"/>
        </w:rPr>
        <w:t>4</w:t>
      </w:r>
      <w:r>
        <w:rPr>
          <w:rFonts w:hint="eastAsia" w:ascii="Times New Roman" w:hAnsi="Times New Roman" w:cs="Times New Roman"/>
          <w:lang w:val="en-US" w:eastAsia="zh-CN"/>
        </w:rPr>
        <w:t xml:space="preserve"> </w:t>
      </w:r>
      <w:r>
        <w:rPr>
          <w:rFonts w:hint="default" w:ascii="Times New Roman" w:hAnsi="Times New Roman" w:eastAsia="宋体" w:cs="Times New Roman"/>
          <w:lang w:val="en-US" w:eastAsia="zh-CN"/>
        </w:rPr>
        <w:t>冲突事件空间分布统计</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6"/>
        <w:gridCol w:w="3379"/>
        <w:gridCol w:w="1033"/>
        <w:gridCol w:w="1317"/>
        <w:gridCol w:w="1240"/>
      </w:tblGrid>
      <w:tr w14:paraId="00458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1026" w:type="dxa"/>
            <w:tcBorders>
              <w:top w:val="single" w:color="000000" w:sz="4" w:space="0"/>
              <w:left w:val="nil"/>
              <w:bottom w:val="single" w:color="000000" w:sz="12" w:space="0"/>
              <w:right w:val="nil"/>
            </w:tcBorders>
            <w:shd w:val="clear" w:color="auto" w:fill="FFFFFF"/>
            <w:vAlign w:val="center"/>
          </w:tcPr>
          <w:p w14:paraId="152B38F1">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val="0"/>
                <w:color w:val="000000"/>
                <w:kern w:val="0"/>
                <w:sz w:val="24"/>
                <w:szCs w:val="24"/>
                <w:lang w:val="en-US" w:eastAsia="zh-CN" w:bidi="ar"/>
              </w:rPr>
              <w:t>观察点</w:t>
            </w:r>
          </w:p>
        </w:tc>
        <w:tc>
          <w:tcPr>
            <w:tcW w:w="3379" w:type="dxa"/>
            <w:tcBorders>
              <w:top w:val="single" w:color="000000" w:sz="4" w:space="0"/>
              <w:left w:val="nil"/>
              <w:bottom w:val="single" w:color="000000" w:sz="12" w:space="0"/>
              <w:right w:val="nil"/>
            </w:tcBorders>
            <w:shd w:val="clear" w:color="auto" w:fill="FFFFFF"/>
            <w:vAlign w:val="center"/>
          </w:tcPr>
          <w:p w14:paraId="461EE5AC">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val="0"/>
                <w:color w:val="000000"/>
                <w:kern w:val="0"/>
                <w:sz w:val="24"/>
                <w:szCs w:val="24"/>
                <w:lang w:val="en-US" w:eastAsia="zh-CN" w:bidi="ar"/>
              </w:rPr>
              <w:t>位置</w:t>
            </w:r>
          </w:p>
        </w:tc>
        <w:tc>
          <w:tcPr>
            <w:tcW w:w="1033" w:type="dxa"/>
            <w:tcBorders>
              <w:top w:val="single" w:color="000000" w:sz="4" w:space="0"/>
              <w:left w:val="nil"/>
              <w:bottom w:val="single" w:color="000000" w:sz="12" w:space="0"/>
              <w:right w:val="nil"/>
            </w:tcBorders>
            <w:shd w:val="clear" w:color="auto" w:fill="FFFFFF"/>
            <w:vAlign w:val="center"/>
          </w:tcPr>
          <w:p w14:paraId="6C45CC5D">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val="0"/>
                <w:color w:val="000000"/>
                <w:kern w:val="0"/>
                <w:sz w:val="24"/>
                <w:szCs w:val="24"/>
                <w:lang w:val="en-US" w:eastAsia="zh-CN" w:bidi="ar"/>
              </w:rPr>
              <w:t>冲突数</w:t>
            </w:r>
          </w:p>
        </w:tc>
        <w:tc>
          <w:tcPr>
            <w:tcW w:w="1317" w:type="dxa"/>
            <w:tcBorders>
              <w:top w:val="single" w:color="000000" w:sz="4" w:space="0"/>
              <w:left w:val="nil"/>
              <w:bottom w:val="single" w:color="000000" w:sz="12" w:space="0"/>
              <w:right w:val="nil"/>
            </w:tcBorders>
            <w:shd w:val="clear" w:color="auto" w:fill="FFFFFF"/>
            <w:vAlign w:val="center"/>
          </w:tcPr>
          <w:p w14:paraId="3C79C895">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val="0"/>
                <w:color w:val="000000"/>
                <w:kern w:val="0"/>
                <w:sz w:val="24"/>
                <w:szCs w:val="24"/>
                <w:lang w:val="en-US" w:eastAsia="zh-CN" w:bidi="ar"/>
              </w:rPr>
              <w:t>占比</w:t>
            </w:r>
            <w:r>
              <w:rPr>
                <w:rFonts w:hint="eastAsia" w:ascii="Times New Roman" w:hAnsi="Times New Roman" w:eastAsia="宋体" w:cs="Times New Roman"/>
                <w:b/>
                <w:bCs w:val="0"/>
                <w:color w:val="000000"/>
                <w:kern w:val="0"/>
                <w:sz w:val="24"/>
                <w:szCs w:val="24"/>
                <w:lang w:val="en-US" w:eastAsia="zh-CN" w:bidi="ar"/>
              </w:rPr>
              <w:t>（</w:t>
            </w:r>
            <w:r>
              <w:rPr>
                <w:rFonts w:hint="default" w:ascii="Times New Roman" w:hAnsi="Times New Roman" w:eastAsia="宋体" w:cs="Times New Roman"/>
                <w:b/>
                <w:bCs w:val="0"/>
                <w:color w:val="000000"/>
                <w:kern w:val="0"/>
                <w:sz w:val="24"/>
                <w:szCs w:val="24"/>
                <w:lang w:val="en-US" w:eastAsia="zh-CN" w:bidi="ar"/>
              </w:rPr>
              <w:t>%</w:t>
            </w:r>
            <w:r>
              <w:rPr>
                <w:rFonts w:hint="eastAsia" w:ascii="Times New Roman" w:hAnsi="Times New Roman" w:eastAsia="宋体" w:cs="Times New Roman"/>
                <w:b/>
                <w:bCs w:val="0"/>
                <w:color w:val="000000"/>
                <w:kern w:val="0"/>
                <w:sz w:val="24"/>
                <w:szCs w:val="24"/>
                <w:lang w:val="en-US" w:eastAsia="zh-CN" w:bidi="ar"/>
              </w:rPr>
              <w:t>）</w:t>
            </w:r>
          </w:p>
        </w:tc>
        <w:tc>
          <w:tcPr>
            <w:tcW w:w="1240" w:type="dxa"/>
            <w:tcBorders>
              <w:top w:val="single" w:color="000000" w:sz="4" w:space="0"/>
              <w:left w:val="nil"/>
              <w:bottom w:val="single" w:color="000000" w:sz="12" w:space="0"/>
              <w:right w:val="nil"/>
            </w:tcBorders>
            <w:shd w:val="clear" w:color="auto" w:fill="FFFFFF"/>
            <w:vAlign w:val="center"/>
          </w:tcPr>
          <w:p w14:paraId="48677C11">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val="0"/>
                <w:color w:val="000000"/>
                <w:kern w:val="0"/>
                <w:sz w:val="24"/>
                <w:szCs w:val="24"/>
                <w:lang w:val="en-US" w:eastAsia="zh-CN" w:bidi="ar"/>
              </w:rPr>
              <w:t>严重等级</w:t>
            </w:r>
          </w:p>
        </w:tc>
      </w:tr>
      <w:tr w14:paraId="42F89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single" w:color="000000" w:sz="12" w:space="0"/>
              <w:left w:val="nil"/>
              <w:bottom w:val="nil"/>
              <w:right w:val="nil"/>
            </w:tcBorders>
            <w:shd w:val="clear" w:color="auto" w:fill="FFFFFF"/>
            <w:vAlign w:val="center"/>
          </w:tcPr>
          <w:p w14:paraId="47B16284">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P0</w:t>
            </w:r>
            <w:r>
              <w:rPr>
                <w:rFonts w:hint="eastAsia" w:ascii="Times New Roman" w:hAnsi="Times New Roman" w:eastAsia="宋体" w:cs="Times New Roman"/>
                <w:b w:val="0"/>
                <w:color w:val="000000"/>
                <w:kern w:val="0"/>
                <w:sz w:val="24"/>
                <w:szCs w:val="24"/>
                <w:lang w:val="en-US" w:eastAsia="zh-CN" w:bidi="ar"/>
              </w:rPr>
              <w:t>2</w:t>
            </w:r>
          </w:p>
        </w:tc>
        <w:tc>
          <w:tcPr>
            <w:tcW w:w="3379" w:type="dxa"/>
            <w:tcBorders>
              <w:top w:val="single" w:color="000000" w:sz="12" w:space="0"/>
              <w:left w:val="nil"/>
              <w:bottom w:val="nil"/>
              <w:right w:val="nil"/>
            </w:tcBorders>
            <w:shd w:val="clear" w:color="auto" w:fill="FFFFFF"/>
            <w:vAlign w:val="center"/>
          </w:tcPr>
          <w:p w14:paraId="6D0DEC4D">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eastAsia" w:ascii="Times New Roman" w:hAnsi="Times New Roman" w:eastAsia="宋体" w:cs="Times New Roman"/>
                <w:b w:val="0"/>
                <w:color w:val="000000"/>
                <w:kern w:val="0"/>
                <w:sz w:val="24"/>
                <w:szCs w:val="24"/>
                <w:lang w:val="en-US" w:eastAsia="zh-CN" w:bidi="ar"/>
              </w:rPr>
              <w:t>工程一号楼主入口</w:t>
            </w:r>
          </w:p>
        </w:tc>
        <w:tc>
          <w:tcPr>
            <w:tcW w:w="1033" w:type="dxa"/>
            <w:tcBorders>
              <w:top w:val="single" w:color="000000" w:sz="12" w:space="0"/>
              <w:left w:val="nil"/>
              <w:bottom w:val="nil"/>
              <w:right w:val="nil"/>
            </w:tcBorders>
            <w:shd w:val="clear" w:color="auto" w:fill="FFFFFF"/>
            <w:vAlign w:val="center"/>
          </w:tcPr>
          <w:p w14:paraId="032EB9BF">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43</w:t>
            </w:r>
          </w:p>
        </w:tc>
        <w:tc>
          <w:tcPr>
            <w:tcW w:w="1317" w:type="dxa"/>
            <w:tcBorders>
              <w:top w:val="single" w:color="000000" w:sz="12" w:space="0"/>
              <w:left w:val="nil"/>
              <w:bottom w:val="nil"/>
              <w:right w:val="nil"/>
            </w:tcBorders>
            <w:shd w:val="clear" w:color="auto" w:fill="FFFFFF"/>
            <w:vAlign w:val="center"/>
          </w:tcPr>
          <w:p w14:paraId="67C8DA8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14.6</w:t>
            </w:r>
          </w:p>
        </w:tc>
        <w:tc>
          <w:tcPr>
            <w:tcW w:w="1240" w:type="dxa"/>
            <w:tcBorders>
              <w:top w:val="single" w:color="000000" w:sz="12" w:space="0"/>
              <w:left w:val="nil"/>
              <w:bottom w:val="nil"/>
              <w:right w:val="nil"/>
            </w:tcBorders>
            <w:shd w:val="clear" w:color="auto" w:fill="FFFFFF"/>
            <w:vAlign w:val="center"/>
          </w:tcPr>
          <w:p w14:paraId="14B6238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极高</w:t>
            </w:r>
          </w:p>
        </w:tc>
      </w:tr>
      <w:tr w14:paraId="5313F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nil"/>
              <w:right w:val="nil"/>
            </w:tcBorders>
            <w:shd w:val="clear" w:color="auto" w:fill="FFFFFF"/>
            <w:vAlign w:val="center"/>
          </w:tcPr>
          <w:p w14:paraId="08BDA3A4">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P0</w:t>
            </w:r>
            <w:r>
              <w:rPr>
                <w:rFonts w:hint="eastAsia" w:ascii="Times New Roman" w:hAnsi="Times New Roman" w:eastAsia="宋体" w:cs="Times New Roman"/>
                <w:b w:val="0"/>
                <w:color w:val="000000"/>
                <w:kern w:val="0"/>
                <w:sz w:val="24"/>
                <w:szCs w:val="24"/>
                <w:lang w:val="en-US" w:eastAsia="zh-CN" w:bidi="ar"/>
              </w:rPr>
              <w:t>5</w:t>
            </w:r>
          </w:p>
        </w:tc>
        <w:tc>
          <w:tcPr>
            <w:tcW w:w="3379" w:type="dxa"/>
            <w:tcBorders>
              <w:top w:val="nil"/>
              <w:left w:val="nil"/>
              <w:bottom w:val="nil"/>
              <w:right w:val="nil"/>
            </w:tcBorders>
            <w:shd w:val="clear" w:color="auto" w:fill="FFFFFF"/>
            <w:vAlign w:val="center"/>
          </w:tcPr>
          <w:p w14:paraId="79444D0F">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eastAsia" w:ascii="Times New Roman" w:hAnsi="Times New Roman" w:eastAsia="宋体" w:cs="Times New Roman"/>
                <w:b w:val="0"/>
                <w:color w:val="000000"/>
                <w:kern w:val="0"/>
                <w:sz w:val="24"/>
                <w:szCs w:val="24"/>
                <w:lang w:val="en-US" w:eastAsia="zh-CN" w:bidi="ar"/>
              </w:rPr>
              <w:t>西苑食堂</w:t>
            </w:r>
            <w:r>
              <w:rPr>
                <w:rFonts w:hint="default" w:ascii="Times New Roman" w:hAnsi="Times New Roman" w:eastAsia="宋体" w:cs="Times New Roman"/>
                <w:b w:val="0"/>
                <w:color w:val="000000"/>
                <w:kern w:val="0"/>
                <w:sz w:val="24"/>
                <w:szCs w:val="24"/>
                <w:lang w:val="en-US" w:eastAsia="zh-CN" w:bidi="ar"/>
              </w:rPr>
              <w:t>T字路口</w:t>
            </w:r>
          </w:p>
        </w:tc>
        <w:tc>
          <w:tcPr>
            <w:tcW w:w="1033" w:type="dxa"/>
            <w:tcBorders>
              <w:top w:val="nil"/>
              <w:left w:val="nil"/>
              <w:bottom w:val="nil"/>
              <w:right w:val="nil"/>
            </w:tcBorders>
            <w:shd w:val="clear" w:color="auto" w:fill="FFFFFF"/>
            <w:vAlign w:val="center"/>
          </w:tcPr>
          <w:p w14:paraId="0C2CFFA9">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36</w:t>
            </w:r>
          </w:p>
        </w:tc>
        <w:tc>
          <w:tcPr>
            <w:tcW w:w="1317" w:type="dxa"/>
            <w:tcBorders>
              <w:top w:val="nil"/>
              <w:left w:val="nil"/>
              <w:bottom w:val="nil"/>
              <w:right w:val="nil"/>
            </w:tcBorders>
            <w:shd w:val="clear" w:color="auto" w:fill="FFFFFF"/>
            <w:vAlign w:val="center"/>
          </w:tcPr>
          <w:p w14:paraId="588B458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12.2</w:t>
            </w:r>
          </w:p>
        </w:tc>
        <w:tc>
          <w:tcPr>
            <w:tcW w:w="1240" w:type="dxa"/>
            <w:tcBorders>
              <w:top w:val="nil"/>
              <w:left w:val="nil"/>
              <w:bottom w:val="nil"/>
              <w:right w:val="nil"/>
            </w:tcBorders>
            <w:shd w:val="clear" w:color="auto" w:fill="FFFFFF"/>
            <w:vAlign w:val="center"/>
          </w:tcPr>
          <w:p w14:paraId="6A3FA73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极高</w:t>
            </w:r>
          </w:p>
        </w:tc>
      </w:tr>
      <w:tr w14:paraId="24571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nil"/>
              <w:right w:val="nil"/>
            </w:tcBorders>
            <w:shd w:val="clear" w:color="auto" w:fill="FFFFFF"/>
            <w:vAlign w:val="center"/>
          </w:tcPr>
          <w:p w14:paraId="54DFD505">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 xml:space="preserve">P10</w:t>
            </w:r>
          </w:p>
        </w:tc>
        <w:tc>
          <w:tcPr>
            <w:tcW w:w="3379" w:type="dxa"/>
            <w:tcBorders>
              <w:top w:val="nil"/>
              <w:left w:val="nil"/>
              <w:bottom w:val="nil"/>
              <w:right w:val="nil"/>
            </w:tcBorders>
            <w:shd w:val="clear" w:color="auto" w:fill="FFFFFF"/>
            <w:vAlign w:val="center"/>
          </w:tcPr>
          <w:p w14:paraId="6A8B9048">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eastAsia" w:ascii="Times New Roman" w:hAnsi="Times New Roman" w:eastAsia="宋体" w:cs="Times New Roman"/>
                <w:b w:val="0"/>
                <w:color w:val="000000"/>
                <w:sz w:val="24"/>
                <w:szCs w:val="24"/>
                <w:vertAlign w:val="baseline"/>
                <w:lang w:val="en-US" w:eastAsia="zh-CN"/>
              </w:rPr>
              <w:t>西苑公寓</w:t>
            </w:r>
          </w:p>
        </w:tc>
        <w:tc>
          <w:tcPr>
            <w:tcW w:w="1033" w:type="dxa"/>
            <w:tcBorders>
              <w:top w:val="nil"/>
              <w:left w:val="nil"/>
              <w:bottom w:val="nil"/>
              <w:right w:val="nil"/>
            </w:tcBorders>
            <w:shd w:val="clear" w:color="auto" w:fill="FFFFFF"/>
            <w:vAlign w:val="center"/>
          </w:tcPr>
          <w:p w14:paraId="56D927E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27</w:t>
            </w:r>
          </w:p>
        </w:tc>
        <w:tc>
          <w:tcPr>
            <w:tcW w:w="1317" w:type="dxa"/>
            <w:tcBorders>
              <w:top w:val="nil"/>
              <w:left w:val="nil"/>
              <w:bottom w:val="nil"/>
              <w:right w:val="nil"/>
            </w:tcBorders>
            <w:shd w:val="clear" w:color="auto" w:fill="FFFFFF"/>
            <w:vAlign w:val="center"/>
          </w:tcPr>
          <w:p w14:paraId="5AD6921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9.2</w:t>
            </w:r>
          </w:p>
        </w:tc>
        <w:tc>
          <w:tcPr>
            <w:tcW w:w="1240" w:type="dxa"/>
            <w:tcBorders>
              <w:top w:val="nil"/>
              <w:left w:val="nil"/>
              <w:bottom w:val="nil"/>
              <w:right w:val="nil"/>
            </w:tcBorders>
            <w:shd w:val="clear" w:color="auto" w:fill="FFFFFF"/>
            <w:vAlign w:val="center"/>
          </w:tcPr>
          <w:p w14:paraId="7CE97C3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高</w:t>
            </w:r>
          </w:p>
        </w:tc>
      </w:tr>
      <w:tr w14:paraId="1EAA7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nil"/>
              <w:right w:val="nil"/>
            </w:tcBorders>
            <w:shd w:val="clear" w:color="auto" w:fill="FFFFFF"/>
            <w:vAlign w:val="center"/>
          </w:tcPr>
          <w:p w14:paraId="58B6A90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P0</w:t>
            </w:r>
            <w:r>
              <w:rPr>
                <w:rFonts w:hint="eastAsia" w:ascii="Times New Roman" w:hAnsi="Times New Roman" w:eastAsia="宋体" w:cs="Times New Roman"/>
                <w:b w:val="0"/>
                <w:color w:val="000000"/>
                <w:kern w:val="0"/>
                <w:sz w:val="24"/>
                <w:szCs w:val="24"/>
                <w:lang w:val="en-US" w:eastAsia="zh-CN" w:bidi="ar"/>
              </w:rPr>
              <w:t>7</w:t>
            </w:r>
          </w:p>
        </w:tc>
        <w:tc>
          <w:tcPr>
            <w:tcW w:w="3379" w:type="dxa"/>
            <w:tcBorders>
              <w:top w:val="nil"/>
              <w:left w:val="nil"/>
              <w:bottom w:val="nil"/>
              <w:right w:val="nil"/>
            </w:tcBorders>
            <w:shd w:val="clear" w:color="auto" w:fill="FFFFFF"/>
            <w:vAlign w:val="center"/>
          </w:tcPr>
          <w:p w14:paraId="11A9F359">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中央大道主校道横纵轴</w:t>
            </w:r>
            <w:r>
              <w:rPr>
                <w:rFonts w:hint="eastAsia" w:ascii="Times New Roman" w:hAnsi="Times New Roman" w:eastAsia="宋体" w:cs="Times New Roman"/>
                <w:b w:val="0"/>
                <w:color w:val="000000"/>
                <w:kern w:val="0"/>
                <w:sz w:val="24"/>
                <w:szCs w:val="24"/>
                <w:lang w:val="en-US" w:eastAsia="zh-CN" w:bidi="ar"/>
              </w:rPr>
              <w:t>连接处</w:t>
            </w:r>
          </w:p>
        </w:tc>
        <w:tc>
          <w:tcPr>
            <w:tcW w:w="1033" w:type="dxa"/>
            <w:tcBorders>
              <w:top w:val="nil"/>
              <w:left w:val="nil"/>
              <w:bottom w:val="nil"/>
              <w:right w:val="nil"/>
            </w:tcBorders>
            <w:shd w:val="clear" w:color="auto" w:fill="FFFFFF"/>
            <w:vAlign w:val="center"/>
          </w:tcPr>
          <w:p w14:paraId="60B0F54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25</w:t>
            </w:r>
          </w:p>
        </w:tc>
        <w:tc>
          <w:tcPr>
            <w:tcW w:w="1317" w:type="dxa"/>
            <w:tcBorders>
              <w:top w:val="nil"/>
              <w:left w:val="nil"/>
              <w:bottom w:val="nil"/>
              <w:right w:val="nil"/>
            </w:tcBorders>
            <w:shd w:val="clear" w:color="auto" w:fill="FFFFFF"/>
            <w:vAlign w:val="center"/>
          </w:tcPr>
          <w:p w14:paraId="53C9698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8.5</w:t>
            </w:r>
          </w:p>
        </w:tc>
        <w:tc>
          <w:tcPr>
            <w:tcW w:w="1240" w:type="dxa"/>
            <w:tcBorders>
              <w:top w:val="nil"/>
              <w:left w:val="nil"/>
              <w:bottom w:val="nil"/>
              <w:right w:val="nil"/>
            </w:tcBorders>
            <w:shd w:val="clear" w:color="auto" w:fill="FFFFFF"/>
            <w:vAlign w:val="center"/>
          </w:tcPr>
          <w:p w14:paraId="0E99FC9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高</w:t>
            </w:r>
          </w:p>
        </w:tc>
      </w:tr>
      <w:tr w14:paraId="76C96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nil"/>
              <w:right w:val="nil"/>
            </w:tcBorders>
            <w:shd w:val="clear" w:color="auto" w:fill="FFFFFF"/>
            <w:vAlign w:val="center"/>
          </w:tcPr>
          <w:p w14:paraId="4D0DC1A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P</w:t>
            </w:r>
            <w:r>
              <w:rPr>
                <w:rFonts w:hint="eastAsia" w:ascii="Times New Roman" w:hAnsi="Times New Roman" w:eastAsia="宋体" w:cs="Times New Roman"/>
                <w:b w:val="0"/>
                <w:color w:val="000000"/>
                <w:kern w:val="0"/>
                <w:sz w:val="24"/>
                <w:szCs w:val="24"/>
                <w:lang w:val="en-US" w:eastAsia="zh-CN" w:bidi="ar"/>
              </w:rPr>
              <w:t>12</w:t>
            </w:r>
          </w:p>
        </w:tc>
        <w:tc>
          <w:tcPr>
            <w:tcW w:w="3379" w:type="dxa"/>
            <w:tcBorders>
              <w:top w:val="nil"/>
              <w:left w:val="nil"/>
              <w:bottom w:val="nil"/>
              <w:right w:val="nil"/>
            </w:tcBorders>
            <w:shd w:val="clear" w:color="auto" w:fill="FFFFFF"/>
            <w:vAlign w:val="center"/>
          </w:tcPr>
          <w:p w14:paraId="239B080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图书馆南门</w:t>
            </w:r>
          </w:p>
        </w:tc>
        <w:tc>
          <w:tcPr>
            <w:tcW w:w="1033" w:type="dxa"/>
            <w:tcBorders>
              <w:top w:val="nil"/>
              <w:left w:val="nil"/>
              <w:bottom w:val="nil"/>
              <w:right w:val="nil"/>
            </w:tcBorders>
            <w:shd w:val="clear" w:color="auto" w:fill="FFFFFF"/>
            <w:vAlign w:val="center"/>
          </w:tcPr>
          <w:p w14:paraId="6838957F">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21</w:t>
            </w:r>
          </w:p>
        </w:tc>
        <w:tc>
          <w:tcPr>
            <w:tcW w:w="1317" w:type="dxa"/>
            <w:tcBorders>
              <w:top w:val="nil"/>
              <w:left w:val="nil"/>
              <w:bottom w:val="nil"/>
              <w:right w:val="nil"/>
            </w:tcBorders>
            <w:shd w:val="clear" w:color="auto" w:fill="FFFFFF"/>
            <w:vAlign w:val="center"/>
          </w:tcPr>
          <w:p w14:paraId="359170C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7.1</w:t>
            </w:r>
          </w:p>
        </w:tc>
        <w:tc>
          <w:tcPr>
            <w:tcW w:w="1240" w:type="dxa"/>
            <w:tcBorders>
              <w:top w:val="nil"/>
              <w:left w:val="nil"/>
              <w:bottom w:val="nil"/>
              <w:right w:val="nil"/>
            </w:tcBorders>
            <w:shd w:val="clear" w:color="auto" w:fill="FFFFFF"/>
            <w:vAlign w:val="center"/>
          </w:tcPr>
          <w:p w14:paraId="17A2173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中</w:t>
            </w:r>
          </w:p>
        </w:tc>
      </w:tr>
      <w:tr w14:paraId="278FA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single" w:color="000000" w:sz="4" w:space="0"/>
              <w:right w:val="nil"/>
            </w:tcBorders>
            <w:shd w:val="clear" w:color="auto" w:fill="FFFFFF"/>
            <w:vAlign w:val="center"/>
          </w:tcPr>
          <w:p w14:paraId="76BC89D0">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其他</w:t>
            </w:r>
          </w:p>
        </w:tc>
        <w:tc>
          <w:tcPr>
            <w:tcW w:w="3379" w:type="dxa"/>
            <w:tcBorders>
              <w:top w:val="nil"/>
              <w:left w:val="nil"/>
              <w:bottom w:val="single" w:color="000000" w:sz="4" w:space="0"/>
              <w:right w:val="nil"/>
            </w:tcBorders>
            <w:shd w:val="clear" w:color="auto" w:fill="FFFFFF"/>
            <w:vAlign w:val="center"/>
          </w:tcPr>
          <w:p w14:paraId="08661490">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7个次要点位</w:t>
            </w:r>
          </w:p>
        </w:tc>
        <w:tc>
          <w:tcPr>
            <w:tcW w:w="1033" w:type="dxa"/>
            <w:tcBorders>
              <w:top w:val="nil"/>
              <w:left w:val="nil"/>
              <w:bottom w:val="single" w:color="000000" w:sz="4" w:space="0"/>
              <w:right w:val="nil"/>
            </w:tcBorders>
            <w:shd w:val="clear" w:color="auto" w:fill="FFFFFF"/>
            <w:vAlign w:val="center"/>
          </w:tcPr>
          <w:p w14:paraId="78B577B4">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142</w:t>
            </w:r>
          </w:p>
        </w:tc>
        <w:tc>
          <w:tcPr>
            <w:tcW w:w="1317" w:type="dxa"/>
            <w:tcBorders>
              <w:top w:val="nil"/>
              <w:left w:val="nil"/>
              <w:bottom w:val="single" w:color="000000" w:sz="4" w:space="0"/>
              <w:right w:val="nil"/>
            </w:tcBorders>
            <w:shd w:val="clear" w:color="auto" w:fill="FFFFFF"/>
            <w:vAlign w:val="center"/>
          </w:tcPr>
          <w:p w14:paraId="4315F6D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48.3</w:t>
            </w:r>
          </w:p>
        </w:tc>
        <w:tc>
          <w:tcPr>
            <w:tcW w:w="1240" w:type="dxa"/>
            <w:tcBorders>
              <w:top w:val="nil"/>
              <w:left w:val="nil"/>
              <w:bottom w:val="single" w:color="000000" w:sz="4" w:space="0"/>
              <w:right w:val="nil"/>
            </w:tcBorders>
            <w:shd w:val="clear" w:color="auto" w:fill="FFFFFF"/>
            <w:vAlign w:val="center"/>
          </w:tcPr>
          <w:p w14:paraId="74D8C5F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中低</w:t>
            </w:r>
          </w:p>
        </w:tc>
      </w:tr>
    </w:tbl>
    <w:p w14:paraId="63211B0C">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eastAsia" w:ascii="Times New Roman" w:hAnsi="Times New Roman" w:cs="Times New Roman"/>
          <w:lang w:val="en-US" w:eastAsia="zh-CN"/>
        </w:rPr>
      </w:pPr>
    </w:p>
    <w:p w14:paraId="45D23EB5">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eastAsia" w:ascii="Times New Roman" w:hAnsi="Times New Roman" w:cs="Times New Roman"/>
          <w:lang w:val="en-US" w:eastAsia="zh-CN"/>
        </w:rPr>
      </w:pPr>
      <w:r>
        <w:rPr>
          <w:rFonts w:hint="default" w:ascii="Times New Roman" w:hAnsi="Times New Roman" w:eastAsia="宋体" w:cs="Times New Roman"/>
          <w:lang w:val="en-US" w:eastAsia="zh-CN"/>
        </w:rPr>
        <w:drawing>
          <wp:anchor distT="0" distB="0" distL="114300" distR="114300" simplePos="0" relativeHeight="251663360" behindDoc="0" locked="0" layoutInCell="1" allowOverlap="1">
            <wp:simplePos x="0" y="0"/>
            <wp:positionH relativeFrom="column">
              <wp:posOffset>784860</wp:posOffset>
            </wp:positionH>
            <wp:positionV relativeFrom="paragraph">
              <wp:posOffset>116840</wp:posOffset>
            </wp:positionV>
            <wp:extent cx="3886200" cy="3888740"/>
            <wp:effectExtent l="0" t="0" r="0" b="12700"/>
            <wp:wrapTopAndBottom/>
            <wp:docPr id="15" name="图片 15" descr="157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57816"/>
                    <pic:cNvPicPr>
                      <a:picLocks noChangeAspect="1"/>
                    </pic:cNvPicPr>
                  </pic:nvPicPr>
                  <pic:blipFill>
                    <a:blip r:embed="rId10"/>
                    <a:srcRect l="13239" t="740" r="45650" b="44730"/>
                    <a:stretch>
                      <a:fillRect/>
                    </a:stretch>
                  </pic:blipFill>
                  <pic:spPr>
                    <a:xfrm>
                      <a:off x="0" y="0"/>
                      <a:ext cx="3886200" cy="3888740"/>
                    </a:xfrm>
                    <a:prstGeom prst="rect">
                      <a:avLst/>
                    </a:prstGeom>
                  </pic:spPr>
                </pic:pic>
              </a:graphicData>
            </a:graphic>
          </wp:anchor>
        </w:drawing>
      </w:r>
      <w:r>
        <w:rPr>
          <w:rFonts w:hint="eastAsia" w:ascii="Times New Roman" w:hAnsi="Times New Roman" w:cs="Times New Roman"/>
          <w:lang w:val="en-US" w:eastAsia="zh-CN"/>
        </w:rPr>
        <w:t xml:space="preserve">图3 </w:t>
      </w:r>
      <w:r>
        <w:rPr>
          <w:rFonts w:hint="default" w:ascii="Times New Roman" w:hAnsi="Times New Roman" w:cs="Times New Roman"/>
          <w:lang w:val="en-US" w:eastAsia="zh-CN"/>
        </w:rPr>
        <w:t>校园共享道路</w:t>
      </w:r>
      <w:r>
        <w:rPr>
          <w:rFonts w:hint="eastAsia" w:ascii="Times New Roman" w:hAnsi="Times New Roman" w:cs="Times New Roman"/>
          <w:lang w:val="en-US" w:eastAsia="zh-CN"/>
        </w:rPr>
        <w:t>冲突事件较高的</w:t>
      </w:r>
      <w:r>
        <w:rPr>
          <w:rFonts w:hint="default" w:ascii="Times New Roman" w:hAnsi="Times New Roman" w:cs="Times New Roman"/>
          <w:lang w:val="en-US" w:eastAsia="zh-CN"/>
        </w:rPr>
        <w:t>5</w:t>
      </w:r>
      <w:r>
        <w:rPr>
          <w:rFonts w:hint="eastAsia" w:ascii="Times New Roman" w:hAnsi="Times New Roman" w:cs="Times New Roman"/>
          <w:lang w:val="en-US" w:eastAsia="zh-CN"/>
        </w:rPr>
        <w:t>个热点区域</w:t>
      </w:r>
    </w:p>
    <w:p w14:paraId="24B878AF">
      <w:pPr>
        <w:pStyle w:val="4"/>
        <w:ind w:left="0" w:leftChars="0" w:firstLine="480" w:firstLineChars="200"/>
        <w:jc w:val="center"/>
        <w:rPr>
          <w:rFonts w:hint="eastAsia" w:ascii="Times New Roman" w:hAnsi="Times New Roman" w:cs="Times New Roman"/>
          <w:lang w:val="en-US" w:eastAsia="zh-CN"/>
        </w:rPr>
      </w:pPr>
      <w:r>
        <w:rPr>
          <w:sz w:val="24"/>
        </w:rPr>
        <mc:AlternateContent>
          <mc:Choice Requires="wpg">
            <w:drawing>
              <wp:anchor distT="0" distB="0" distL="114300" distR="114300" simplePos="0" relativeHeight="251666432" behindDoc="0" locked="0" layoutInCell="1" allowOverlap="1">
                <wp:simplePos x="0" y="0"/>
                <wp:positionH relativeFrom="column">
                  <wp:posOffset>516255</wp:posOffset>
                </wp:positionH>
                <wp:positionV relativeFrom="paragraph">
                  <wp:posOffset>1143000</wp:posOffset>
                </wp:positionV>
                <wp:extent cx="4766310" cy="301625"/>
                <wp:effectExtent l="0" t="0" r="0" b="0"/>
                <wp:wrapNone/>
                <wp:docPr id="20" name="组合 20"/>
                <wp:cNvGraphicFramePr/>
                <a:graphic xmlns:a="http://schemas.openxmlformats.org/drawingml/2006/main">
                  <a:graphicData uri="http://schemas.microsoft.com/office/word/2010/wordprocessingGroup">
                    <wpg:wgp>
                      <wpg:cNvGrpSpPr/>
                      <wpg:grpSpPr>
                        <a:xfrm>
                          <a:off x="0" y="0"/>
                          <a:ext cx="4766310" cy="301625"/>
                          <a:chOff x="8048" y="260401"/>
                          <a:chExt cx="7506" cy="475"/>
                        </a:xfrm>
                      </wpg:grpSpPr>
                      <wps:wsp>
                        <wps:cNvPr id="11" name="文本框 11"/>
                        <wps:cNvSpPr txBox="1"/>
                        <wps:spPr>
                          <a:xfrm>
                            <a:off x="8048" y="260414"/>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62676A">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w:t>
                              </w:r>
                              <w:r>
                                <w:rPr>
                                  <w:rFonts w:hint="default" w:ascii="Times New Roman" w:hAnsi="Times New Roman" w:cs="Times New Roman"/>
                                  <w:b/>
                                  <w:bCs/>
                                  <w:color w:val="FFFFFF" w:themeColor="background1"/>
                                  <w:lang w:val="en-US" w:eastAsia="zh-CN"/>
                                  <w14:textFill>
                                    <w14:solidFill>
                                      <w14:schemeClr w14:val="bg1"/>
                                    </w14:solidFill>
                                  </w14:textFill>
                                </w:rPr>
                                <w:t>a:P02</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 name="文本框 12"/>
                        <wps:cNvSpPr txBox="1"/>
                        <wps:spPr>
                          <a:xfrm>
                            <a:off x="9686" y="260401"/>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999552">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4b</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6" name="文本框 16"/>
                        <wps:cNvSpPr txBox="1"/>
                        <wps:spPr>
                          <a:xfrm>
                            <a:off x="11337" y="260401"/>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02A702">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4c</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5</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7" name="文本框 17"/>
                        <wps:cNvSpPr txBox="1"/>
                        <wps:spPr>
                          <a:xfrm>
                            <a:off x="13000" y="260401"/>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C59E97">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4d</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7</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8" name="文本框 18"/>
                        <wps:cNvSpPr txBox="1"/>
                        <wps:spPr>
                          <a:xfrm>
                            <a:off x="14640" y="260401"/>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F87DED">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4e</w:t>
                              </w:r>
                              <w:r>
                                <w:rPr>
                                  <w:rFonts w:hint="default" w:ascii="Times New Roman" w:hAnsi="Times New Roman" w:cs="Times New Roman"/>
                                  <w:b/>
                                  <w:bCs/>
                                  <w:color w:val="FFFFFF" w:themeColor="background1"/>
                                  <w:lang w:val="en-US" w:eastAsia="zh-CN"/>
                                  <w14:textFill>
                                    <w14:solidFill>
                                      <w14:schemeClr w14:val="bg1"/>
                                    </w14:solidFill>
                                  </w14:textFill>
                                </w:rPr>
                                <w:t>:P</w:t>
                              </w:r>
                              <w:r>
                                <w:rPr>
                                  <w:rFonts w:hint="eastAsia" w:ascii="Times New Roman" w:hAnsi="Times New Roman" w:cs="Times New Roman"/>
                                  <w:b/>
                                  <w:bCs/>
                                  <w:color w:val="FFFFFF" w:themeColor="background1"/>
                                  <w:lang w:val="en-US" w:eastAsia="zh-CN"/>
                                  <w14:textFill>
                                    <w14:solidFill>
                                      <w14:schemeClr w14:val="bg1"/>
                                    </w14:solidFill>
                                  </w14:textFill>
                                </w:rPr>
                                <w:t>12</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40.65pt;margin-top:90pt;height:23.75pt;width:375.3pt;z-index:251666432;mso-width-relative:page;mso-height-relative:page;" coordorigin="8048,260401" coordsize="7506,475" o:gfxdata="UEsDBAoAAAAAAIdO4kAAAAAAAAAAAAAAAAAEAAAAZHJzL1BLAwQUAAAACACHTuJA3PrgQNoAAAAK AQAADwAAAGRycy9kb3ducmV2LnhtbE2PwU7DMAyG70i8Q2QkbixJq0EpTSc0AacJiQ0JcfNar63W JFWTtdvbY05wtP3p9/cXq7PtxURj6LwzoBcKBLnK151rDHzuXu8yECGiq7H3jgxcKMCqvL4qMK/9 7D5o2sZGcIgLORpoYxxyKUPVksWw8AM5vh38aDHyODayHnHmcNvLRKl7abFz/KHFgdYtVcftyRp4 m3F+TvXLtDke1pfv3fL9a6PJmNsbrZ5ARDrHPxh+9VkdSnba+5Org+gNZDplkveZ4k4MZKl+BLE3 kCQPS5BlIf9XKH8AUEsDBBQAAAAIAIdO4kDqNyduJQMAAMsPAAAOAAAAZHJzL2Uyb0RvYy54bWzt V0Fv0zAUviPxHyzfWZI2Tbto6VQYm5AmNmkgzq7jNJES29ju0nFGwJETJy7c+Qf8Hsbf4NlJs9Kt YhSJA+olsd+z3/P7/L1n++BwUZXokildCJ7gYM/HiHEq0oLPEvzyxfGjEUbaEJ6SUnCW4Cum8eH4 4YODWsasJ3JRpkwhMMJ1XMsE58bI2PM0zVlF9J6QjIMyE6oiBrpq5qWK1GC9Kr2e70deLVQqlaBM a5AeNUrcWlT3MSiyrKDsSNB5xbhprCpWEgMh6byQGo/darOMUXOWZZoZVCYYIjXuC06gPbVfb3xA 4pkiMi9ouwRynyWsxVSRgoPTztQRMQTNVXHLVFVQJbTIzB4VldcE4hCBKAJ/DZsTJebSxTKL65ns QIeNWkN9a7P0+eW5QkWa4B5AwkkFO/7j29vvHz8gEAA6tZzFMOhEyQt5rlrBrOnZgBeZquwfQkEL h+tVhytbGERBGA6jqB+AfQq6vh9EvUEDPM1hd+y0kR8C7UDbi/zQD5bap62B4cCPmtnh0E31lo49 u75uObUETuoboPTfAXWRE8kc/tpi0AIVBEugrj+9v/789frLOwQyB40bZ4FCZvFYQGCdXIPwDrx+ CTwIm8CXuO2DwGEWRj2r6aImsVTanDBRIdtIsAKiO/6Ry1NtmqHLIdYrF8dFWYKcxCVHdYKj/sB3 EzoNGC85+LAYNou1LbOYLtrIpiK9gsCUaJJIS3pcgPNTos05UZA1sMFQV8wZfLJSgBPRtjDKhXpz l9yOhz0CLUY1ZGGC9es5UQyj8hmH3QMEQjBrXCccDC1J1apmuqrh8+qJgESHDYLVuaYdb8plM1Oi egXlZ2K9gopwCr4TbJbNJ6apDVC+KJtM3CBIVEnMKb+Q1Jpu4JzMjcgKh7SFqcGmRQ8YaPPmX1Cx dwcVHVWse6Dsn1BxPxpBkq3l4I6KOyqunUobqiJwpzk+VqpitGVVDIJ+f7jj4q4s/u6GtIGLwJ1b XBxuy8W+78NRsauLuyPaPTs23tY3cBHutbe4ONqWi2Fkr0M7Lv53XHTvGHjjuUt++x61j8jVvrte 3rzBxz8BUEsDBAoAAAAAAIdO4kAAAAAAAAAAAAAAAAAGAAAAX3JlbHMvUEsDBBQAAAAIAIdO4kCK FGY80QAAAJQBAAALAAAAX3JlbHMvLnJlbHOlkMFqwzAMhu+DvYPRfXGawxijTi+j0GvpHsDYimMa W0Yy2fr28w6DZfS2o36h7xP//vCZFrUiS6RsYNf1oDA78jEHA++X49MLKKk2e7tQRgM3FDiMjw/7 My62tiOZYxHVKFkMzLWWV63FzZisdFQwt81EnGxtIwddrLvagHro+2fNvxkwbpjq5A3wyQ+gLrfS zH/YKTomoal2jpKmaYruHlUHtmWO7sg24Ru5RrMcsBrwLBoHalnXfgR9X7/7p97TRz7jutV+h4zr j1dvuhy/AFBLAwQUAAAACACHTuJAfublIPcAAADhAQAAEwAAAFtDb250ZW50X1R5cGVzXS54bWyV kUFOwzAQRfdI3MHyFiVOu0AIJemCtEtAqBxgZE8Si2RseUxob4+TthtEkVjaM/+/J7vcHMZBTBjY OqrkKi+kQNLOWOoq+b7fZQ9ScAQyMDjCSh6R5aa+vSn3R48sUpq4kn2M/lEp1j2OwLnzSGnSujBC TMfQKQ/6AzpU66K4V9pRRIpZnDtkXTbYwucQxfaQrk8mAQeW4um0OLMqCd4PVkNMpmoi84OSnQl5 Si473FvPd0lDql8J8+Q64Jx7SU8TrEHxCiE+w5g0lAmsjPuigFP+d8lsOXLm2tZqzJvATYq94XSx utaOa9c4/d/y7ZK6dKvlg+pvUEsBAhQAFAAAAAgAh07iQH7m5SD3AAAA4QEAABMAAAAAAAAAAQAg AAAAmAUAAFtDb250ZW50X1R5cGVzXS54bWxQSwECFAAKAAAAAACHTuJAAAAAAAAAAAAAAAAABgAA AAAAAAAAABAAAAB6BAAAX3JlbHMvUEsBAhQAFAAAAAgAh07iQIoUZjzRAAAAlAEAAAsAAAAAAAAA AQAgAAAAngQAAF9yZWxzLy5yZWxzUEsBAhQACgAAAAAAh07iQAAAAAAAAAAAAAAAAAQAAAAAAAAA AAAQAAAAAAAAAGRycy9QSwECFAAUAAAACACHTuJA3PrgQNoAAAAKAQAADwAAAAAAAAABACAAAAAi AAAAZHJzL2Rvd25yZXYueG1sUEsBAhQAFAAAAAgAh07iQOo3J24lAwAAyw8AAA4AAAAAAAAAAQAg AAAAKQEAAGRycy9lMm9Eb2MueG1sUEsFBgAAAAAGAAYAWQEAAMAGAAAAAA== ">
                <o:lock v:ext="edit" aspectratio="f"/>
                <v:shape id="_x0000_s1026" o:spid="_x0000_s1026" o:spt="202" type="#_x0000_t202" style="position:absolute;left:8048;top:260414;height:462;width:914;" filled="f" stroked="f" coordsize="21600,21600" o:gfxdata="UEsDBAoAAAAAAIdO4kAAAAAAAAAAAAAAAAAEAAAAZHJzL1BLAwQUAAAACACHTuJApGjsG70AAADb AAAADwAAAGRycy9kb3ducmV2LnhtbEVPTWvCQBC9F/wPyxR6q5sILSF1E0pAWoo9GL30NmbHJJid jdltov31XUHwNo/3Ocv8bDox0uBaywrieQSCuLK65VrBbrt6TkA4j6yxs0wKLuQgz2YPS0y1nXhD Y+lrEULYpaig8b5PpXRVQwbd3PbEgTvYwaAPcKilHnAK4aaTiyh6lQZbDg0N9lQ0VB3LX6Pgq1h9 42a/MMlfV3ysD+/9affzotTTYxy9gfB09nfxzf2pw/wYrr+EA2T2D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kaOwbvQAA ANsAAAAPAAAAAAAAAAEAIAAAACIAAABkcnMvZG93bnJldi54bWxQSwECFAAUAAAACACHTuJAMy8F njsAAAA5AAAAEAAAAAAAAAABACAAAAAMAQAAZHJzL3NoYXBleG1sLnhtbFBLBQYAAAAABgAGAFsB AAC2AwAAAAA= ">
                  <v:fill on="f" focussize="0,0"/>
                  <v:stroke on="f" weight="0.5pt"/>
                  <v:imagedata o:title=""/>
                  <o:lock v:ext="edit" aspectratio="f"/>
                  <v:textbox>
                    <w:txbxContent>
                      <w:p w14:paraId="3462676A">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w:t>
                        </w:r>
                        <w:r>
                          <w:rPr>
                            <w:rFonts w:hint="default" w:ascii="Times New Roman" w:hAnsi="Times New Roman" w:cs="Times New Roman"/>
                            <w:b/>
                            <w:bCs/>
                            <w:color w:val="FFFFFF" w:themeColor="background1"/>
                            <w:lang w:val="en-US" w:eastAsia="zh-CN"/>
                            <w14:textFill>
                              <w14:solidFill>
                                <w14:schemeClr w14:val="bg1"/>
                              </w14:solidFill>
                            </w14:textFill>
                          </w:rPr>
                          <w:t>a:P02</w:t>
                        </w:r>
                      </w:p>
                    </w:txbxContent>
                  </v:textbox>
                </v:shape>
                <v:shape id="_x0000_s1026" o:spid="_x0000_s1026" o:spt="202" type="#_x0000_t202" style="position:absolute;left:9686;top:260401;height:462;width:914;" filled="f" stroked="f" coordsize="21600,21600" o:gfxdata="UEsDBAoAAAAAAIdO4kAAAAAAAAAAAAAAAAAEAAAAZHJzL1BLAwQUAAAACACHTuJAVLpybLoAAADb AAAADwAAAGRycy9kb3ducmV2LnhtbEVPy6rCMBDdC/5DGMGdphYUqUaRgijiXeh1425sxrbYTGoT X/frjSDc3RzOc6bzp6nEnRpXWlYw6EcgiDOrS84VHH6XvTEI55E1VpZJwYsczGft1hQTbR+8o/ve 5yKEsEtQQeF9nUjpsoIMur6tiQN3to1BH2CTS93gI4SbSsZRNJIGSw4NBdaUFpRd9jejYJMuf3B3 is34r0pX2/Oivh6OQ6W6nUE0AeHp6f/FX/dah/kxfH4JB8jZG1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BUunJsugAAANsA AAAPAAAAAAAAAAEAIAAAACIAAABkcnMvZG93bnJldi54bWxQSwECFAAUAAAACACHTuJAMy8FnjsA AAA5AAAAEAAAAAAAAAABACAAAAAJAQAAZHJzL3NoYXBleG1sLnhtbFBLBQYAAAAABgAGAFsBAACz AwAAAAA= ">
                  <v:fill on="f" focussize="0,0"/>
                  <v:stroke on="f" weight="0.5pt"/>
                  <v:imagedata o:title=""/>
                  <o:lock v:ext="edit" aspectratio="f"/>
                  <v:textbox>
                    <w:txbxContent>
                      <w:p w14:paraId="54999552">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4b</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3</w:t>
                        </w:r>
                      </w:p>
                    </w:txbxContent>
                  </v:textbox>
                </v:shape>
                <v:shape id="_x0000_s1026" o:spid="_x0000_s1026" o:spt="202" type="#_x0000_t202" style="position:absolute;left:11337;top:260401;height:462;width:914;" filled="f" stroked="f" coordsize="21600,21600" o:gfxdata="UEsDBAoAAAAAAIdO4kAAAAAAAAAAAAAAAAAEAAAAZHJzL1BLAwQUAAAACACHTuJAK4F0b7sAAADb AAAADwAAAGRycy9kb3ducmV2LnhtbEVPS4vCMBC+L/gfwgje1lRBkWoqUhAXcQ8+Lt7GZvrAZlKb rK9fvxEEb/PxPWc2v5taXKl1lWUFg34EgjizuuJCwWG//J6AcB5ZY22ZFDzIwTzpfM0w1vbGW7ru fCFCCLsYFZTeN7GULivJoOvbhjhwuW0N+gDbQuoWbyHc1HIYRWNpsOLQUGJDaUnZefdnFKzT5S9u T0MzedbpapMvmsvhOFKq1x1EUxCe7v4jfrt/dJg/htcv4QCZ/AN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K4F0b7sAAADb AAAADwAAAAAAAAABACAAAAAiAAAAZHJzL2Rvd25yZXYueG1sUEsBAhQAFAAAAAgAh07iQDMvBZ47 AAAAOQAAABAAAAAAAAAAAQAgAAAACgEAAGRycy9zaGFwZXhtbC54bWxQSwUGAAAAAAYABgBbAQAA tAMAAAAA ">
                  <v:fill on="f" focussize="0,0"/>
                  <v:stroke on="f" weight="0.5pt"/>
                  <v:imagedata o:title=""/>
                  <o:lock v:ext="edit" aspectratio="f"/>
                  <v:textbox>
                    <w:txbxContent>
                      <w:p w14:paraId="1102A702">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4c</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5</w:t>
                        </w:r>
                      </w:p>
                    </w:txbxContent>
                  </v:textbox>
                </v:shape>
                <v:shape id="_x0000_s1026" o:spid="_x0000_s1026" o:spt="202" type="#_x0000_t202" style="position:absolute;left:13000;top:260401;height:462;width:914;" filled="f" stroked="f" coordsize="21600,21600" o:gfxdata="UEsDBAoAAAAAAIdO4kAAAAAAAAAAAAAAAAAEAAAAZHJzL1BLAwQUAAAACACHTuJARM3R9LwAAADb AAAADwAAAGRycy9kb3ducmV2LnhtbEVPTWvCQBC9C/6HZYTedBOhrUTXIAFRSnswevE2ZsckmJ2N 2VXT/vpuoeBtHu9zFmlvGnGnztWWFcSTCARxYXXNpYLDfj2egXAeWWNjmRR8k4N0ORwsMNH2wTu6 574UIYRdggoq79tESldUZNBNbEscuLPtDPoAu1LqDh8h3DRyGkVv0mDNoaHClrKKikt+Mwo+svUX 7k5TM/tpss3nedVeD8dXpV5GcTQH4an3T/G/e6vD/Hf4+yUcIJe/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ETN0fS8AAAA 2wAAAA8AAAAAAAAAAQAgAAAAIgAAAGRycy9kb3ducmV2LnhtbFBLAQIUABQAAAAIAIdO4kAzLwWe OwAAADkAAAAQAAAAAAAAAAEAIAAAAAsBAABkcnMvc2hhcGV4bWwueG1sUEsFBgAAAAAGAAYAWwEA ALUDAAAAAA== ">
                  <v:fill on="f" focussize="0,0"/>
                  <v:stroke on="f" weight="0.5pt"/>
                  <v:imagedata o:title=""/>
                  <o:lock v:ext="edit" aspectratio="f"/>
                  <v:textbox>
                    <w:txbxContent>
                      <w:p w14:paraId="7FC59E97">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4d</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7</w:t>
                        </w:r>
                      </w:p>
                    </w:txbxContent>
                  </v:textbox>
                </v:shape>
                <v:shape id="_x0000_s1026" o:spid="_x0000_s1026" o:spt="202" type="#_x0000_t202" style="position:absolute;left:14640;top:260401;height:462;width:914;" filled="f" stroked="f" coordsize="21600,21600" o:gfxdata="UEsDBAoAAAAAAIdO4kAAAAAAAAAAAAAAAAAEAAAAZHJzL1BLAwQUAAAACACHTuJANVJFhr8AAADb AAAADwAAAGRycy9kb3ducmV2LnhtbEWPS4vCQBCE74L/YWhhbzpRWJHoKBKQXWT34OPirc20STDT EzPjY/fX2wfBWzdVXfX1bPFwtbpRGyrPBoaDBBRx7m3FhYH9btWfgAoR2WLtmQz8UYDFvNuZYWr9 nTd028ZCSQiHFA2UMTap1iEvyWEY+IZYtJNvHUZZ20LbFu8S7mo9SpKxdlixNJTYUFZSft5enYF1 tvrFzXHkJv919vVzWjaX/eHTmI/eMJmCivSIb/Pr+tsKvsDKLzKAnj8B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DVSRYa/ AAAA2wAAAA8AAAAAAAAAAQAgAAAAIgAAAGRycy9kb3ducmV2LnhtbFBLAQIUABQAAAAIAIdO4kAz LwWeOwAAADkAAAAQAAAAAAAAAAEAIAAAAA4BAABkcnMvc2hhcGV4bWwueG1sUEsFBgAAAAAGAAYA WwEAALgDAAAAAA== ">
                  <v:fill on="f" focussize="0,0"/>
                  <v:stroke on="f" weight="0.5pt"/>
                  <v:imagedata o:title=""/>
                  <o:lock v:ext="edit" aspectratio="f"/>
                  <v:textbox>
                    <w:txbxContent>
                      <w:p w14:paraId="20F87DED">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4e</w:t>
                        </w:r>
                        <w:r>
                          <w:rPr>
                            <w:rFonts w:hint="default" w:ascii="Times New Roman" w:hAnsi="Times New Roman" w:cs="Times New Roman"/>
                            <w:b/>
                            <w:bCs/>
                            <w:color w:val="FFFFFF" w:themeColor="background1"/>
                            <w:lang w:val="en-US" w:eastAsia="zh-CN"/>
                            <w14:textFill>
                              <w14:solidFill>
                                <w14:schemeClr w14:val="bg1"/>
                              </w14:solidFill>
                            </w14:textFill>
                          </w:rPr>
                          <w:t>:P</w:t>
                        </w:r>
                        <w:r>
                          <w:rPr>
                            <w:rFonts w:hint="eastAsia" w:ascii="Times New Roman" w:hAnsi="Times New Roman" w:cs="Times New Roman"/>
                            <w:b/>
                            <w:bCs/>
                            <w:color w:val="FFFFFF" w:themeColor="background1"/>
                            <w:lang w:val="en-US" w:eastAsia="zh-CN"/>
                            <w14:textFill>
                              <w14:solidFill>
                                <w14:schemeClr w14:val="bg1"/>
                              </w14:solidFill>
                            </w14:textFill>
                          </w:rPr>
                          <w:t>12</w:t>
                        </w:r>
                      </w:p>
                    </w:txbxContent>
                  </v:textbox>
                </v:shape>
              </v:group>
            </w:pict>
          </mc:Fallback>
        </mc:AlternateContent>
      </w:r>
      <w:r>
        <w:rPr>
          <w:rFonts w:ascii="宋体" w:hAnsi="宋体" w:eastAsia="宋体" w:cs="宋体"/>
          <w:sz w:val="24"/>
          <w:szCs w:val="24"/>
        </w:rPr>
        <w:drawing>
          <wp:anchor distT="0" distB="0" distL="114300" distR="114300" simplePos="0" relativeHeight="251665408" behindDoc="0" locked="0" layoutInCell="1" allowOverlap="1">
            <wp:simplePos x="0" y="0"/>
            <wp:positionH relativeFrom="column">
              <wp:posOffset>39370</wp:posOffset>
            </wp:positionH>
            <wp:positionV relativeFrom="paragraph">
              <wp:posOffset>83185</wp:posOffset>
            </wp:positionV>
            <wp:extent cx="5243195" cy="1398905"/>
            <wp:effectExtent l="0" t="0" r="14605" b="3175"/>
            <wp:wrapTopAndBottom/>
            <wp:docPr id="9"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IMG_256"/>
                    <pic:cNvPicPr>
                      <a:picLocks noChangeAspect="1"/>
                    </pic:cNvPicPr>
                  </pic:nvPicPr>
                  <pic:blipFill>
                    <a:blip r:embed="rId11"/>
                    <a:stretch>
                      <a:fillRect/>
                    </a:stretch>
                  </pic:blipFill>
                  <pic:spPr>
                    <a:xfrm>
                      <a:off x="0" y="0"/>
                      <a:ext cx="5243195" cy="1398905"/>
                    </a:xfrm>
                    <a:prstGeom prst="rect">
                      <a:avLst/>
                    </a:prstGeom>
                    <a:noFill/>
                    <a:ln w="9525">
                      <a:noFill/>
                    </a:ln>
                  </pic:spPr>
                </pic:pic>
              </a:graphicData>
            </a:graphic>
          </wp:anchor>
        </w:drawing>
      </w:r>
      <w:r>
        <w:rPr>
          <w:rFonts w:hint="eastAsia" w:ascii="Times New Roman" w:hAnsi="Times New Roman" w:cs="Times New Roman"/>
          <w:lang w:val="en-US" w:eastAsia="zh-CN"/>
        </w:rPr>
        <w:t xml:space="preserve">图4 </w:t>
      </w:r>
      <w:r>
        <w:rPr>
          <w:rFonts w:hint="default" w:ascii="Times New Roman" w:hAnsi="Times New Roman" w:cs="Times New Roman"/>
          <w:lang w:val="en-US" w:eastAsia="zh-CN"/>
        </w:rPr>
        <w:t>校园共享道路5</w:t>
      </w:r>
      <w:r>
        <w:rPr>
          <w:rFonts w:hint="eastAsia" w:ascii="Times New Roman" w:hAnsi="Times New Roman" w:cs="Times New Roman"/>
          <w:lang w:val="en-US" w:eastAsia="zh-CN"/>
        </w:rPr>
        <w:t>个热点区域的具体交通状况</w:t>
      </w:r>
    </w:p>
    <w:p w14:paraId="0C739D24">
      <w:pPr>
        <w:pStyle w:val="4"/>
        <w:ind w:left="0" w:leftChars="0" w:firstLine="480" w:firstLineChars="200"/>
        <w:jc w:val="center"/>
        <w:rPr>
          <w:rFonts w:hint="eastAsia" w:ascii="Times New Roman" w:hAnsi="Times New Roman" w:cs="Times New Roman"/>
          <w:lang w:val="en-US" w:eastAsia="zh-CN"/>
        </w:rPr>
      </w:pPr>
      <w:r>
        <w:rPr>
          <w:rFonts w:hint="eastAsia" w:ascii="Times New Roman" w:hAnsi="Times New Roman" w:cs="Times New Roman"/>
          <w:lang w:val="en-US" w:eastAsia="zh-CN"/>
        </w:rPr>
        <w:t>（4a:P02;4b:P03;4c:P05;4d:P07;4e:P12）</w:t>
      </w:r>
    </w:p>
    <w:p w14:paraId="6EE6D414">
      <w:pPr>
        <w:pStyle w:val="4"/>
        <w:ind w:left="0" w:leftChars="0" w:firstLine="480" w:firstLineChars="200"/>
        <w:jc w:val="center"/>
        <w:rPr>
          <w:rFonts w:hint="default" w:ascii="Times New Roman" w:hAnsi="Times New Roman" w:cs="Times New Roman"/>
          <w:lang w:val="en-US" w:eastAsia="zh-CN"/>
        </w:rPr>
      </w:pPr>
    </w:p>
    <w:p w14:paraId="46EE4EE8">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3</w:t>
      </w:r>
      <w:r>
        <w:rPr>
          <w:rFonts w:hint="default" w:ascii="黑体" w:hAnsi="黑体" w:eastAsia="黑体" w:cs="黑体"/>
          <w:lang w:val="en-US" w:eastAsia="zh-CN"/>
        </w:rPr>
        <w:t>）行为模式分析</w:t>
      </w: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通过对冲突事件的视频回放和系统化行为编码，本研究识别出十种典型的冲突触发行为，并依据行为特征将其归纳为注意力分散、违规运动、突发变向及空间侵占四大类别（如表5所示）。注意力分散类行为是导致冲突的首要原因，共发生111起，占总数的37.8%。该类别包括低头看手机行为55起（占18.7%），观察发现这些使用者在查看课程信息、回复消息或使用其他应用时，平均低头时长达8至12秒，其间对周围交通环境完全失去感知。戴耳机听音乐行为33起（占11.2%），该行为严重削弱了使用者对周围环境声音信号的感知能力，实测显示佩戴耳机者对自行车铃声的响应时间比正常情况延长2至3倍。边走边聊天行为23起（占7.8%），多发生于结伴同行的学生之间，谈话过程中的注意力转移使其对周围交通状况的警觉性显著下降，同时行进速度不稳定且路径随机性增强。</w:t>
      </w:r>
    </w:p>
    <w:p w14:paraId="207286E7">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违规运动类行为位居第二</w:t>
      </w:r>
      <w:r>
        <w:rPr>
          <w:rFonts w:hint="eastAsia" w:ascii="Times New Roman" w:hAnsi="Times New Roman" w:cs="Times New Roman"/>
          <w:lang w:val="en-US" w:eastAsia="zh-CN"/>
        </w:rPr>
        <w:t>，</w:t>
      </w:r>
      <w:r>
        <w:rPr>
          <w:rFonts w:hint="default" w:ascii="Times New Roman" w:hAnsi="Times New Roman" w:cs="Times New Roman"/>
          <w:lang w:val="en-US" w:eastAsia="zh-CN"/>
        </w:rPr>
        <w:t>共发生92起，占总数的31.3%。其中逆向骑行行为45起（占15.3%），观察发现这些骑行者多为节省30至50米的绕行距离而选择逆向通行，完全无视既定的交通规则和其他使用者的通行权利。超速骑行行为27起（占9.2%），主要发生在临近上课时间的赶时间学生身上，测速显示部分骑行者速度超过每小时25公里，远高于校园内每小时15公里的安全速度建议值，过快的速度大幅降低了应对突发情况的反应时间和制动距离。人行道骑行行为20起（占6.8%），反映出部分骑行者对行人路权的漠视以及对自身便利性的优先考量，这种行为迫使行人被动避让，严重破坏了正常的通行秩序。</w:t>
      </w:r>
    </w:p>
    <w:p w14:paraId="31A3EBF5">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突发变向类行为发生58起，占总数的19.7%。该类别中突然转向行为36起（占12.2%），通过行为分析发现，约60%的突然转向由骑行者临时改变目的地引发，25%因发现熟人打招呼而产生，15%为避让路面障碍物所致。这些转向行为缺乏提前预判和明确的手势或声音信号，使周围行人或其他骑行者难以及时做出反应。急停急起行为22起（占7.5%），多与前方交通状况的突然变化有关，如前方行人的意外停步、其他自行车的突然出现或路面障碍物的发现等，急停行为容易引发后方追尾风险。</w:t>
      </w: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空间侵占类行为相对较少，发生33起，占总数的11.2%。并排骑行行为20起（占6.8%），常见于结伴骑行的学生群体，两人或三人并排骑行的宽度可达2.5至3米，在宽度仅4至5米的共享道路上几乎完全阻断了其他使用者的正常通行空间。蛇形穿行行为13起（占4.4%），多为骑行者在人群密集区域为快速通过而采取的激进策略，虽然提高了骑行者本人的通行效率，但显著增加了与行人发生身体接触甚至碰撞的风险，同时也造成了行人的心理不适和安全焦虑。</w:t>
      </w:r>
    </w:p>
    <w:p w14:paraId="1F02A059">
      <w:pPr>
        <w:pStyle w:val="4"/>
        <w:ind w:left="0" w:leftChars="0" w:firstLine="480" w:firstLineChars="200"/>
        <w:jc w:val="both"/>
        <w:rPr>
          <w:rFonts w:hint="default" w:ascii="Times New Roman" w:hAnsi="Times New Roman" w:eastAsia="宋体" w:cs="Times New Roman"/>
          <w:lang w:val="en-US" w:eastAsia="zh-CN"/>
        </w:rPr>
      </w:pPr>
    </w:p>
    <w:p w14:paraId="3C8580DA">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表</w:t>
      </w:r>
      <w:r>
        <w:rPr>
          <w:rFonts w:hint="default" w:ascii="Times New Roman" w:hAnsi="Times New Roman" w:cs="Times New Roman"/>
          <w:lang w:val="en-US" w:eastAsia="zh-CN"/>
        </w:rPr>
        <w:t>5</w:t>
      </w:r>
      <w:r>
        <w:rPr>
          <w:rFonts w:hint="eastAsia" w:ascii="Times New Roman" w:hAnsi="Times New Roman" w:cs="Times New Roman"/>
          <w:lang w:val="en-US" w:eastAsia="zh-CN"/>
        </w:rPr>
        <w:t xml:space="preserve"> </w:t>
      </w:r>
      <w:r>
        <w:rPr>
          <w:rFonts w:hint="default" w:ascii="Times New Roman" w:hAnsi="Times New Roman" w:eastAsia="宋体" w:cs="Times New Roman"/>
          <w:lang w:val="en-US" w:eastAsia="zh-CN"/>
        </w:rPr>
        <w:t>冲突行为模式统计</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2270"/>
        <w:gridCol w:w="1180"/>
        <w:gridCol w:w="1420"/>
      </w:tblGrid>
      <w:tr w14:paraId="6B7AB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2455ED56">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kern w:val="0"/>
                <w:sz w:val="24"/>
                <w:szCs w:val="24"/>
                <w:lang w:val="en-US" w:eastAsia="zh-CN" w:bidi="ar"/>
              </w:rPr>
              <w:t>行为类别</w:t>
            </w:r>
          </w:p>
        </w:tc>
        <w:tc>
          <w:tcPr>
            <w:tcW w:w="0" w:type="auto"/>
            <w:tcBorders>
              <w:top w:val="single" w:color="000000" w:sz="4" w:space="0"/>
              <w:left w:val="nil"/>
              <w:bottom w:val="single" w:color="000000" w:sz="12" w:space="0"/>
              <w:right w:val="nil"/>
            </w:tcBorders>
            <w:shd w:val="clear" w:color="auto" w:fill="FFFFFF"/>
            <w:vAlign w:val="center"/>
          </w:tcPr>
          <w:p w14:paraId="696BC3C0">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kern w:val="0"/>
                <w:sz w:val="24"/>
                <w:szCs w:val="24"/>
                <w:lang w:val="en-US" w:eastAsia="zh-CN" w:bidi="ar"/>
              </w:rPr>
              <w:t>具体行为</w:t>
            </w:r>
          </w:p>
        </w:tc>
        <w:tc>
          <w:tcPr>
            <w:tcW w:w="0" w:type="auto"/>
            <w:tcBorders>
              <w:top w:val="single" w:color="000000" w:sz="4" w:space="0"/>
              <w:left w:val="nil"/>
              <w:bottom w:val="single" w:color="000000" w:sz="12" w:space="0"/>
              <w:right w:val="nil"/>
            </w:tcBorders>
            <w:shd w:val="clear" w:color="auto" w:fill="FFFFFF"/>
            <w:vAlign w:val="center"/>
          </w:tcPr>
          <w:p w14:paraId="4032501C">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发生次数</w:t>
            </w:r>
          </w:p>
        </w:tc>
        <w:tc>
          <w:tcPr>
            <w:tcW w:w="0" w:type="auto"/>
            <w:tcBorders>
              <w:top w:val="single" w:color="000000" w:sz="4" w:space="0"/>
              <w:left w:val="nil"/>
              <w:bottom w:val="single" w:color="000000" w:sz="12" w:space="0"/>
              <w:right w:val="nil"/>
            </w:tcBorders>
            <w:shd w:val="clear" w:color="auto" w:fill="FFFFFF"/>
            <w:vAlign w:val="center"/>
          </w:tcPr>
          <w:p w14:paraId="4D76843B">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占比</w:t>
            </w:r>
            <w:r>
              <w:rPr>
                <w:rFonts w:hint="eastAsia" w:ascii="Times New Roman" w:hAnsi="Times New Roman" w:eastAsia="宋体" w:cs="Times New Roman"/>
                <w:b/>
                <w:bCs/>
                <w:kern w:val="0"/>
                <w:sz w:val="24"/>
                <w:szCs w:val="24"/>
                <w:lang w:val="en-US" w:eastAsia="zh-CN" w:bidi="ar"/>
              </w:rPr>
              <w:t>（</w:t>
            </w:r>
            <w:r>
              <w:rPr>
                <w:rFonts w:hint="default" w:ascii="Times New Roman" w:hAnsi="Times New Roman" w:eastAsia="宋体" w:cs="Times New Roman"/>
                <w:b/>
                <w:bCs/>
                <w:kern w:val="0"/>
                <w:sz w:val="24"/>
                <w:szCs w:val="24"/>
                <w:lang w:val="en-US" w:eastAsia="zh-CN" w:bidi="ar"/>
              </w:rPr>
              <w:t>%</w:t>
            </w:r>
            <w:r>
              <w:rPr>
                <w:rFonts w:hint="eastAsia" w:ascii="Times New Roman" w:hAnsi="Times New Roman" w:eastAsia="宋体" w:cs="Times New Roman"/>
                <w:b/>
                <w:bCs/>
                <w:kern w:val="0"/>
                <w:sz w:val="24"/>
                <w:szCs w:val="24"/>
                <w:lang w:val="en-US" w:eastAsia="zh-CN" w:bidi="ar"/>
              </w:rPr>
              <w:t>）</w:t>
            </w:r>
          </w:p>
        </w:tc>
      </w:tr>
      <w:tr w14:paraId="04D17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12" w:space="0"/>
              <w:left w:val="nil"/>
              <w:bottom w:val="nil"/>
              <w:right w:val="nil"/>
            </w:tcBorders>
            <w:shd w:val="clear" w:color="auto" w:fill="FFFFFF"/>
            <w:vAlign w:val="center"/>
          </w:tcPr>
          <w:p w14:paraId="4D007D76">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注意力分散</w:t>
            </w:r>
          </w:p>
        </w:tc>
        <w:tc>
          <w:tcPr>
            <w:tcW w:w="0" w:type="auto"/>
            <w:tcBorders>
              <w:top w:val="single" w:color="000000" w:sz="12" w:space="0"/>
              <w:left w:val="nil"/>
              <w:bottom w:val="nil"/>
              <w:right w:val="nil"/>
            </w:tcBorders>
            <w:shd w:val="clear" w:color="auto" w:fill="FFFFFF"/>
            <w:vAlign w:val="center"/>
          </w:tcPr>
          <w:p w14:paraId="302440D0">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看手机/听音乐/聊天</w:t>
            </w:r>
          </w:p>
        </w:tc>
        <w:tc>
          <w:tcPr>
            <w:tcW w:w="0" w:type="auto"/>
            <w:tcBorders>
              <w:top w:val="single" w:color="000000" w:sz="12" w:space="0"/>
              <w:left w:val="nil"/>
              <w:bottom w:val="nil"/>
              <w:right w:val="nil"/>
            </w:tcBorders>
            <w:shd w:val="clear" w:color="auto" w:fill="FFFFFF"/>
            <w:vAlign w:val="center"/>
          </w:tcPr>
          <w:p w14:paraId="5B9D985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111</w:t>
            </w:r>
          </w:p>
        </w:tc>
        <w:tc>
          <w:tcPr>
            <w:tcW w:w="0" w:type="auto"/>
            <w:tcBorders>
              <w:top w:val="single" w:color="000000" w:sz="12" w:space="0"/>
              <w:left w:val="nil"/>
              <w:bottom w:val="nil"/>
              <w:right w:val="nil"/>
            </w:tcBorders>
            <w:shd w:val="clear" w:color="auto" w:fill="FFFFFF"/>
            <w:vAlign w:val="center"/>
          </w:tcPr>
          <w:p w14:paraId="197AC2C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37.8</w:t>
            </w:r>
          </w:p>
        </w:tc>
      </w:tr>
      <w:tr w14:paraId="748DB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0CFD1FF5">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违规运动</w:t>
            </w:r>
          </w:p>
        </w:tc>
        <w:tc>
          <w:tcPr>
            <w:tcW w:w="0" w:type="auto"/>
            <w:tcBorders>
              <w:top w:val="nil"/>
              <w:left w:val="nil"/>
              <w:bottom w:val="nil"/>
              <w:right w:val="nil"/>
            </w:tcBorders>
            <w:shd w:val="clear" w:color="auto" w:fill="FFFFFF"/>
            <w:vAlign w:val="center"/>
          </w:tcPr>
          <w:p w14:paraId="5B0D91C1">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逆向/超速/占道</w:t>
            </w:r>
          </w:p>
        </w:tc>
        <w:tc>
          <w:tcPr>
            <w:tcW w:w="0" w:type="auto"/>
            <w:tcBorders>
              <w:top w:val="nil"/>
              <w:left w:val="nil"/>
              <w:bottom w:val="nil"/>
              <w:right w:val="nil"/>
            </w:tcBorders>
            <w:shd w:val="clear" w:color="auto" w:fill="FFFFFF"/>
            <w:vAlign w:val="center"/>
          </w:tcPr>
          <w:p w14:paraId="6A652BA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92</w:t>
            </w:r>
          </w:p>
        </w:tc>
        <w:tc>
          <w:tcPr>
            <w:tcW w:w="0" w:type="auto"/>
            <w:tcBorders>
              <w:top w:val="nil"/>
              <w:left w:val="nil"/>
              <w:bottom w:val="nil"/>
              <w:right w:val="nil"/>
            </w:tcBorders>
            <w:shd w:val="clear" w:color="auto" w:fill="FFFFFF"/>
            <w:vAlign w:val="center"/>
          </w:tcPr>
          <w:p w14:paraId="1E5CC74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31.3</w:t>
            </w:r>
          </w:p>
        </w:tc>
      </w:tr>
      <w:tr w14:paraId="27397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23C3A511">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突发变向</w:t>
            </w:r>
          </w:p>
        </w:tc>
        <w:tc>
          <w:tcPr>
            <w:tcW w:w="0" w:type="auto"/>
            <w:tcBorders>
              <w:top w:val="nil"/>
              <w:left w:val="nil"/>
              <w:bottom w:val="nil"/>
              <w:right w:val="nil"/>
            </w:tcBorders>
            <w:shd w:val="clear" w:color="auto" w:fill="FFFFFF"/>
            <w:vAlign w:val="center"/>
          </w:tcPr>
          <w:p w14:paraId="31695C9F">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急转/急停</w:t>
            </w:r>
          </w:p>
        </w:tc>
        <w:tc>
          <w:tcPr>
            <w:tcW w:w="0" w:type="auto"/>
            <w:tcBorders>
              <w:top w:val="nil"/>
              <w:left w:val="nil"/>
              <w:bottom w:val="nil"/>
              <w:right w:val="nil"/>
            </w:tcBorders>
            <w:shd w:val="clear" w:color="auto" w:fill="FFFFFF"/>
            <w:vAlign w:val="center"/>
          </w:tcPr>
          <w:p w14:paraId="2E511D0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58</w:t>
            </w:r>
          </w:p>
        </w:tc>
        <w:tc>
          <w:tcPr>
            <w:tcW w:w="0" w:type="auto"/>
            <w:tcBorders>
              <w:top w:val="nil"/>
              <w:left w:val="nil"/>
              <w:bottom w:val="nil"/>
              <w:right w:val="nil"/>
            </w:tcBorders>
            <w:shd w:val="clear" w:color="auto" w:fill="FFFFFF"/>
            <w:vAlign w:val="center"/>
          </w:tcPr>
          <w:p w14:paraId="5DA8211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19.7</w:t>
            </w:r>
          </w:p>
        </w:tc>
      </w:tr>
      <w:tr w14:paraId="322F8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4" w:space="0"/>
              <w:right w:val="nil"/>
            </w:tcBorders>
            <w:shd w:val="clear" w:color="auto" w:fill="FFFFFF"/>
            <w:vAlign w:val="center"/>
          </w:tcPr>
          <w:p w14:paraId="51E08A25">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空间侵占</w:t>
            </w:r>
          </w:p>
        </w:tc>
        <w:tc>
          <w:tcPr>
            <w:tcW w:w="0" w:type="auto"/>
            <w:tcBorders>
              <w:top w:val="nil"/>
              <w:left w:val="nil"/>
              <w:bottom w:val="single" w:color="000000" w:sz="4" w:space="0"/>
              <w:right w:val="nil"/>
            </w:tcBorders>
            <w:shd w:val="clear" w:color="auto" w:fill="FFFFFF"/>
            <w:vAlign w:val="center"/>
          </w:tcPr>
          <w:p w14:paraId="46853729">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并排/蛇形</w:t>
            </w:r>
          </w:p>
        </w:tc>
        <w:tc>
          <w:tcPr>
            <w:tcW w:w="0" w:type="auto"/>
            <w:tcBorders>
              <w:top w:val="nil"/>
              <w:left w:val="nil"/>
              <w:bottom w:val="single" w:color="000000" w:sz="4" w:space="0"/>
              <w:right w:val="nil"/>
            </w:tcBorders>
            <w:shd w:val="clear" w:color="auto" w:fill="FFFFFF"/>
            <w:vAlign w:val="center"/>
          </w:tcPr>
          <w:p w14:paraId="4CE98D7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33</w:t>
            </w:r>
          </w:p>
        </w:tc>
        <w:tc>
          <w:tcPr>
            <w:tcW w:w="0" w:type="auto"/>
            <w:tcBorders>
              <w:top w:val="nil"/>
              <w:left w:val="nil"/>
              <w:bottom w:val="single" w:color="000000" w:sz="4" w:space="0"/>
              <w:right w:val="nil"/>
            </w:tcBorders>
            <w:shd w:val="clear" w:color="auto" w:fill="FFFFFF"/>
            <w:vAlign w:val="center"/>
          </w:tcPr>
          <w:p w14:paraId="4D0BDD7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11.2</w:t>
            </w:r>
          </w:p>
        </w:tc>
      </w:tr>
    </w:tbl>
    <w:p w14:paraId="17951564">
      <w:pPr>
        <w:pStyle w:val="4"/>
        <w:ind w:left="0" w:leftChars="0" w:firstLine="480" w:firstLineChars="200"/>
        <w:jc w:val="both"/>
        <w:rPr>
          <w:rFonts w:hint="default" w:ascii="Times New Roman" w:hAnsi="Times New Roman" w:eastAsia="宋体" w:cs="Times New Roman"/>
          <w:lang w:val="en-US" w:eastAsia="zh-CN"/>
        </w:rPr>
      </w:pPr>
    </w:p>
    <w:p w14:paraId="2EC19AE2">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（4）</w:t>
      </w:r>
      <w:r>
        <w:rPr>
          <w:rFonts w:hint="eastAsia" w:ascii="黑体" w:hAnsi="黑体" w:eastAsia="黑体" w:cs="黑体"/>
          <w:lang w:val="en-US" w:eastAsia="zh-CN"/>
        </w:rPr>
        <w:t>校园共享道路交通</w:t>
      </w:r>
      <w:r>
        <w:rPr>
          <w:rFonts w:hint="default" w:ascii="黑体" w:hAnsi="黑体" w:eastAsia="黑体" w:cs="黑体"/>
          <w:lang w:val="en-US" w:eastAsia="zh-CN"/>
        </w:rPr>
        <w:t>环境</w:t>
      </w:r>
      <w:r>
        <w:rPr>
          <w:rFonts w:hint="eastAsia" w:ascii="黑体" w:hAnsi="黑体" w:eastAsia="黑体" w:cs="黑体"/>
          <w:lang w:val="en-US" w:eastAsia="zh-CN"/>
        </w:rPr>
        <w:t>与冲突行为的相关性</w:t>
      </w:r>
    </w:p>
    <w:p w14:paraId="14EEC90B">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校园共享道路交通环境因素对冲突发生具有显著且可量化的影响。通过多元回归分析方法，本研究系统评估了五类主要环境因素对冲突发生率的影响程度</w:t>
      </w:r>
      <w:r>
        <w:rPr>
          <w:rFonts w:hint="eastAsia" w:ascii="Times New Roman" w:hAnsi="Times New Roman" w:cs="Times New Roman"/>
          <w:lang w:val="en-US" w:eastAsia="zh-CN"/>
        </w:rPr>
        <w:t>，包括道路宽度、标识完整度、视距条件、照明水平及路面平整度（如表6所示）</w:t>
      </w:r>
      <w:r>
        <w:rPr>
          <w:rFonts w:hint="default" w:ascii="Times New Roman" w:hAnsi="Times New Roman" w:cs="Times New Roman"/>
          <w:lang w:val="en-US" w:eastAsia="zh-CN"/>
        </w:rPr>
        <w:t>。道路宽度被证实为影响冲突发生的首要环境因素，其与冲突发生率呈现强负相关关系（r</w:t>
      </w:r>
      <w:r>
        <w:rPr>
          <w:rFonts w:hint="eastAsia" w:ascii="Times New Roman" w:hAnsi="Times New Roman" w:cs="Times New Roman"/>
          <w:lang w:val="en-US" w:eastAsia="zh-CN"/>
        </w:rPr>
        <w:t>=-</w:t>
      </w:r>
      <w:r>
        <w:rPr>
          <w:rFonts w:hint="default" w:ascii="Times New Roman" w:hAnsi="Times New Roman" w:cs="Times New Roman"/>
          <w:lang w:val="en-US" w:eastAsia="zh-CN"/>
        </w:rPr>
        <w:t>0.72，显著性水平p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0.001）。详细的分段统计显示，当道路宽度小于4米时，人车混行导致的空间竞争显著加剧，平均每100米路段每天发生冲突8.3起。当道路宽度介于4米至6米之间时，冲突发生率降至每天4.7起。而当道路宽度大于6米时，充足的横向空间使行人与骑行者能够保持1.5米以上的安全距离，冲突发生率显著降至每天2.1起，相比窄路段降幅达74.7%。这一发现为校园道路改造和新建道路设计提供了明确的量化参数依据。</w:t>
      </w:r>
    </w:p>
    <w:p w14:paraId="41BB8C84">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标识系统的完整性同样对冲突发生产生强烈影响（r</w:t>
      </w:r>
      <w:r>
        <w:rPr>
          <w:rFonts w:hint="eastAsia" w:ascii="Times New Roman" w:hAnsi="Times New Roman" w:cs="Times New Roman"/>
          <w:lang w:val="en-US" w:eastAsia="zh-CN"/>
        </w:rPr>
        <w:t>=-</w:t>
      </w:r>
      <w:r>
        <w:rPr>
          <w:rFonts w:hint="default" w:ascii="Times New Roman" w:hAnsi="Times New Roman" w:cs="Times New Roman"/>
          <w:lang w:val="en-US" w:eastAsia="zh-CN"/>
        </w:rPr>
        <w:t>0.58，显著性水平p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0.001）。对比研究发现，缺乏明确的行人与骑行分区标识的路段，其冲突发生率是具有完整标识路段的2.7倍。完整的标识系统包括清晰的地面标线、醒目的指示牌、合理的颜色区分以及必要的文字说明，这些视觉引导元素能够有效规范交通参与者的行为模式，减少因空间归属不明确而产生的随意性通行和路权争夺。视距条件也是重要的影响因素（r</w:t>
      </w:r>
      <w:r>
        <w:rPr>
          <w:rFonts w:hint="eastAsia" w:ascii="Times New Roman" w:hAnsi="Times New Roman" w:cs="Times New Roman"/>
          <w:lang w:val="en-US" w:eastAsia="zh-CN"/>
        </w:rPr>
        <w:t>=-</w:t>
      </w:r>
      <w:r>
        <w:rPr>
          <w:rFonts w:hint="default" w:ascii="Times New Roman" w:hAnsi="Times New Roman" w:cs="Times New Roman"/>
          <w:lang w:val="en-US" w:eastAsia="zh-CN"/>
        </w:rPr>
        <w:t>0.51，显著性水平p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0.001）。实测数据表明，弯道路段、坡道路段以及绿化遮挡物密集区域的冲突率比视野开阔路段高出约65%。受限的视距减少了交通参与者的预判时间和反应距离，当视距小于20米时，骑行者的有效刹车距离已无法满足安全要求。</w:t>
      </w:r>
    </w:p>
    <w:p w14:paraId="7FC20383">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照明水平对冲突发生呈现中等程度的影响（r</w:t>
      </w:r>
      <w:r>
        <w:rPr>
          <w:rFonts w:hint="eastAsia" w:ascii="Times New Roman" w:hAnsi="Times New Roman" w:cs="Times New Roman"/>
          <w:lang w:val="en-US" w:eastAsia="zh-CN"/>
        </w:rPr>
        <w:t>=-</w:t>
      </w:r>
      <w:r>
        <w:rPr>
          <w:rFonts w:hint="default" w:ascii="Times New Roman" w:hAnsi="Times New Roman" w:cs="Times New Roman"/>
          <w:lang w:val="en-US" w:eastAsia="zh-CN"/>
        </w:rPr>
        <w:t>0.43，显著性水平p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0.01）。这一因素在傍晚和夜间时段的作用尤为突出，对比分析显示，照明良好路段的夜间冲突率仅为照明不足路段的45%。充足的照明不仅提高了交通参与者之间的相互识别距离，也增强了整体的安全感和警觉性，促使骑行者主动降低速度并提高注意力。路面平整度的影响相对较弱（</w:t>
      </w:r>
      <w:r>
        <w:rPr>
          <w:rFonts w:hint="eastAsia" w:ascii="Times New Roman" w:hAnsi="Times New Roman" w:cs="Times New Roman"/>
          <w:lang w:val="en-US" w:eastAsia="zh-CN"/>
        </w:rPr>
        <w:t>r=-</w:t>
      </w:r>
      <w:r>
        <w:rPr>
          <w:rFonts w:hint="default" w:ascii="Times New Roman" w:hAnsi="Times New Roman" w:cs="Times New Roman"/>
          <w:lang w:val="en-US" w:eastAsia="zh-CN"/>
        </w:rPr>
        <w:t>0.31，显著性水平p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0.05），但在特定条件下其作用不容忽视。雨天或路面维护不良的情况下，坑洼、积水、破损路面等问题会迫使骑行者频繁改变行进路线或突然减速，从而显著增强其对冲突发生的间接影响作用。</w:t>
      </w:r>
    </w:p>
    <w:p w14:paraId="0ECFE57B">
      <w:pPr>
        <w:pStyle w:val="4"/>
        <w:keepNext w:val="0"/>
        <w:keepLines w:val="0"/>
        <w:pageBreakBefore w:val="0"/>
        <w:widowControl/>
        <w:kinsoku/>
        <w:wordWrap/>
        <w:overflowPunct/>
        <w:topLinePunct w:val="0"/>
        <w:autoSpaceDE/>
        <w:autoSpaceDN/>
        <w:bidi w:val="0"/>
        <w:adjustRightInd/>
        <w:snapToGrid/>
        <w:spacing w:before="0" w:after="0"/>
        <w:ind w:left="0" w:leftChars="0" w:firstLine="480" w:firstLineChars="200"/>
        <w:jc w:val="both"/>
        <w:textAlignment w:val="auto"/>
        <w:rPr>
          <w:rFonts w:hint="default" w:ascii="Times New Roman" w:hAnsi="Times New Roman" w:eastAsia="宋体" w:cs="Times New Roman"/>
          <w:lang w:val="en-US" w:eastAsia="zh-CN"/>
        </w:rPr>
      </w:pPr>
    </w:p>
    <w:p w14:paraId="56CFF14B">
      <w:pPr>
        <w:pStyle w:val="4"/>
        <w:keepNext w:val="0"/>
        <w:keepLines w:val="0"/>
        <w:pageBreakBefore w:val="0"/>
        <w:widowControl/>
        <w:kinsoku/>
        <w:wordWrap/>
        <w:overflowPunct/>
        <w:topLinePunct w:val="0"/>
        <w:autoSpaceDE/>
        <w:autoSpaceDN/>
        <w:bidi w:val="0"/>
        <w:adjustRightInd/>
        <w:snapToGrid/>
        <w:spacing w:before="0" w:after="0" w:line="240" w:lineRule="atLeast"/>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表</w:t>
      </w:r>
      <w:r>
        <w:rPr>
          <w:rFonts w:hint="default" w:ascii="Times New Roman" w:hAnsi="Times New Roman" w:cs="Times New Roman"/>
          <w:lang w:val="en-US" w:eastAsia="zh-CN"/>
        </w:rPr>
        <w:t>6</w:t>
      </w:r>
      <w:r>
        <w:rPr>
          <w:rFonts w:hint="eastAsia" w:ascii="Times New Roman" w:hAnsi="Times New Roman" w:cs="Times New Roman"/>
          <w:lang w:val="en-US" w:eastAsia="zh-CN"/>
        </w:rPr>
        <w:t xml:space="preserve"> 校园</w:t>
      </w:r>
      <w:r>
        <w:rPr>
          <w:rFonts w:hint="default" w:ascii="Times New Roman" w:hAnsi="Times New Roman" w:eastAsia="宋体" w:cs="Times New Roman"/>
          <w:lang w:val="en-US" w:eastAsia="zh-CN"/>
        </w:rPr>
        <w:t>共享道路交通环境</w:t>
      </w:r>
      <w:r>
        <w:rPr>
          <w:rFonts w:hint="eastAsia" w:ascii="Times New Roman" w:hAnsi="Times New Roman" w:cs="Times New Roman"/>
          <w:lang w:val="en-US" w:eastAsia="zh-CN"/>
        </w:rPr>
        <w:t>与</w:t>
      </w:r>
      <w:r>
        <w:rPr>
          <w:rFonts w:hint="default" w:ascii="Times New Roman" w:hAnsi="Times New Roman" w:eastAsia="宋体" w:cs="Times New Roman"/>
          <w:lang w:val="en-US" w:eastAsia="zh-CN"/>
        </w:rPr>
        <w:t>冲突行为</w:t>
      </w:r>
      <w:r>
        <w:rPr>
          <w:rFonts w:hint="eastAsia" w:ascii="Times New Roman" w:hAnsi="Times New Roman" w:cs="Times New Roman"/>
          <w:lang w:val="en-US" w:eastAsia="zh-CN"/>
        </w:rPr>
        <w:t>的相关性统计</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1769"/>
        <w:gridCol w:w="1421"/>
        <w:gridCol w:w="1180"/>
      </w:tblGrid>
      <w:tr w14:paraId="64060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707E8A4B">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kern w:val="0"/>
                <w:sz w:val="24"/>
                <w:szCs w:val="24"/>
                <w:lang w:val="en-US" w:eastAsia="zh-CN" w:bidi="ar"/>
              </w:rPr>
              <w:t>环境因素</w:t>
            </w:r>
          </w:p>
        </w:tc>
        <w:tc>
          <w:tcPr>
            <w:tcW w:w="0" w:type="auto"/>
            <w:tcBorders>
              <w:top w:val="single" w:color="000000" w:sz="4" w:space="0"/>
              <w:left w:val="nil"/>
              <w:bottom w:val="single" w:color="000000" w:sz="12" w:space="0"/>
              <w:right w:val="nil"/>
            </w:tcBorders>
            <w:shd w:val="clear" w:color="auto" w:fill="FFFFFF"/>
            <w:vAlign w:val="center"/>
          </w:tcPr>
          <w:p w14:paraId="02192B14">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kern w:val="0"/>
                <w:sz w:val="24"/>
                <w:szCs w:val="24"/>
                <w:lang w:val="en-US" w:eastAsia="zh-CN" w:bidi="ar"/>
              </w:rPr>
              <w:t>相关系数</w:t>
            </w:r>
            <w:r>
              <w:rPr>
                <w:rFonts w:hint="eastAsia" w:ascii="Times New Roman" w:hAnsi="Times New Roman" w:eastAsia="宋体" w:cs="Times New Roman"/>
                <w:b/>
                <w:bCs/>
                <w:kern w:val="0"/>
                <w:sz w:val="24"/>
                <w:szCs w:val="24"/>
                <w:lang w:val="en-US" w:eastAsia="zh-CN" w:bidi="ar"/>
              </w:rPr>
              <w:t>（</w:t>
            </w:r>
            <w:r>
              <w:rPr>
                <w:rFonts w:hint="default" w:ascii="Times New Roman" w:hAnsi="Times New Roman" w:eastAsia="宋体" w:cs="Times New Roman"/>
                <w:b/>
                <w:bCs/>
                <w:kern w:val="0"/>
                <w:sz w:val="24"/>
                <w:szCs w:val="24"/>
                <w:lang w:val="en-US" w:eastAsia="zh-CN" w:bidi="ar"/>
              </w:rPr>
              <w:t>r</w:t>
            </w:r>
            <w:r>
              <w:rPr>
                <w:rFonts w:hint="eastAsia" w:ascii="Times New Roman" w:hAnsi="Times New Roman" w:eastAsia="宋体" w:cs="Times New Roman"/>
                <w:b/>
                <w:bCs/>
                <w:kern w:val="0"/>
                <w:sz w:val="24"/>
                <w:szCs w:val="24"/>
                <w:lang w:val="en-US" w:eastAsia="zh-CN" w:bidi="ar"/>
              </w:rPr>
              <w:t>）</w:t>
            </w:r>
          </w:p>
        </w:tc>
        <w:tc>
          <w:tcPr>
            <w:tcW w:w="0" w:type="auto"/>
            <w:tcBorders>
              <w:top w:val="single" w:color="000000" w:sz="4" w:space="0"/>
              <w:left w:val="nil"/>
              <w:bottom w:val="single" w:color="000000" w:sz="12" w:space="0"/>
              <w:right w:val="nil"/>
            </w:tcBorders>
            <w:shd w:val="clear" w:color="auto" w:fill="FFFFFF"/>
            <w:vAlign w:val="center"/>
          </w:tcPr>
          <w:p w14:paraId="4672E963">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显著性水平</w:t>
            </w:r>
          </w:p>
        </w:tc>
        <w:tc>
          <w:tcPr>
            <w:tcW w:w="0" w:type="auto"/>
            <w:tcBorders>
              <w:top w:val="single" w:color="000000" w:sz="4" w:space="0"/>
              <w:left w:val="nil"/>
              <w:bottom w:val="single" w:color="000000" w:sz="12" w:space="0"/>
              <w:right w:val="nil"/>
            </w:tcBorders>
            <w:shd w:val="clear" w:color="auto" w:fill="FFFFFF"/>
            <w:vAlign w:val="center"/>
          </w:tcPr>
          <w:p w14:paraId="42BDF44E">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影响程度</w:t>
            </w:r>
          </w:p>
        </w:tc>
      </w:tr>
      <w:tr w14:paraId="3D9D0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12" w:space="0"/>
              <w:left w:val="nil"/>
              <w:bottom w:val="nil"/>
              <w:right w:val="nil"/>
            </w:tcBorders>
            <w:shd w:val="clear" w:color="auto" w:fill="FFFFFF"/>
            <w:vAlign w:val="center"/>
          </w:tcPr>
          <w:p w14:paraId="13BD6AF9">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道路宽度</w:t>
            </w:r>
          </w:p>
        </w:tc>
        <w:tc>
          <w:tcPr>
            <w:tcW w:w="0" w:type="auto"/>
            <w:tcBorders>
              <w:top w:val="single" w:color="000000" w:sz="12" w:space="0"/>
              <w:left w:val="nil"/>
              <w:bottom w:val="nil"/>
              <w:right w:val="nil"/>
            </w:tcBorders>
            <w:shd w:val="clear" w:color="auto" w:fill="FFFFFF"/>
            <w:vAlign w:val="center"/>
          </w:tcPr>
          <w:p w14:paraId="1C75FDB5">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-0.72</w:t>
            </w:r>
          </w:p>
        </w:tc>
        <w:tc>
          <w:tcPr>
            <w:tcW w:w="0" w:type="auto"/>
            <w:tcBorders>
              <w:top w:val="single" w:color="000000" w:sz="12" w:space="0"/>
              <w:left w:val="nil"/>
              <w:bottom w:val="nil"/>
              <w:right w:val="nil"/>
            </w:tcBorders>
            <w:shd w:val="clear" w:color="auto" w:fill="FFFFFF"/>
            <w:vAlign w:val="center"/>
          </w:tcPr>
          <w:p w14:paraId="5E50B3A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p&lt;0.001</w:t>
            </w:r>
          </w:p>
        </w:tc>
        <w:tc>
          <w:tcPr>
            <w:tcW w:w="0" w:type="auto"/>
            <w:tcBorders>
              <w:top w:val="single" w:color="000000" w:sz="12" w:space="0"/>
              <w:left w:val="nil"/>
              <w:bottom w:val="nil"/>
              <w:right w:val="nil"/>
            </w:tcBorders>
            <w:shd w:val="clear" w:color="auto" w:fill="FFFFFF"/>
            <w:vAlign w:val="center"/>
          </w:tcPr>
          <w:p w14:paraId="5C6B927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极强</w:t>
            </w:r>
          </w:p>
        </w:tc>
      </w:tr>
      <w:tr w14:paraId="60A59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6804F051">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标识完整度</w:t>
            </w:r>
          </w:p>
        </w:tc>
        <w:tc>
          <w:tcPr>
            <w:tcW w:w="0" w:type="auto"/>
            <w:tcBorders>
              <w:top w:val="nil"/>
              <w:left w:val="nil"/>
              <w:bottom w:val="nil"/>
              <w:right w:val="nil"/>
            </w:tcBorders>
            <w:shd w:val="clear" w:color="auto" w:fill="FFFFFF"/>
            <w:vAlign w:val="center"/>
          </w:tcPr>
          <w:p w14:paraId="51259500">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-0.58</w:t>
            </w:r>
          </w:p>
        </w:tc>
        <w:tc>
          <w:tcPr>
            <w:tcW w:w="0" w:type="auto"/>
            <w:tcBorders>
              <w:top w:val="nil"/>
              <w:left w:val="nil"/>
              <w:bottom w:val="nil"/>
              <w:right w:val="nil"/>
            </w:tcBorders>
            <w:shd w:val="clear" w:color="auto" w:fill="FFFFFF"/>
            <w:vAlign w:val="center"/>
          </w:tcPr>
          <w:p w14:paraId="6516A07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p&lt;0.001</w:t>
            </w:r>
          </w:p>
        </w:tc>
        <w:tc>
          <w:tcPr>
            <w:tcW w:w="0" w:type="auto"/>
            <w:tcBorders>
              <w:top w:val="nil"/>
              <w:left w:val="nil"/>
              <w:bottom w:val="nil"/>
              <w:right w:val="nil"/>
            </w:tcBorders>
            <w:shd w:val="clear" w:color="auto" w:fill="FFFFFF"/>
            <w:vAlign w:val="center"/>
          </w:tcPr>
          <w:p w14:paraId="5486FF1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强</w:t>
            </w:r>
          </w:p>
        </w:tc>
      </w:tr>
      <w:tr w14:paraId="35E4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3BC552B9">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视距条件</w:t>
            </w:r>
          </w:p>
        </w:tc>
        <w:tc>
          <w:tcPr>
            <w:tcW w:w="0" w:type="auto"/>
            <w:tcBorders>
              <w:top w:val="nil"/>
              <w:left w:val="nil"/>
              <w:bottom w:val="nil"/>
              <w:right w:val="nil"/>
            </w:tcBorders>
            <w:shd w:val="clear" w:color="auto" w:fill="FFFFFF"/>
            <w:vAlign w:val="center"/>
          </w:tcPr>
          <w:p w14:paraId="4CF0C265">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-0.51</w:t>
            </w:r>
          </w:p>
        </w:tc>
        <w:tc>
          <w:tcPr>
            <w:tcW w:w="0" w:type="auto"/>
            <w:tcBorders>
              <w:top w:val="nil"/>
              <w:left w:val="nil"/>
              <w:bottom w:val="nil"/>
              <w:right w:val="nil"/>
            </w:tcBorders>
            <w:shd w:val="clear" w:color="auto" w:fill="FFFFFF"/>
            <w:vAlign w:val="center"/>
          </w:tcPr>
          <w:p w14:paraId="53A85D32">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p&lt;0.001</w:t>
            </w:r>
          </w:p>
        </w:tc>
        <w:tc>
          <w:tcPr>
            <w:tcW w:w="0" w:type="auto"/>
            <w:tcBorders>
              <w:top w:val="nil"/>
              <w:left w:val="nil"/>
              <w:bottom w:val="nil"/>
              <w:right w:val="nil"/>
            </w:tcBorders>
            <w:shd w:val="clear" w:color="auto" w:fill="FFFFFF"/>
            <w:vAlign w:val="center"/>
          </w:tcPr>
          <w:p w14:paraId="56A34E21">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强</w:t>
            </w:r>
          </w:p>
        </w:tc>
      </w:tr>
      <w:tr w14:paraId="7357D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55E2C026">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照明水平</w:t>
            </w:r>
          </w:p>
        </w:tc>
        <w:tc>
          <w:tcPr>
            <w:tcW w:w="0" w:type="auto"/>
            <w:tcBorders>
              <w:top w:val="nil"/>
              <w:left w:val="nil"/>
              <w:bottom w:val="nil"/>
              <w:right w:val="nil"/>
            </w:tcBorders>
            <w:shd w:val="clear" w:color="auto" w:fill="FFFFFF"/>
            <w:vAlign w:val="center"/>
          </w:tcPr>
          <w:p w14:paraId="005BAFFC">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-0.43</w:t>
            </w:r>
          </w:p>
        </w:tc>
        <w:tc>
          <w:tcPr>
            <w:tcW w:w="0" w:type="auto"/>
            <w:tcBorders>
              <w:top w:val="nil"/>
              <w:left w:val="nil"/>
              <w:bottom w:val="nil"/>
              <w:right w:val="nil"/>
            </w:tcBorders>
            <w:shd w:val="clear" w:color="auto" w:fill="FFFFFF"/>
            <w:vAlign w:val="center"/>
          </w:tcPr>
          <w:p w14:paraId="69918C1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p&lt;0.01</w:t>
            </w:r>
          </w:p>
        </w:tc>
        <w:tc>
          <w:tcPr>
            <w:tcW w:w="0" w:type="auto"/>
            <w:tcBorders>
              <w:top w:val="nil"/>
              <w:left w:val="nil"/>
              <w:bottom w:val="nil"/>
              <w:right w:val="nil"/>
            </w:tcBorders>
            <w:shd w:val="clear" w:color="auto" w:fill="FFFFFF"/>
            <w:vAlign w:val="center"/>
          </w:tcPr>
          <w:p w14:paraId="52A8115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中等</w:t>
            </w:r>
          </w:p>
        </w:tc>
      </w:tr>
      <w:tr w14:paraId="07FBD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4" w:space="0"/>
              <w:right w:val="nil"/>
            </w:tcBorders>
            <w:shd w:val="clear" w:color="auto" w:fill="FFFFFF"/>
            <w:vAlign w:val="center"/>
          </w:tcPr>
          <w:p w14:paraId="3B2EF1E8">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路面平整度</w:t>
            </w:r>
          </w:p>
        </w:tc>
        <w:tc>
          <w:tcPr>
            <w:tcW w:w="0" w:type="auto"/>
            <w:tcBorders>
              <w:top w:val="nil"/>
              <w:left w:val="nil"/>
              <w:bottom w:val="single" w:color="000000" w:sz="4" w:space="0"/>
              <w:right w:val="nil"/>
            </w:tcBorders>
            <w:shd w:val="clear" w:color="auto" w:fill="FFFFFF"/>
            <w:vAlign w:val="center"/>
          </w:tcPr>
          <w:p w14:paraId="3911CDA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-0.31</w:t>
            </w:r>
          </w:p>
        </w:tc>
        <w:tc>
          <w:tcPr>
            <w:tcW w:w="0" w:type="auto"/>
            <w:tcBorders>
              <w:top w:val="nil"/>
              <w:left w:val="nil"/>
              <w:bottom w:val="single" w:color="000000" w:sz="4" w:space="0"/>
              <w:right w:val="nil"/>
            </w:tcBorders>
            <w:shd w:val="clear" w:color="auto" w:fill="FFFFFF"/>
            <w:vAlign w:val="center"/>
          </w:tcPr>
          <w:p w14:paraId="44C2032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p&lt;0.05</w:t>
            </w:r>
          </w:p>
        </w:tc>
        <w:tc>
          <w:tcPr>
            <w:tcW w:w="0" w:type="auto"/>
            <w:tcBorders>
              <w:top w:val="nil"/>
              <w:left w:val="nil"/>
              <w:bottom w:val="single" w:color="000000" w:sz="4" w:space="0"/>
              <w:right w:val="nil"/>
            </w:tcBorders>
            <w:shd w:val="clear" w:color="auto" w:fill="FFFFFF"/>
            <w:vAlign w:val="center"/>
          </w:tcPr>
          <w:p w14:paraId="0886C38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弱</w:t>
            </w:r>
          </w:p>
        </w:tc>
      </w:tr>
    </w:tbl>
    <w:p w14:paraId="0C8CBDA8">
      <w:pPr>
        <w:pStyle w:val="4"/>
        <w:ind w:left="0" w:leftChars="0" w:firstLine="480" w:firstLineChars="200"/>
        <w:jc w:val="both"/>
        <w:rPr>
          <w:rFonts w:hint="default" w:ascii="Times New Roman" w:hAnsi="Times New Roman" w:eastAsia="宋体" w:cs="Times New Roman"/>
          <w:lang w:val="en-US" w:eastAsia="zh-CN"/>
        </w:rPr>
      </w:pPr>
    </w:p>
    <w:p w14:paraId="492C21AD">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4.1.</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研究</w:t>
      </w:r>
      <w:r>
        <w:rPr>
          <w:rFonts w:hint="eastAsia" w:ascii="黑体" w:hAnsi="黑体" w:eastAsia="黑体"/>
          <w:b w:val="0"/>
          <w:bCs w:val="0"/>
          <w:sz w:val="30"/>
          <w:szCs w:val="30"/>
          <w:lang w:val="en-US" w:eastAsia="zh-CN"/>
        </w:rPr>
        <w:t>总结</w:t>
      </w:r>
    </w:p>
    <w:p w14:paraId="0B06D8B2">
      <w:pPr>
        <w:pStyle w:val="4"/>
        <w:ind w:left="0" w:leftChars="0"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本研究通过对湖北工业大学主校区为期一个月的系统观察，识别出294起有效冲突事件，揭示了校园共享道路人车冲突的三个核心规律。</w:t>
      </w:r>
    </w:p>
    <w:p w14:paraId="02DE902F">
      <w:pPr>
        <w:pStyle w:val="4"/>
        <w:numPr>
          <w:ilvl w:val="0"/>
          <w:numId w:val="1"/>
        </w:numPr>
        <w:ind w:left="0" w:leftChars="0" w:firstLine="480" w:firstLineChars="200"/>
        <w:jc w:val="both"/>
      </w:pPr>
      <w:r>
        <w:rPr>
          <w:rFonts w:hint="eastAsia" w:ascii="Times New Roman" w:hAnsi="Times New Roman" w:eastAsia="宋体" w:cs="Times New Roman"/>
          <w:lang w:val="en-US" w:eastAsia="zh-CN"/>
        </w:rPr>
        <w:t>冲突事件呈现出显著的时空集聚特性。在工作日，冲突事件占比高达</w:t>
      </w:r>
      <w:r>
        <w:rPr>
          <w:rFonts w:hint="eastAsia" w:ascii="Times New Roman" w:hAnsi="Times New Roman" w:cs="Times New Roman"/>
          <w:lang w:val="en-US" w:eastAsia="zh-CN"/>
        </w:rPr>
        <w:t>87.3%</w:t>
      </w:r>
      <w:r>
        <w:rPr>
          <w:rFonts w:hint="eastAsia" w:ascii="Times New Roman" w:hAnsi="Times New Roman" w:eastAsia="宋体" w:cs="Times New Roman"/>
          <w:lang w:val="en-US" w:eastAsia="zh-CN"/>
        </w:rPr>
        <w:t>，早高峰时段冲突密度达到峰值，这一现象印证了集中出行致使交通压力急剧增加的理论。五个主要热点区域集中了</w:t>
      </w:r>
      <w:r>
        <w:rPr>
          <w:rFonts w:hint="eastAsia" w:ascii="Times New Roman" w:hAnsi="Times New Roman" w:cs="Times New Roman"/>
          <w:lang w:val="en-US" w:eastAsia="zh-CN"/>
        </w:rPr>
        <w:t>51.7%</w:t>
      </w:r>
      <w:r>
        <w:rPr>
          <w:rFonts w:hint="eastAsia" w:ascii="Times New Roman" w:hAnsi="Times New Roman" w:eastAsia="宋体" w:cs="Times New Roman"/>
          <w:lang w:val="en-US" w:eastAsia="zh-CN"/>
        </w:rPr>
        <w:t>的冲突事件，这种空间集中性表明冲突并非随机产生，而是受到特定空间</w:t>
      </w:r>
      <w:r>
        <w:rPr>
          <w:rFonts w:hint="eastAsia" w:ascii="Times New Roman" w:hAnsi="Times New Roman" w:cs="Times New Roman"/>
          <w:lang w:val="en-US" w:eastAsia="zh-CN"/>
        </w:rPr>
        <w:t>环境</w:t>
      </w:r>
      <w:r>
        <w:rPr>
          <w:rFonts w:hint="eastAsia" w:ascii="Times New Roman" w:hAnsi="Times New Roman" w:eastAsia="宋体" w:cs="Times New Roman"/>
          <w:lang w:val="en-US" w:eastAsia="zh-CN"/>
        </w:rPr>
        <w:t>的系统性作用。这一研究发现为精准化的改善举措提供了清晰的方向，促使管理资源能够聚焦于关键区域和关键时段。</w:t>
      </w:r>
    </w:p>
    <w:p w14:paraId="14B57C3F">
      <w:pPr>
        <w:pStyle w:val="4"/>
        <w:numPr>
          <w:ilvl w:val="0"/>
          <w:numId w:val="1"/>
        </w:numPr>
        <w:ind w:left="0" w:leftChars="0" w:firstLine="480" w:firstLineChars="200"/>
        <w:jc w:val="both"/>
      </w:pPr>
      <w:r>
        <w:rPr>
          <w:rFonts w:hint="eastAsia" w:ascii="Times New Roman" w:hAnsi="Times New Roman" w:eastAsia="宋体" w:cs="Times New Roman"/>
          <w:lang w:val="en-US" w:eastAsia="zh-CN"/>
        </w:rPr>
        <w:t>人为行为因素在冲突触发过程中占据主导地位。注意力分散类行为与违规运动类行为的占比合计达</w:t>
      </w:r>
      <w:r>
        <w:rPr>
          <w:rFonts w:hint="eastAsia" w:ascii="Times New Roman" w:hAnsi="Times New Roman" w:cs="Times New Roman"/>
          <w:lang w:val="en-US" w:eastAsia="zh-CN"/>
        </w:rPr>
        <w:t>69.1%</w:t>
      </w:r>
      <w:r>
        <w:rPr>
          <w:rFonts w:hint="eastAsia" w:ascii="Times New Roman" w:hAnsi="Times New Roman" w:eastAsia="宋体" w:cs="Times New Roman"/>
          <w:lang w:val="en-US" w:eastAsia="zh-CN"/>
        </w:rPr>
        <w:t>，这表明冲突的根源在于交通参与者的主观意识和行为抉择。其中，低头看手机以</w:t>
      </w:r>
      <w:r>
        <w:rPr>
          <w:rFonts w:hint="eastAsia" w:ascii="Times New Roman" w:hAnsi="Times New Roman" w:cs="Times New Roman"/>
          <w:lang w:val="en-US" w:eastAsia="zh-CN"/>
        </w:rPr>
        <w:t>18.7%</w:t>
      </w:r>
      <w:r>
        <w:rPr>
          <w:rFonts w:hint="eastAsia" w:ascii="Times New Roman" w:hAnsi="Times New Roman" w:eastAsia="宋体" w:cs="Times New Roman"/>
          <w:lang w:val="en-US" w:eastAsia="zh-CN"/>
        </w:rPr>
        <w:t>的占比位居榜首，反映出移动互联网时代注意力资源被电子设备占用的普遍状况。</w:t>
      </w:r>
    </w:p>
    <w:p w14:paraId="303ACFFD">
      <w:pPr>
        <w:pStyle w:val="4"/>
        <w:numPr>
          <w:ilvl w:val="0"/>
          <w:numId w:val="1"/>
        </w:numPr>
        <w:ind w:left="0" w:leftChars="0"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环境因素对冲突发生具有可量化的显著影响。道路宽度的相关系数</w:t>
      </w:r>
      <w:r>
        <w:rPr>
          <w:rFonts w:hint="eastAsia" w:ascii="Times New Roman" w:hAnsi="Times New Roman" w:eastAsia="宋体" w:cs="Times New Roman"/>
          <w:lang w:val="en-US" w:eastAsia="zh-CN"/>
        </w:rPr>
        <w:t>为</w:t>
      </w:r>
      <w:r>
        <w:rPr>
          <w:rFonts w:hint="eastAsia" w:ascii="Times New Roman" w:hAnsi="Times New Roman" w:cs="Times New Roman"/>
          <w:lang w:val="en-US" w:eastAsia="zh-CN"/>
        </w:rPr>
        <w:t>-0.72</w:t>
      </w:r>
      <w:r>
        <w:rPr>
          <w:rFonts w:hint="default" w:ascii="Times New Roman" w:hAnsi="Times New Roman" w:eastAsia="宋体" w:cs="Times New Roman"/>
          <w:lang w:val="en-US" w:eastAsia="zh-CN"/>
        </w:rPr>
        <w:t>，当道路宽度从小于</w:t>
      </w:r>
      <w:r>
        <w:rPr>
          <w:rFonts w:hint="eastAsia" w:ascii="Times New Roman" w:hAnsi="Times New Roman" w:cs="Times New Roman"/>
          <w:lang w:val="en-US" w:eastAsia="zh-CN"/>
        </w:rPr>
        <w:t>4m</w:t>
      </w:r>
      <w:r>
        <w:rPr>
          <w:rFonts w:hint="eastAsia" w:ascii="Times New Roman" w:hAnsi="Times New Roman" w:eastAsia="宋体" w:cs="Times New Roman"/>
          <w:lang w:val="en-US" w:eastAsia="zh-CN"/>
        </w:rPr>
        <w:t>拓展</w:t>
      </w:r>
      <w:r>
        <w:rPr>
          <w:rFonts w:hint="default" w:ascii="Times New Roman" w:hAnsi="Times New Roman" w:eastAsia="宋体" w:cs="Times New Roman"/>
          <w:lang w:val="en-US" w:eastAsia="zh-CN"/>
        </w:rPr>
        <w:t>至大于</w:t>
      </w:r>
      <w:r>
        <w:rPr>
          <w:rFonts w:hint="eastAsia" w:ascii="Times New Roman" w:hAnsi="Times New Roman" w:cs="Times New Roman"/>
          <w:lang w:val="en-US" w:eastAsia="zh-CN"/>
        </w:rPr>
        <w:t>6m</w:t>
      </w:r>
      <w:r>
        <w:rPr>
          <w:rFonts w:hint="default" w:ascii="Times New Roman" w:hAnsi="Times New Roman" w:eastAsia="宋体" w:cs="Times New Roman"/>
          <w:lang w:val="en-US" w:eastAsia="zh-CN"/>
        </w:rPr>
        <w:t>时，冲突发生率降低超过</w:t>
      </w:r>
      <w:r>
        <w:rPr>
          <w:rFonts w:hint="eastAsia" w:ascii="Times New Roman" w:hAnsi="Times New Roman" w:cs="Times New Roman"/>
          <w:lang w:val="en-US" w:eastAsia="zh-CN"/>
        </w:rPr>
        <w:t>74%</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标识系统完整度同样呈现出强相关性，标识完整路段的冲突率仅为标识缺失路段的</w:t>
      </w:r>
      <w:r>
        <w:rPr>
          <w:rFonts w:hint="eastAsia" w:ascii="Times New Roman" w:hAnsi="Times New Roman" w:cs="Times New Roman"/>
          <w:lang w:val="en-US" w:eastAsia="zh-CN"/>
        </w:rPr>
        <w:t>37%</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这些量化结果为校园道路改造提供了明确的设计参数，也为评估改造效果提供了可测量的基准指标。视距条件、照明水平和路面平整度的影响虽然相对较弱，但在特定情境下仍</w:t>
      </w:r>
      <w:r>
        <w:rPr>
          <w:rFonts w:hint="eastAsia" w:ascii="Times New Roman" w:hAnsi="Times New Roman" w:eastAsia="宋体" w:cs="Times New Roman"/>
          <w:lang w:val="en-US" w:eastAsia="zh-CN"/>
        </w:rPr>
        <w:t>发挥着</w:t>
      </w:r>
      <w:r>
        <w:rPr>
          <w:rFonts w:hint="default" w:ascii="Times New Roman" w:hAnsi="Times New Roman" w:eastAsia="宋体" w:cs="Times New Roman"/>
          <w:lang w:val="en-US" w:eastAsia="zh-CN"/>
        </w:rPr>
        <w:t>重要作用。</w:t>
      </w:r>
    </w:p>
    <w:p w14:paraId="7D15FDFE">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2共享道路冲突主体安全认知与行为意图作用机理研究</w:t>
      </w:r>
    </w:p>
    <w:p w14:paraId="7AC19BAB">
      <w:pPr>
        <w:pStyle w:val="4"/>
        <w:jc w:val="both"/>
        <w:rPr>
          <w:rFonts w:hint="default" w:ascii="Times New Roman" w:hAnsi="Times New Roman" w:cs="Times New Roman"/>
        </w:rPr>
      </w:pPr>
      <w:r>
        <w:rPr>
          <w:rFonts w:hint="default" w:ascii="Times New Roman" w:hAnsi="Times New Roman" w:cs="Times New Roman"/>
        </w:rPr>
        <w:t>在</w:t>
      </w:r>
      <w:r>
        <w:rPr>
          <w:rFonts w:hint="eastAsia" w:ascii="Times New Roman" w:hAnsi="Times New Roman" w:cs="Times New Roman"/>
          <w:lang w:val="en-US" w:eastAsia="zh-CN"/>
        </w:rPr>
        <w:t>高校</w:t>
      </w:r>
      <w:r>
        <w:rPr>
          <w:rFonts w:hint="default" w:ascii="Times New Roman" w:hAnsi="Times New Roman" w:cs="Times New Roman"/>
        </w:rPr>
        <w:t>共享的道路空间中，行人与骑行者</w:t>
      </w:r>
      <w:r>
        <w:rPr>
          <w:rFonts w:hint="eastAsia" w:ascii="Times New Roman" w:hAnsi="Times New Roman" w:cs="Times New Roman"/>
          <w:lang w:val="en-US" w:eastAsia="zh-CN"/>
        </w:rPr>
        <w:t>是当前校园共享道路冲突的主体。两者间的交通</w:t>
      </w:r>
      <w:r>
        <w:rPr>
          <w:rFonts w:hint="default" w:ascii="Times New Roman" w:hAnsi="Times New Roman" w:cs="Times New Roman"/>
        </w:rPr>
        <w:t>冲突不仅表现在物理空间的竞争上，更深层次地反映了不同交通参与者在安全认知、风险感知和行为决策上的差异。</w:t>
      </w:r>
      <w:r>
        <w:rPr>
          <w:rFonts w:hint="eastAsia" w:ascii="Times New Roman" w:hAnsi="Times New Roman" w:cs="Times New Roman"/>
          <w:lang w:val="en-US" w:eastAsia="zh-CN"/>
        </w:rPr>
        <w:t>厘清</w:t>
      </w:r>
      <w:r>
        <w:rPr>
          <w:rFonts w:hint="default" w:ascii="Times New Roman" w:hAnsi="Times New Roman" w:cs="Times New Roman"/>
        </w:rPr>
        <w:t>共享道路冲突主体背后的心理机制，对于制定有效的安全</w:t>
      </w:r>
      <w:r>
        <w:rPr>
          <w:rFonts w:hint="eastAsia" w:ascii="Times New Roman" w:hAnsi="Times New Roman" w:cs="Times New Roman"/>
          <w:lang w:val="en-US" w:eastAsia="zh-CN"/>
        </w:rPr>
        <w:t>引导</w:t>
      </w:r>
      <w:r>
        <w:rPr>
          <w:rFonts w:hint="default" w:ascii="Times New Roman" w:hAnsi="Times New Roman" w:cs="Times New Roman"/>
        </w:rPr>
        <w:t>策略具有重要意义。</w:t>
      </w:r>
    </w:p>
    <w:p w14:paraId="1A336B51">
      <w:pPr>
        <w:pStyle w:val="4"/>
        <w:jc w:val="both"/>
        <w:rPr>
          <w:rFonts w:hint="eastAsia" w:eastAsia="宋体"/>
          <w:lang w:eastAsia="zh-CN"/>
        </w:rPr>
      </w:pPr>
      <w:r>
        <w:rPr>
          <w:rFonts w:hint="eastAsia" w:ascii="Times New Roman" w:hAnsi="Times New Roman" w:cs="Times New Roman"/>
          <w:lang w:eastAsia="zh-CN"/>
        </w:rPr>
        <w:t>本研究旨在深入探究校园共享道路环境中共享道路冲突主体的安全认知形成机制及其对行为意图的作用路径。通过整合计划行为理论、合理行为理论和技术接受模型，构建了一个综合性的理论框架，以期全面揭示</w:t>
      </w:r>
      <w:r>
        <w:rPr>
          <w:rFonts w:hint="eastAsia" w:ascii="Times New Roman" w:hAnsi="Times New Roman" w:cs="Times New Roman"/>
          <w:lang w:val="en-US" w:eastAsia="zh-CN"/>
        </w:rPr>
        <w:t>行人与骑行</w:t>
      </w:r>
      <w:r>
        <w:rPr>
          <w:rFonts w:hint="eastAsia" w:ascii="Times New Roman" w:hAnsi="Times New Roman" w:cs="Times New Roman"/>
          <w:lang w:eastAsia="zh-CN"/>
        </w:rPr>
        <w:t>群体在共享道路空间中的心理决策差异。研究采用问卷调查法收集数据，运用结构方程模型进行多群组比较分析，最终分别建立了行人与骑行者的行为决策模型，为制定差异化的交通安全管理策略提供理论依据。</w:t>
      </w:r>
    </w:p>
    <w:p w14:paraId="3DB6C7DA">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2</w:t>
      </w:r>
      <w:r>
        <w:rPr>
          <w:rFonts w:hint="default" w:ascii="黑体" w:hAnsi="黑体" w:eastAsia="黑体"/>
          <w:b w:val="0"/>
          <w:bCs w:val="0"/>
          <w:sz w:val="30"/>
          <w:szCs w:val="30"/>
          <w:lang w:val="en-US" w:eastAsia="zh-CN"/>
        </w:rPr>
        <w:t>.1理论框架构建与量表开发</w:t>
      </w:r>
    </w:p>
    <w:p w14:paraId="5DB5C143">
      <w:pPr>
        <w:pStyle w:val="4"/>
        <w:ind w:left="0" w:leftChars="0" w:firstLine="0" w:firstLineChars="0"/>
        <w:rPr>
          <w:rFonts w:hint="eastAsia" w:ascii="黑体" w:hAnsi="黑体" w:eastAsia="黑体" w:cs="黑体"/>
          <w:lang w:val="en-US" w:eastAsia="zh-CN"/>
        </w:rPr>
      </w:pPr>
      <w:r>
        <w:rPr>
          <w:rFonts w:hint="default" w:ascii="黑体" w:hAnsi="黑体" w:eastAsia="黑体" w:cs="黑体"/>
          <w:lang w:val="en-US" w:eastAsia="zh-CN"/>
        </w:rPr>
        <w:t>（1）</w:t>
      </w:r>
      <w:r>
        <w:rPr>
          <w:rFonts w:hint="eastAsia" w:ascii="黑体" w:hAnsi="黑体" w:eastAsia="黑体" w:cs="黑体"/>
          <w:lang w:val="en-US" w:eastAsia="zh-CN"/>
        </w:rPr>
        <w:t>理论要素筛选</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理论要素的筛选是构建有效研究框架的基础性任务。本研究的选择过程历经三个阶段，分别为文献梳理阶段、理论整合阶段和要素确定阶段。在文献梳理阶段，本研究发现：态度（Attitude）出现频率达89.5%，主观规范（Subjective Norm）为76.2%，知觉行为控制（Perceived Behavioral Control）为82.4%，风险感知（Risk Perception）为68.3%</w:t>
      </w:r>
      <w:r>
        <w:rPr>
          <w:rFonts w:hint="eastAsia" w:ascii="Times New Roman" w:hAnsi="Times New Roman" w:cs="Times New Roman"/>
          <w:lang w:val="en-US" w:eastAsia="zh-CN"/>
          <w:vertAlign w:val="superscript"/>
        </w:rPr>
        <w:t xml:space="preserve">[27]</w:t>
      </w:r>
      <w:r>
        <w:rPr>
          <w:rFonts w:hint="eastAsia" w:ascii="Times New Roman" w:hAnsi="Times New Roman" w:cs="Times New Roman"/>
          <w:lang w:val="en-US" w:eastAsia="zh-CN"/>
        </w:rPr>
        <w:t xml:space="preserve">，行为意图（Behavioral Intention）为95.7%。以上高频要素构成了本研究理论框架的基本要素群。</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在理论整合阶段，本研究深入剖析了三个核心理论的贡献。TPB为行为预测提供了基础框架，其包含态度、主观规范、知觉行为控制三要素的模型，已被广泛证实具备良好的预测效能。TRA着重强调了理性决策过程，尤其是态度与规范性信念的形成机制。TAM虽最初应用于技术接受领域</w:t>
      </w:r>
      <w:r>
        <w:rPr>
          <w:rFonts w:hint="eastAsia" w:ascii="Times New Roman" w:hAnsi="Times New Roman" w:cs="Times New Roman"/>
          <w:lang w:val="en-US" w:eastAsia="zh-CN"/>
          <w:vertAlign w:val="superscript"/>
        </w:rPr>
        <w:t xml:space="preserve">[28]</w:t>
      </w:r>
      <w:r>
        <w:rPr>
          <w:rFonts w:hint="eastAsia" w:ascii="Times New Roman" w:hAnsi="Times New Roman" w:cs="Times New Roman"/>
          <w:lang w:val="en-US" w:eastAsia="zh-CN"/>
        </w:rPr>
        <w:t xml:space="preserve">，但其感知有用性（Perceived Usefulness）和感知易用性（Perceived Ease of Use）概念，对于理解交通环境及其相应设施的使用意愿具有重要启示。研究认识到，单一理论难以全面阐释校园共享道路这一特殊情境下的复杂行为，故而决定采用理论整合的方式展开研究。</w:t>
      </w:r>
    </w:p>
    <w:p w14:paraId="1C55DE18">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此外，</w:t>
      </w:r>
      <w:r>
        <w:rPr>
          <w:rFonts w:hint="default" w:ascii="Times New Roman" w:hAnsi="Times New Roman" w:cs="Times New Roman"/>
          <w:lang w:val="en-US" w:eastAsia="zh-CN"/>
        </w:rPr>
        <w:t>基于文献分析</w:t>
      </w:r>
      <w:r>
        <w:rPr>
          <w:rFonts w:hint="eastAsia" w:ascii="Times New Roman" w:hAnsi="Times New Roman" w:cs="Times New Roman"/>
          <w:lang w:val="en-US" w:eastAsia="zh-CN"/>
        </w:rPr>
        <w:t>与</w:t>
      </w:r>
      <w:r>
        <w:rPr>
          <w:rFonts w:hint="default" w:ascii="Times New Roman" w:hAnsi="Times New Roman" w:cs="Times New Roman"/>
          <w:lang w:val="en-US" w:eastAsia="zh-CN"/>
        </w:rPr>
        <w:t>理论整合，</w:t>
      </w:r>
      <w:r>
        <w:rPr>
          <w:rFonts w:hint="eastAsia" w:ascii="Times New Roman" w:hAnsi="Times New Roman" w:cs="Times New Roman"/>
          <w:lang w:val="en-US" w:eastAsia="zh-CN"/>
        </w:rPr>
        <w:t>本研究</w:t>
      </w:r>
      <w:r>
        <w:rPr>
          <w:rFonts w:hint="default" w:ascii="Times New Roman" w:hAnsi="Times New Roman" w:cs="Times New Roman"/>
          <w:lang w:val="en-US" w:eastAsia="zh-CN"/>
        </w:rPr>
        <w:t>初步确定了9个候选</w:t>
      </w:r>
      <w:r>
        <w:rPr>
          <w:rFonts w:hint="eastAsia" w:ascii="Times New Roman" w:hAnsi="Times New Roman" w:cs="Times New Roman"/>
          <w:lang w:val="en-US" w:eastAsia="zh-CN"/>
        </w:rPr>
        <w:t>要素</w:t>
      </w:r>
      <w:r>
        <w:rPr>
          <w:rFonts w:hint="default" w:ascii="Times New Roman" w:hAnsi="Times New Roman" w:cs="Times New Roman"/>
          <w:lang w:val="en-US" w:eastAsia="zh-CN"/>
        </w:rPr>
        <w:t>：安全态度</w:t>
      </w:r>
      <w:r>
        <w:rPr>
          <w:rFonts w:hint="eastAsia" w:ascii="Times New Roman" w:hAnsi="Times New Roman" w:cs="Times New Roman"/>
          <w:lang w:val="en-US" w:eastAsia="zh-CN"/>
        </w:rPr>
        <w:t>、</w:t>
      </w:r>
      <w:r>
        <w:rPr>
          <w:rFonts w:hint="default" w:ascii="Times New Roman" w:hAnsi="Times New Roman" w:cs="Times New Roman"/>
          <w:lang w:val="en-US" w:eastAsia="zh-CN"/>
        </w:rPr>
        <w:t>主观规范</w:t>
      </w:r>
      <w:r>
        <w:rPr>
          <w:rFonts w:hint="eastAsia" w:ascii="Times New Roman" w:hAnsi="Times New Roman" w:cs="Times New Roman"/>
          <w:lang w:val="en-US" w:eastAsia="zh-CN"/>
        </w:rPr>
        <w:t>、</w:t>
      </w:r>
      <w:r>
        <w:rPr>
          <w:rFonts w:hint="default" w:ascii="Times New Roman" w:hAnsi="Times New Roman" w:cs="Times New Roman"/>
          <w:lang w:val="en-US" w:eastAsia="zh-CN"/>
        </w:rPr>
        <w:t>知觉行为控制</w:t>
      </w:r>
      <w:r>
        <w:rPr>
          <w:rFonts w:hint="eastAsia" w:ascii="Times New Roman" w:hAnsi="Times New Roman" w:cs="Times New Roman"/>
          <w:lang w:val="en-US" w:eastAsia="zh-CN"/>
        </w:rPr>
        <w:t>、</w:t>
      </w:r>
      <w:r>
        <w:rPr>
          <w:rFonts w:hint="default" w:ascii="Times New Roman" w:hAnsi="Times New Roman" w:cs="Times New Roman"/>
          <w:lang w:val="en-US" w:eastAsia="zh-CN"/>
        </w:rPr>
        <w:t>感知有用性</w:t>
      </w:r>
      <w:r>
        <w:rPr>
          <w:rFonts w:hint="eastAsia" w:ascii="Times New Roman" w:hAnsi="Times New Roman" w:cs="Times New Roman"/>
          <w:lang w:val="en-US" w:eastAsia="zh-CN"/>
        </w:rPr>
        <w:t>、</w:t>
      </w:r>
      <w:r>
        <w:rPr>
          <w:rFonts w:hint="default" w:ascii="Times New Roman" w:hAnsi="Times New Roman" w:cs="Times New Roman"/>
          <w:lang w:val="en-US" w:eastAsia="zh-CN"/>
        </w:rPr>
        <w:t>感知易用性</w:t>
      </w:r>
      <w:r>
        <w:rPr>
          <w:rFonts w:hint="eastAsia" w:ascii="Times New Roman" w:hAnsi="Times New Roman" w:cs="Times New Roman"/>
          <w:lang w:val="en-US" w:eastAsia="zh-CN"/>
        </w:rPr>
        <w:t>、</w:t>
      </w:r>
      <w:r>
        <w:rPr>
          <w:rFonts w:hint="default" w:ascii="Times New Roman" w:hAnsi="Times New Roman" w:cs="Times New Roman"/>
          <w:lang w:val="en-US" w:eastAsia="zh-CN"/>
        </w:rPr>
        <w:t>风险感知</w:t>
      </w:r>
      <w:r>
        <w:rPr>
          <w:rFonts w:hint="eastAsia" w:ascii="Times New Roman" w:hAnsi="Times New Roman" w:cs="Times New Roman"/>
          <w:lang w:val="en-US" w:eastAsia="zh-CN"/>
        </w:rPr>
        <w:t>、</w:t>
      </w:r>
      <w:r>
        <w:rPr>
          <w:rFonts w:hint="default" w:ascii="Times New Roman" w:hAnsi="Times New Roman" w:cs="Times New Roman"/>
          <w:lang w:val="en-US" w:eastAsia="zh-CN"/>
        </w:rPr>
        <w:t>过往冲突经历</w:t>
      </w:r>
      <w:r>
        <w:rPr>
          <w:rFonts w:hint="eastAsia" w:ascii="Times New Roman" w:hAnsi="Times New Roman" w:cs="Times New Roman"/>
          <w:lang w:val="en-US" w:eastAsia="zh-CN"/>
        </w:rPr>
        <w:t>、</w:t>
      </w:r>
      <w:r>
        <w:rPr>
          <w:rFonts w:hint="default" w:ascii="Times New Roman" w:hAnsi="Times New Roman" w:cs="Times New Roman"/>
          <w:lang w:val="en-US" w:eastAsia="zh-CN"/>
        </w:rPr>
        <w:t>基础设施评价</w:t>
      </w:r>
      <w:r>
        <w:rPr>
          <w:rFonts w:hint="eastAsia" w:ascii="Times New Roman" w:hAnsi="Times New Roman" w:cs="Times New Roman"/>
          <w:lang w:val="en-US" w:eastAsia="zh-CN"/>
        </w:rPr>
        <w:t>及</w:t>
      </w:r>
      <w:r>
        <w:rPr>
          <w:rFonts w:hint="default" w:ascii="Times New Roman" w:hAnsi="Times New Roman" w:cs="Times New Roman"/>
          <w:lang w:val="en-US" w:eastAsia="zh-CN"/>
        </w:rPr>
        <w:t>行为意图</w:t>
      </w:r>
      <w:r>
        <w:rPr>
          <w:rFonts w:hint="eastAsia" w:ascii="Times New Roman" w:hAnsi="Times New Roman" w:cs="Times New Roman"/>
          <w:lang w:val="en-US" w:eastAsia="zh-CN"/>
        </w:rPr>
        <w:t>。为验证这些要素在校园情境中的适用性，本研究组织了两轮专家咨询。第一轮邀请了5名交通工程和行为心理学领域的教授，运用德尔菲法对各要素的重要性和相关性进行评估。专家们一致认为8个要素均具有较高重要性，但对“基础设施评价”的独立性存在争议。第二轮咨询聚焦于要素间的关系，专家建议将“基础设施评价纳”入感知易用性维度。最终，本研究确定了8个核心要素作为理论模型的构成要素如表7所示。</w:t>
      </w:r>
    </w:p>
    <w:p w14:paraId="2F0ED5BE">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表7 高校共享道路</w:t>
      </w:r>
      <w:r>
        <w:rPr>
          <w:rFonts w:hint="eastAsia" w:ascii="Times New Roman" w:hAnsi="Times New Roman" w:eastAsia="宋体" w:cs="Times New Roman"/>
          <w:lang w:val="en-US" w:eastAsia="zh-CN"/>
        </w:rPr>
        <w:t>交通安全</w:t>
      </w:r>
      <w:r>
        <w:rPr>
          <w:rFonts w:hint="eastAsia" w:ascii="Times New Roman" w:hAnsi="Times New Roman" w:cs="Times New Roman"/>
          <w:lang w:val="en-US" w:eastAsia="zh-CN"/>
        </w:rPr>
        <w:t>行为</w:t>
      </w:r>
      <w:r>
        <w:rPr>
          <w:rFonts w:hint="eastAsia" w:ascii="Times New Roman" w:hAnsi="Times New Roman" w:eastAsia="宋体" w:cs="Times New Roman"/>
          <w:lang w:val="en-US" w:eastAsia="zh-CN"/>
        </w:rPr>
        <w:t>要素表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8"/>
        <w:gridCol w:w="1656"/>
        <w:gridCol w:w="5016"/>
      </w:tblGrid>
      <w:tr w14:paraId="0412A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0BE491A9">
            <w:pPr>
              <w:keepNext w:val="0"/>
              <w:keepLines w:val="0"/>
              <w:widowControl/>
              <w:suppressLineNumbers w:val="0"/>
              <w:jc w:val="center"/>
              <w:rPr>
                <w:rFonts w:hint="default" w:ascii="Times New Roman" w:hAnsi="Times New Roman" w:eastAsia="宋体" w:cs="Times New Roman"/>
                <w:b/>
                <w:bCs/>
                <w:color w:val="000000"/>
                <w:sz w:val="24"/>
                <w:szCs w:val="24"/>
                <w:vertAlign w:val="baseline"/>
                <w:lang w:val="en-US" w:eastAsia="zh-CN"/>
              </w:rPr>
            </w:pPr>
            <w:r>
              <w:rPr>
                <w:rFonts w:hint="default" w:ascii="Times New Roman" w:hAnsi="Times New Roman" w:eastAsia="宋体" w:cs="Times New Roman"/>
                <w:b/>
                <w:bCs/>
                <w:color w:val="000000"/>
                <w:kern w:val="0"/>
                <w:sz w:val="24"/>
                <w:szCs w:val="24"/>
                <w:lang w:val="en-US" w:eastAsia="zh-CN" w:bidi="ar"/>
              </w:rPr>
              <w:t>序号</w:t>
            </w:r>
          </w:p>
        </w:tc>
        <w:tc>
          <w:tcPr>
            <w:tcW w:w="0" w:type="auto"/>
            <w:tcBorders>
              <w:top w:val="single" w:color="000000" w:sz="4" w:space="0"/>
              <w:left w:val="nil"/>
              <w:bottom w:val="single" w:color="000000" w:sz="12" w:space="0"/>
              <w:right w:val="nil"/>
            </w:tcBorders>
            <w:shd w:val="clear" w:color="auto" w:fill="FFFFFF"/>
            <w:vAlign w:val="center"/>
          </w:tcPr>
          <w:p w14:paraId="11D9D756">
            <w:pPr>
              <w:keepNext w:val="0"/>
              <w:keepLines w:val="0"/>
              <w:widowControl/>
              <w:suppressLineNumbers w:val="0"/>
              <w:jc w:val="center"/>
              <w:rPr>
                <w:rFonts w:hint="default" w:ascii="Times New Roman" w:hAnsi="Times New Roman" w:eastAsia="宋体" w:cs="Times New Roman"/>
                <w:b/>
                <w:bCs/>
                <w:color w:val="000000"/>
                <w:sz w:val="24"/>
                <w:szCs w:val="24"/>
                <w:vertAlign w:val="baseline"/>
                <w:lang w:val="en-US" w:eastAsia="zh-CN"/>
              </w:rPr>
            </w:pPr>
            <w:r>
              <w:rPr>
                <w:rFonts w:hint="default" w:ascii="Times New Roman" w:hAnsi="Times New Roman" w:eastAsia="宋体" w:cs="Times New Roman"/>
                <w:b/>
                <w:bCs/>
                <w:color w:val="000000"/>
                <w:kern w:val="0"/>
                <w:sz w:val="24"/>
                <w:szCs w:val="24"/>
                <w:lang w:val="en-US" w:eastAsia="zh-CN" w:bidi="ar"/>
              </w:rPr>
              <w:t>要素名称</w:t>
            </w:r>
          </w:p>
        </w:tc>
        <w:tc>
          <w:tcPr>
            <w:tcW w:w="0" w:type="auto"/>
            <w:tcBorders>
              <w:top w:val="single" w:color="000000" w:sz="4" w:space="0"/>
              <w:left w:val="nil"/>
              <w:bottom w:val="single" w:color="000000" w:sz="12" w:space="0"/>
              <w:right w:val="nil"/>
            </w:tcBorders>
            <w:shd w:val="clear" w:color="auto" w:fill="FFFFFF"/>
            <w:vAlign w:val="center"/>
          </w:tcPr>
          <w:p w14:paraId="6F897554">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要素定义</w:t>
            </w:r>
          </w:p>
        </w:tc>
      </w:tr>
      <w:tr w14:paraId="0BCCA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0" w:type="auto"/>
            <w:tcBorders>
              <w:top w:val="single" w:color="000000" w:sz="12" w:space="0"/>
              <w:left w:val="nil"/>
              <w:bottom w:val="nil"/>
              <w:right w:val="nil"/>
            </w:tcBorders>
            <w:shd w:val="clear" w:color="auto" w:fill="FFFFFF"/>
            <w:vAlign w:val="center"/>
          </w:tcPr>
          <w:p w14:paraId="388B25D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1</w:t>
            </w:r>
          </w:p>
        </w:tc>
        <w:tc>
          <w:tcPr>
            <w:tcW w:w="0" w:type="auto"/>
            <w:tcBorders>
              <w:top w:val="single" w:color="000000" w:sz="12" w:space="0"/>
              <w:left w:val="nil"/>
              <w:bottom w:val="nil"/>
              <w:right w:val="nil"/>
            </w:tcBorders>
            <w:shd w:val="clear" w:color="auto" w:fill="FFFFFF"/>
            <w:vAlign w:val="center"/>
          </w:tcPr>
          <w:p w14:paraId="5B89B416">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安全态度</w:t>
            </w:r>
          </w:p>
        </w:tc>
        <w:tc>
          <w:tcPr>
            <w:tcW w:w="0" w:type="auto"/>
            <w:tcBorders>
              <w:top w:val="single" w:color="000000" w:sz="12" w:space="0"/>
              <w:left w:val="nil"/>
              <w:bottom w:val="nil"/>
              <w:right w:val="nil"/>
            </w:tcBorders>
            <w:shd w:val="clear" w:color="auto" w:fill="FFFFFF"/>
            <w:vAlign w:val="center"/>
          </w:tcPr>
          <w:p w14:paraId="03B4643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个体对交通安全重要性的总体评判</w:t>
            </w:r>
          </w:p>
        </w:tc>
      </w:tr>
      <w:tr w14:paraId="6E456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75D904CC">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2</w:t>
            </w:r>
          </w:p>
        </w:tc>
        <w:tc>
          <w:tcPr>
            <w:tcW w:w="0" w:type="auto"/>
            <w:tcBorders>
              <w:top w:val="nil"/>
              <w:left w:val="nil"/>
              <w:bottom w:val="nil"/>
              <w:right w:val="nil"/>
            </w:tcBorders>
            <w:shd w:val="clear" w:color="auto" w:fill="FFFFFF"/>
            <w:vAlign w:val="center"/>
          </w:tcPr>
          <w:p w14:paraId="5C8B47B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主观规范</w:t>
            </w:r>
          </w:p>
        </w:tc>
        <w:tc>
          <w:tcPr>
            <w:tcW w:w="0" w:type="auto"/>
            <w:tcBorders>
              <w:top w:val="nil"/>
              <w:left w:val="nil"/>
              <w:bottom w:val="nil"/>
              <w:right w:val="nil"/>
            </w:tcBorders>
            <w:shd w:val="clear" w:color="auto" w:fill="FFFFFF"/>
            <w:vAlign w:val="center"/>
          </w:tcPr>
          <w:p w14:paraId="2E9894C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个体所感知到的来自重要他人的行为期望</w:t>
            </w:r>
          </w:p>
        </w:tc>
      </w:tr>
      <w:tr w14:paraId="470F6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39441924">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3</w:t>
            </w:r>
          </w:p>
        </w:tc>
        <w:tc>
          <w:tcPr>
            <w:tcW w:w="0" w:type="auto"/>
            <w:tcBorders>
              <w:top w:val="nil"/>
              <w:left w:val="nil"/>
              <w:bottom w:val="nil"/>
              <w:right w:val="nil"/>
            </w:tcBorders>
            <w:shd w:val="clear" w:color="auto" w:fill="FFFFFF"/>
            <w:vAlign w:val="center"/>
          </w:tcPr>
          <w:p w14:paraId="79A537B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知觉行为控制</w:t>
            </w:r>
          </w:p>
        </w:tc>
        <w:tc>
          <w:tcPr>
            <w:tcW w:w="0" w:type="auto"/>
            <w:tcBorders>
              <w:top w:val="nil"/>
              <w:left w:val="nil"/>
              <w:bottom w:val="nil"/>
              <w:right w:val="nil"/>
            </w:tcBorders>
            <w:shd w:val="clear" w:color="auto" w:fill="FFFFFF"/>
            <w:vAlign w:val="center"/>
          </w:tcPr>
          <w:p w14:paraId="30B597AF">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体现个体对执行安全行为的自我效能感</w:t>
            </w:r>
          </w:p>
        </w:tc>
      </w:tr>
      <w:tr w14:paraId="5ACC7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1CACC7DE">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4</w:t>
            </w:r>
          </w:p>
        </w:tc>
        <w:tc>
          <w:tcPr>
            <w:tcW w:w="0" w:type="auto"/>
            <w:tcBorders>
              <w:top w:val="nil"/>
              <w:left w:val="nil"/>
              <w:bottom w:val="nil"/>
              <w:right w:val="nil"/>
            </w:tcBorders>
            <w:shd w:val="clear" w:color="auto" w:fill="FFFFFF"/>
            <w:vAlign w:val="center"/>
          </w:tcPr>
          <w:p w14:paraId="306F9F6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感知有用性</w:t>
            </w:r>
          </w:p>
        </w:tc>
        <w:tc>
          <w:tcPr>
            <w:tcW w:w="0" w:type="auto"/>
            <w:tcBorders>
              <w:top w:val="nil"/>
              <w:left w:val="nil"/>
              <w:bottom w:val="nil"/>
              <w:right w:val="nil"/>
            </w:tcBorders>
            <w:shd w:val="clear" w:color="auto" w:fill="FFFFFF"/>
            <w:vAlign w:val="center"/>
          </w:tcPr>
          <w:p w14:paraId="1743465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个体认为遵守交通规则对保障安全的有效程度</w:t>
            </w:r>
          </w:p>
        </w:tc>
      </w:tr>
      <w:tr w14:paraId="0715E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68BD6A14">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5</w:t>
            </w:r>
          </w:p>
        </w:tc>
        <w:tc>
          <w:tcPr>
            <w:tcW w:w="0" w:type="auto"/>
            <w:tcBorders>
              <w:top w:val="nil"/>
              <w:left w:val="nil"/>
              <w:bottom w:val="nil"/>
              <w:right w:val="nil"/>
            </w:tcBorders>
            <w:shd w:val="clear" w:color="auto" w:fill="FFFFFF"/>
            <w:vAlign w:val="center"/>
          </w:tcPr>
          <w:p w14:paraId="3375096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感知易用性</w:t>
            </w:r>
          </w:p>
        </w:tc>
        <w:tc>
          <w:tcPr>
            <w:tcW w:w="0" w:type="auto"/>
            <w:tcBorders>
              <w:top w:val="nil"/>
              <w:left w:val="nil"/>
              <w:bottom w:val="nil"/>
              <w:right w:val="nil"/>
            </w:tcBorders>
            <w:shd w:val="clear" w:color="auto" w:fill="FFFFFF"/>
            <w:vAlign w:val="center"/>
          </w:tcPr>
          <w:p w14:paraId="0B2A024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个体认为执行安全行为的便利程度</w:t>
            </w:r>
          </w:p>
        </w:tc>
      </w:tr>
      <w:tr w14:paraId="5192E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0" w:type="auto"/>
            <w:tcBorders>
              <w:top w:val="nil"/>
              <w:left w:val="nil"/>
              <w:bottom w:val="nil"/>
              <w:right w:val="nil"/>
            </w:tcBorders>
            <w:shd w:val="clear" w:color="auto" w:fill="FFFFFF"/>
            <w:vAlign w:val="center"/>
          </w:tcPr>
          <w:p w14:paraId="390F6F1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6</w:t>
            </w:r>
          </w:p>
        </w:tc>
        <w:tc>
          <w:tcPr>
            <w:tcW w:w="0" w:type="auto"/>
            <w:tcBorders>
              <w:top w:val="nil"/>
              <w:left w:val="nil"/>
              <w:bottom w:val="nil"/>
              <w:right w:val="nil"/>
            </w:tcBorders>
            <w:shd w:val="clear" w:color="auto" w:fill="FFFFFF"/>
            <w:vAlign w:val="center"/>
          </w:tcPr>
          <w:p w14:paraId="2939253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风险感知</w:t>
            </w:r>
          </w:p>
        </w:tc>
        <w:tc>
          <w:tcPr>
            <w:tcW w:w="0" w:type="auto"/>
            <w:tcBorders>
              <w:top w:val="nil"/>
              <w:left w:val="nil"/>
              <w:bottom w:val="nil"/>
              <w:right w:val="nil"/>
            </w:tcBorders>
            <w:shd w:val="clear" w:color="auto" w:fill="FFFFFF"/>
            <w:vAlign w:val="center"/>
          </w:tcPr>
          <w:p w14:paraId="09FCD3B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对潜在交通危险的主观评估</w:t>
            </w:r>
          </w:p>
        </w:tc>
      </w:tr>
      <w:tr w14:paraId="56FC8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0E3FFF4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7</w:t>
            </w:r>
          </w:p>
        </w:tc>
        <w:tc>
          <w:tcPr>
            <w:tcW w:w="0" w:type="auto"/>
            <w:tcBorders>
              <w:top w:val="nil"/>
              <w:left w:val="nil"/>
              <w:bottom w:val="nil"/>
              <w:right w:val="nil"/>
            </w:tcBorders>
            <w:shd w:val="clear" w:color="auto" w:fill="FFFFFF"/>
            <w:vAlign w:val="center"/>
          </w:tcPr>
          <w:p w14:paraId="17224B5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过往冲突经历</w:t>
            </w:r>
          </w:p>
        </w:tc>
        <w:tc>
          <w:tcPr>
            <w:tcW w:w="0" w:type="auto"/>
            <w:tcBorders>
              <w:top w:val="nil"/>
              <w:left w:val="nil"/>
              <w:bottom w:val="nil"/>
              <w:right w:val="nil"/>
            </w:tcBorders>
            <w:shd w:val="clear" w:color="auto" w:fill="FFFFFF"/>
            <w:vAlign w:val="center"/>
          </w:tcPr>
          <w:p w14:paraId="700C494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反映个体的直接或间接事故经验</w:t>
            </w:r>
          </w:p>
        </w:tc>
      </w:tr>
      <w:tr w14:paraId="78295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4" w:space="0"/>
              <w:right w:val="nil"/>
            </w:tcBorders>
            <w:shd w:val="clear" w:color="auto" w:fill="FFFFFF"/>
            <w:vAlign w:val="center"/>
          </w:tcPr>
          <w:p w14:paraId="1B09099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8</w:t>
            </w:r>
          </w:p>
        </w:tc>
        <w:tc>
          <w:tcPr>
            <w:tcW w:w="0" w:type="auto"/>
            <w:tcBorders>
              <w:top w:val="nil"/>
              <w:left w:val="nil"/>
              <w:bottom w:val="single" w:color="000000" w:sz="4" w:space="0"/>
              <w:right w:val="nil"/>
            </w:tcBorders>
            <w:shd w:val="clear" w:color="auto" w:fill="FFFFFF"/>
            <w:vAlign w:val="center"/>
          </w:tcPr>
          <w:p w14:paraId="0BD1801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行为意图</w:t>
            </w:r>
          </w:p>
        </w:tc>
        <w:tc>
          <w:tcPr>
            <w:tcW w:w="0" w:type="auto"/>
            <w:tcBorders>
              <w:top w:val="nil"/>
              <w:left w:val="nil"/>
              <w:bottom w:val="single" w:color="000000" w:sz="4" w:space="0"/>
              <w:right w:val="nil"/>
            </w:tcBorders>
            <w:shd w:val="clear" w:color="auto" w:fill="FFFFFF"/>
            <w:vAlign w:val="center"/>
          </w:tcPr>
          <w:p w14:paraId="586A4F2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作为因变量用于预测实际行为</w:t>
            </w:r>
          </w:p>
        </w:tc>
      </w:tr>
    </w:tbl>
    <w:p w14:paraId="29E38564">
      <w:pPr>
        <w:pStyle w:val="4"/>
        <w:jc w:val="both"/>
        <w:rPr>
          <w:rFonts w:hint="eastAsia" w:ascii="Times New Roman" w:hAnsi="Times New Roman" w:cs="Times New Roman"/>
          <w:lang w:val="en-US" w:eastAsia="zh-CN"/>
        </w:rPr>
      </w:pPr>
    </w:p>
    <w:p w14:paraId="29984388">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2</w:t>
      </w:r>
      <w:r>
        <w:rPr>
          <w:rFonts w:hint="default" w:ascii="黑体" w:hAnsi="黑体" w:eastAsia="黑体" w:cs="黑体"/>
          <w:lang w:val="en-US" w:eastAsia="zh-CN"/>
        </w:rPr>
        <w:t>）</w:t>
      </w:r>
      <w:r>
        <w:rPr>
          <w:rFonts w:hint="eastAsia" w:ascii="黑体" w:hAnsi="黑体" w:eastAsia="黑体" w:cs="黑体"/>
          <w:lang w:val="en-US" w:eastAsia="zh-CN"/>
        </w:rPr>
        <w:t>研究量表开发</w:t>
      </w:r>
    </w:p>
    <w:p w14:paraId="62CD1E19">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量表构建遵循了严谨的心理测量学程序。首先，本研究从已发表的学术研究论文中提取经检验的测量项目，共计获取52个题项。其次，本研究还通过对30名校园交通参与者开展深度访谈，提炼反映参与高校共享道路交通中行人与骑行者的问题与需求，如“在急于上课的情况下更易忽略交通规则”“食堂门口人车混行的状况使我产生危险感”等，新增38个题项。再次，本研究还基于现有理论研究推导出必要的测量内容，并以此补充15个题项。综上，初始项目池总计包含105个题项。</w:t>
      </w:r>
    </w:p>
    <w:p w14:paraId="21C492FD">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为降低研究过程中受试用户的心理认知负荷，本研究利用定性与定量相结合的方法对题项进行筛选。在定性筛选阶段，邀请了10位研究专家对项目的语言表达进行评估，剔除了表述模糊、存在歧义或过于复杂的项目23个；邀请了5位目标群体展开访谈，并据此对18个项目的措辞进行了修改，同时将语义高度重叠的题项予以合并，合并后减少12个。同时，本研究对10位专家进行了问卷调研，以利用定量数据进行筛选，题项筛选采用以下标准：（1）删除因子载荷小于0.50的项目，共计20个；（2）删除存在严重“天花板”或“地板”效应（即超过80%的被试选择同一选项）的项目，共计4个；（3）删除若剔除该项目后Cronbach'sα显著提升的项目，共计3个。经上述各环节筛选，题项由初始的105个精简至43个。最终量表采用Likert 7点计分法（1代表完全不同意，7代表完全同意），旨在提供更精细的区分度。各维度的题项分布如表8所示。整个问卷共包含43个核心题项，另外设置了6个人口统计学题项，总计49题。</w:t>
      </w:r>
    </w:p>
    <w:p w14:paraId="1EAFCC03">
      <w:pPr>
        <w:pStyle w:val="4"/>
        <w:jc w:val="both"/>
        <w:rPr>
          <w:rFonts w:hint="eastAsia" w:ascii="Times New Roman" w:hAnsi="Times New Roman" w:cs="Times New Roman"/>
          <w:lang w:val="en-US" w:eastAsia="zh-CN"/>
        </w:rPr>
      </w:pPr>
    </w:p>
    <w:p w14:paraId="0FFDA456">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表8 高校共享道路</w:t>
      </w:r>
      <w:r>
        <w:rPr>
          <w:rFonts w:hint="eastAsia" w:ascii="Times New Roman" w:hAnsi="Times New Roman" w:eastAsia="宋体" w:cs="Times New Roman"/>
          <w:lang w:val="en-US" w:eastAsia="zh-CN"/>
        </w:rPr>
        <w:t>交通安全</w:t>
      </w:r>
      <w:r>
        <w:rPr>
          <w:rFonts w:hint="eastAsia" w:ascii="Times New Roman" w:hAnsi="Times New Roman" w:cs="Times New Roman"/>
          <w:lang w:val="en-US" w:eastAsia="zh-CN"/>
        </w:rPr>
        <w:t>行为研究要素及其编码</w:t>
      </w:r>
    </w:p>
    <w:tbl>
      <w:tblPr>
        <w:tblStyle w:val="8"/>
        <w:tblW w:w="864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45"/>
        <w:gridCol w:w="1361"/>
        <w:gridCol w:w="5137"/>
      </w:tblGrid>
      <w:tr w14:paraId="076DE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blHeader/>
          <w:jc w:val="center"/>
        </w:trPr>
        <w:tc>
          <w:tcPr>
            <w:tcW w:w="2145" w:type="dxa"/>
            <w:tcBorders>
              <w:top w:val="single" w:color="000000" w:sz="4" w:space="0"/>
              <w:left w:val="nil"/>
              <w:bottom w:val="single" w:color="000000" w:sz="12" w:space="0"/>
              <w:right w:val="nil"/>
            </w:tcBorders>
            <w:shd w:val="clear" w:color="auto" w:fill="FFFFFF"/>
            <w:noWrap/>
            <w:vAlign w:val="center"/>
          </w:tcPr>
          <w:p w14:paraId="1F0306E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维度</w:t>
            </w:r>
          </w:p>
        </w:tc>
        <w:tc>
          <w:tcPr>
            <w:tcW w:w="1361" w:type="dxa"/>
            <w:tcBorders>
              <w:top w:val="single" w:color="000000" w:sz="4" w:space="0"/>
              <w:left w:val="nil"/>
              <w:bottom w:val="single" w:color="000000" w:sz="12" w:space="0"/>
              <w:right w:val="nil"/>
            </w:tcBorders>
            <w:shd w:val="clear" w:color="auto" w:fill="FFFFFF"/>
            <w:noWrap/>
            <w:vAlign w:val="center"/>
          </w:tcPr>
          <w:p w14:paraId="293CB3C1">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题项编码</w:t>
            </w:r>
          </w:p>
        </w:tc>
        <w:tc>
          <w:tcPr>
            <w:tcW w:w="5137" w:type="dxa"/>
            <w:tcBorders>
              <w:top w:val="single" w:color="000000" w:sz="4" w:space="0"/>
              <w:left w:val="nil"/>
              <w:bottom w:val="single" w:color="000000" w:sz="12" w:space="0"/>
              <w:right w:val="nil"/>
            </w:tcBorders>
            <w:shd w:val="clear" w:color="auto" w:fill="FFFFFF"/>
            <w:noWrap/>
            <w:vAlign w:val="center"/>
          </w:tcPr>
          <w:p w14:paraId="4B758C5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题项内容</w:t>
            </w:r>
          </w:p>
        </w:tc>
      </w:tr>
      <w:tr w14:paraId="20C77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12" w:space="0"/>
              <w:left w:val="nil"/>
              <w:right w:val="nil"/>
            </w:tcBorders>
            <w:shd w:val="clear" w:color="auto" w:fill="FFFFFF"/>
            <w:noWrap/>
            <w:vAlign w:val="center"/>
          </w:tcPr>
          <w:p w14:paraId="02D7DE4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安全态度</w:t>
            </w:r>
          </w:p>
          <w:p w14:paraId="4A9621EE">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Attitude</w:t>
            </w:r>
          </w:p>
        </w:tc>
        <w:tc>
          <w:tcPr>
            <w:tcW w:w="1361" w:type="dxa"/>
            <w:tcBorders>
              <w:top w:val="single" w:color="000000" w:sz="12" w:space="0"/>
              <w:left w:val="nil"/>
              <w:bottom w:val="nil"/>
              <w:right w:val="nil"/>
            </w:tcBorders>
            <w:shd w:val="clear" w:color="auto" w:fill="FFFFFF"/>
            <w:noWrap/>
            <w:vAlign w:val="center"/>
          </w:tcPr>
          <w:p w14:paraId="1EBA30D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AT1</w:t>
            </w:r>
          </w:p>
        </w:tc>
        <w:tc>
          <w:tcPr>
            <w:tcW w:w="5137" w:type="dxa"/>
            <w:tcBorders>
              <w:top w:val="single" w:color="000000" w:sz="12" w:space="0"/>
              <w:left w:val="nil"/>
              <w:bottom w:val="nil"/>
              <w:right w:val="nil"/>
            </w:tcBorders>
            <w:shd w:val="clear" w:color="auto" w:fill="FFFFFF"/>
            <w:noWrap/>
            <w:vAlign w:val="center"/>
          </w:tcPr>
          <w:p w14:paraId="5C7C210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我认为遵守交通规则是每个人的责任</w:t>
            </w:r>
          </w:p>
        </w:tc>
      </w:tr>
      <w:tr w14:paraId="12291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39523C6D">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0CB177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AT2</w:t>
            </w:r>
          </w:p>
        </w:tc>
        <w:tc>
          <w:tcPr>
            <w:tcW w:w="5137" w:type="dxa"/>
            <w:tcBorders>
              <w:top w:val="nil"/>
              <w:left w:val="nil"/>
              <w:bottom w:val="nil"/>
              <w:right w:val="nil"/>
            </w:tcBorders>
            <w:shd w:val="clear" w:color="auto" w:fill="FFFFFF"/>
            <w:noWrap/>
            <w:vAlign w:val="center"/>
          </w:tcPr>
          <w:p w14:paraId="55F2BF7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即使赶时间，安全仍是我的首要考虑</w:t>
            </w:r>
          </w:p>
        </w:tc>
      </w:tr>
      <w:tr w14:paraId="49F77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9" w:hRule="atLeast"/>
          <w:tblHeader/>
          <w:jc w:val="center"/>
        </w:trPr>
        <w:tc>
          <w:tcPr>
            <w:tcW w:w="2145" w:type="dxa"/>
            <w:vMerge w:val="continue"/>
            <w:tcBorders>
              <w:left w:val="nil"/>
              <w:right w:val="nil"/>
            </w:tcBorders>
            <w:shd w:val="clear" w:color="auto" w:fill="FFFFFF"/>
            <w:noWrap/>
            <w:vAlign w:val="center"/>
          </w:tcPr>
          <w:p w14:paraId="1EE5CA0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15351E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AT3</w:t>
            </w:r>
          </w:p>
        </w:tc>
        <w:tc>
          <w:tcPr>
            <w:tcW w:w="5137" w:type="dxa"/>
            <w:tcBorders>
              <w:top w:val="nil"/>
              <w:left w:val="nil"/>
              <w:bottom w:val="nil"/>
              <w:right w:val="nil"/>
            </w:tcBorders>
            <w:shd w:val="clear" w:color="auto" w:fill="FFFFFF"/>
            <w:noWrap/>
            <w:vAlign w:val="center"/>
          </w:tcPr>
          <w:p w14:paraId="3CCD5BD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我愿意为了安全牺牲一些便利</w:t>
            </w:r>
          </w:p>
        </w:tc>
      </w:tr>
      <w:tr w14:paraId="37F49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A5C2CE7">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7C0881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AT4</w:t>
            </w:r>
          </w:p>
        </w:tc>
        <w:tc>
          <w:tcPr>
            <w:tcW w:w="5137" w:type="dxa"/>
            <w:tcBorders>
              <w:top w:val="nil"/>
              <w:left w:val="nil"/>
              <w:bottom w:val="nil"/>
              <w:right w:val="nil"/>
            </w:tcBorders>
            <w:shd w:val="clear" w:color="auto" w:fill="FFFFFF"/>
            <w:noWrap/>
            <w:vAlign w:val="center"/>
          </w:tcPr>
          <w:p w14:paraId="7CD48C1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交通安全比出行效率更重要</w:t>
            </w:r>
          </w:p>
        </w:tc>
      </w:tr>
      <w:tr w14:paraId="0B220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B0CA6E6">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FD7896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AT5</w:t>
            </w:r>
          </w:p>
        </w:tc>
        <w:tc>
          <w:tcPr>
            <w:tcW w:w="5137" w:type="dxa"/>
            <w:tcBorders>
              <w:top w:val="nil"/>
              <w:left w:val="nil"/>
              <w:bottom w:val="nil"/>
              <w:right w:val="nil"/>
            </w:tcBorders>
            <w:shd w:val="clear" w:color="auto" w:fill="FFFFFF"/>
            <w:noWrap/>
            <w:vAlign w:val="center"/>
          </w:tcPr>
          <w:p w14:paraId="5678FEF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看到他人违规我会感到担忧</w:t>
            </w:r>
          </w:p>
        </w:tc>
      </w:tr>
      <w:tr w14:paraId="36EA1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5D177CBE">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5AD3AED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AT6</w:t>
            </w:r>
          </w:p>
        </w:tc>
        <w:tc>
          <w:tcPr>
            <w:tcW w:w="5137" w:type="dxa"/>
            <w:tcBorders>
              <w:top w:val="nil"/>
              <w:left w:val="nil"/>
              <w:bottom w:val="single" w:color="000000" w:sz="4" w:space="0"/>
              <w:right w:val="nil"/>
            </w:tcBorders>
            <w:shd w:val="clear" w:color="auto" w:fill="FFFFFF"/>
            <w:noWrap/>
            <w:vAlign w:val="center"/>
          </w:tcPr>
          <w:p w14:paraId="5D78024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我认为安全意识应该成为校园文化的一部分</w:t>
            </w:r>
          </w:p>
        </w:tc>
      </w:tr>
      <w:tr w14:paraId="7177F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7DD2D73F">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主观规范</w:t>
            </w:r>
          </w:p>
          <w:p w14:paraId="5F14491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Subjective Norms</w:t>
            </w:r>
          </w:p>
        </w:tc>
        <w:tc>
          <w:tcPr>
            <w:tcW w:w="1361" w:type="dxa"/>
            <w:tcBorders>
              <w:top w:val="single" w:color="000000" w:sz="4" w:space="0"/>
              <w:left w:val="nil"/>
              <w:bottom w:val="nil"/>
              <w:right w:val="nil"/>
            </w:tcBorders>
            <w:shd w:val="clear" w:color="auto" w:fill="FFFFFF"/>
            <w:noWrap/>
            <w:vAlign w:val="center"/>
          </w:tcPr>
          <w:p w14:paraId="20ED1B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SN1</w:t>
            </w:r>
          </w:p>
        </w:tc>
        <w:tc>
          <w:tcPr>
            <w:tcW w:w="5137" w:type="dxa"/>
            <w:tcBorders>
              <w:top w:val="single" w:color="000000" w:sz="4" w:space="0"/>
              <w:left w:val="nil"/>
              <w:bottom w:val="nil"/>
              <w:right w:val="nil"/>
            </w:tcBorders>
            <w:shd w:val="clear" w:color="auto" w:fill="FFFFFF"/>
            <w:noWrap/>
            <w:vAlign w:val="center"/>
          </w:tcPr>
          <w:p w14:paraId="7B271D9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我的朋友都很注意交通安全</w:t>
            </w:r>
          </w:p>
        </w:tc>
      </w:tr>
      <w:tr w14:paraId="61B7E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D4D06B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727EF27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SN2</w:t>
            </w:r>
          </w:p>
        </w:tc>
        <w:tc>
          <w:tcPr>
            <w:tcW w:w="5137" w:type="dxa"/>
            <w:tcBorders>
              <w:top w:val="nil"/>
              <w:left w:val="nil"/>
              <w:bottom w:val="nil"/>
              <w:right w:val="nil"/>
            </w:tcBorders>
            <w:shd w:val="clear" w:color="auto" w:fill="FFFFFF"/>
            <w:noWrap/>
            <w:vAlign w:val="center"/>
          </w:tcPr>
          <w:p w14:paraId="281C3E5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老师会提醒我们注意交通安全</w:t>
            </w:r>
          </w:p>
        </w:tc>
      </w:tr>
      <w:tr w14:paraId="19BE4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6F2F1AD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223882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SN3</w:t>
            </w:r>
          </w:p>
        </w:tc>
        <w:tc>
          <w:tcPr>
            <w:tcW w:w="5137" w:type="dxa"/>
            <w:tcBorders>
              <w:top w:val="nil"/>
              <w:left w:val="nil"/>
              <w:bottom w:val="nil"/>
              <w:right w:val="nil"/>
            </w:tcBorders>
            <w:shd w:val="clear" w:color="auto" w:fill="FFFFFF"/>
            <w:noWrap/>
            <w:vAlign w:val="center"/>
          </w:tcPr>
          <w:p w14:paraId="160422A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如果违反交通规则，我会感到愧疚</w:t>
            </w:r>
          </w:p>
        </w:tc>
      </w:tr>
      <w:tr w14:paraId="48E51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12" w:hRule="atLeast"/>
          <w:tblHeader/>
          <w:jc w:val="center"/>
        </w:trPr>
        <w:tc>
          <w:tcPr>
            <w:tcW w:w="2145" w:type="dxa"/>
            <w:vMerge w:val="continue"/>
            <w:tcBorders>
              <w:left w:val="nil"/>
              <w:right w:val="nil"/>
            </w:tcBorders>
            <w:shd w:val="clear" w:color="auto" w:fill="FFFFFF"/>
            <w:noWrap/>
            <w:vAlign w:val="center"/>
          </w:tcPr>
          <w:p w14:paraId="73CAB76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2F92094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SN4</w:t>
            </w:r>
          </w:p>
        </w:tc>
        <w:tc>
          <w:tcPr>
            <w:tcW w:w="5137" w:type="dxa"/>
            <w:tcBorders>
              <w:top w:val="nil"/>
              <w:left w:val="nil"/>
              <w:bottom w:val="nil"/>
              <w:right w:val="nil"/>
            </w:tcBorders>
            <w:shd w:val="clear" w:color="auto" w:fill="FFFFFF"/>
            <w:noWrap/>
            <w:vAlign w:val="center"/>
          </w:tcPr>
          <w:p w14:paraId="73C628C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家人期望我在校园内安全出行</w:t>
            </w:r>
          </w:p>
        </w:tc>
      </w:tr>
      <w:tr w14:paraId="0D3F6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4042027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1E88942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SN5</w:t>
            </w:r>
          </w:p>
        </w:tc>
        <w:tc>
          <w:tcPr>
            <w:tcW w:w="5137" w:type="dxa"/>
            <w:tcBorders>
              <w:top w:val="nil"/>
              <w:left w:val="nil"/>
              <w:bottom w:val="single" w:color="000000" w:sz="4" w:space="0"/>
              <w:right w:val="nil"/>
            </w:tcBorders>
            <w:shd w:val="clear" w:color="auto" w:fill="FFFFFF"/>
            <w:noWrap/>
            <w:vAlign w:val="center"/>
          </w:tcPr>
          <w:p w14:paraId="0FCA591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身边的人都认为遵守交通规则很重要</w:t>
            </w:r>
          </w:p>
        </w:tc>
      </w:tr>
      <w:tr w14:paraId="6FE0F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5BED00E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知觉行为控制</w:t>
            </w:r>
          </w:p>
          <w:p w14:paraId="74FA0B5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Perceived Behavioral Control</w:t>
            </w:r>
          </w:p>
        </w:tc>
        <w:tc>
          <w:tcPr>
            <w:tcW w:w="1361" w:type="dxa"/>
            <w:tcBorders>
              <w:top w:val="single" w:color="000000" w:sz="4" w:space="0"/>
              <w:left w:val="nil"/>
              <w:bottom w:val="nil"/>
              <w:right w:val="nil"/>
            </w:tcBorders>
            <w:shd w:val="clear" w:color="auto" w:fill="FFFFFF"/>
            <w:noWrap/>
            <w:vAlign w:val="center"/>
          </w:tcPr>
          <w:p w14:paraId="4D8D8EE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PBC1</w:t>
            </w:r>
          </w:p>
        </w:tc>
        <w:tc>
          <w:tcPr>
            <w:tcW w:w="5137" w:type="dxa"/>
            <w:tcBorders>
              <w:top w:val="single" w:color="000000" w:sz="4" w:space="0"/>
              <w:left w:val="nil"/>
              <w:bottom w:val="nil"/>
              <w:right w:val="nil"/>
            </w:tcBorders>
            <w:shd w:val="clear" w:color="auto" w:fill="FFFFFF"/>
            <w:noWrap/>
            <w:vAlign w:val="center"/>
          </w:tcPr>
          <w:p w14:paraId="05AC518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我有能力避免交通冲突</w:t>
            </w:r>
          </w:p>
        </w:tc>
      </w:tr>
      <w:tr w14:paraId="0F316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7D3F73AC">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9DB141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PBC2</w:t>
            </w:r>
          </w:p>
        </w:tc>
        <w:tc>
          <w:tcPr>
            <w:tcW w:w="5137" w:type="dxa"/>
            <w:tcBorders>
              <w:top w:val="nil"/>
              <w:left w:val="nil"/>
              <w:bottom w:val="nil"/>
              <w:right w:val="nil"/>
            </w:tcBorders>
            <w:shd w:val="clear" w:color="auto" w:fill="FFFFFF"/>
            <w:noWrap/>
            <w:vAlign w:val="center"/>
          </w:tcPr>
          <w:p w14:paraId="64C54EB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在复杂路况下我也能保证安全</w:t>
            </w:r>
          </w:p>
        </w:tc>
      </w:tr>
      <w:tr w14:paraId="46E86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5C925BE7">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41354D3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PBC3</w:t>
            </w:r>
          </w:p>
        </w:tc>
        <w:tc>
          <w:tcPr>
            <w:tcW w:w="5137" w:type="dxa"/>
            <w:tcBorders>
              <w:top w:val="nil"/>
              <w:left w:val="nil"/>
              <w:bottom w:val="nil"/>
              <w:right w:val="nil"/>
            </w:tcBorders>
            <w:shd w:val="clear" w:color="auto" w:fill="FFFFFF"/>
            <w:noWrap/>
            <w:vAlign w:val="center"/>
          </w:tcPr>
          <w:p w14:paraId="2B6B6DA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遵守交通规则对我来说很容易</w:t>
            </w:r>
          </w:p>
        </w:tc>
      </w:tr>
      <w:tr w14:paraId="6174E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78A4B7B0">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A08017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PBC4</w:t>
            </w:r>
          </w:p>
        </w:tc>
        <w:tc>
          <w:tcPr>
            <w:tcW w:w="5137" w:type="dxa"/>
            <w:tcBorders>
              <w:top w:val="nil"/>
              <w:left w:val="nil"/>
              <w:bottom w:val="nil"/>
              <w:right w:val="nil"/>
            </w:tcBorders>
            <w:shd w:val="clear" w:color="auto" w:fill="FFFFFF"/>
            <w:noWrap/>
            <w:vAlign w:val="center"/>
          </w:tcPr>
          <w:p w14:paraId="2273771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我能够准确判断交通状况的危险程度</w:t>
            </w:r>
          </w:p>
        </w:tc>
      </w:tr>
      <w:tr w14:paraId="6AC53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9E3A54F">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68316A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PBC5</w:t>
            </w:r>
          </w:p>
        </w:tc>
        <w:tc>
          <w:tcPr>
            <w:tcW w:w="5137" w:type="dxa"/>
            <w:tcBorders>
              <w:top w:val="nil"/>
              <w:left w:val="nil"/>
              <w:bottom w:val="nil"/>
              <w:right w:val="nil"/>
            </w:tcBorders>
            <w:shd w:val="clear" w:color="auto" w:fill="FFFFFF"/>
            <w:noWrap/>
            <w:vAlign w:val="center"/>
          </w:tcPr>
          <w:p w14:paraId="140B6F9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即使在人多的时候，我也能安全通行</w:t>
            </w:r>
          </w:p>
        </w:tc>
      </w:tr>
      <w:tr w14:paraId="53EB8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6D1B6EB1">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12A28E1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PBC6</w:t>
            </w:r>
          </w:p>
        </w:tc>
        <w:tc>
          <w:tcPr>
            <w:tcW w:w="5137" w:type="dxa"/>
            <w:tcBorders>
              <w:top w:val="nil"/>
              <w:left w:val="nil"/>
              <w:bottom w:val="single" w:color="000000" w:sz="4" w:space="0"/>
              <w:right w:val="nil"/>
            </w:tcBorders>
            <w:shd w:val="clear" w:color="auto" w:fill="FFFFFF"/>
            <w:noWrap/>
            <w:vAlign w:val="center"/>
          </w:tcPr>
          <w:p w14:paraId="68348BB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我完全能够控制自己的出行安全</w:t>
            </w:r>
          </w:p>
        </w:tc>
      </w:tr>
      <w:tr w14:paraId="1EA4C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57EFB99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感知有用性</w:t>
            </w:r>
          </w:p>
          <w:p w14:paraId="005E6B0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Perceived Usefulness</w:t>
            </w:r>
          </w:p>
        </w:tc>
        <w:tc>
          <w:tcPr>
            <w:tcW w:w="1361" w:type="dxa"/>
            <w:tcBorders>
              <w:top w:val="single" w:color="000000" w:sz="4" w:space="0"/>
              <w:left w:val="nil"/>
              <w:bottom w:val="nil"/>
              <w:right w:val="nil"/>
            </w:tcBorders>
            <w:shd w:val="clear" w:color="auto" w:fill="FFFFFF"/>
            <w:noWrap/>
            <w:vAlign w:val="center"/>
          </w:tcPr>
          <w:p w14:paraId="34E6D8F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PU1</w:t>
            </w:r>
          </w:p>
        </w:tc>
        <w:tc>
          <w:tcPr>
            <w:tcW w:w="5137" w:type="dxa"/>
            <w:tcBorders>
              <w:top w:val="single" w:color="000000" w:sz="4" w:space="0"/>
              <w:left w:val="nil"/>
              <w:bottom w:val="nil"/>
              <w:right w:val="nil"/>
            </w:tcBorders>
            <w:shd w:val="clear" w:color="auto" w:fill="FFFFFF"/>
            <w:noWrap/>
            <w:vAlign w:val="center"/>
          </w:tcPr>
          <w:p w14:paraId="6845771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遵守交通规则能有效避免事故</w:t>
            </w:r>
          </w:p>
        </w:tc>
      </w:tr>
      <w:tr w14:paraId="08C7D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4E7CB3D">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7C8B4B0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PU2</w:t>
            </w:r>
          </w:p>
        </w:tc>
        <w:tc>
          <w:tcPr>
            <w:tcW w:w="5137" w:type="dxa"/>
            <w:tcBorders>
              <w:top w:val="nil"/>
              <w:left w:val="nil"/>
              <w:bottom w:val="nil"/>
              <w:right w:val="nil"/>
            </w:tcBorders>
            <w:shd w:val="clear" w:color="auto" w:fill="FFFFFF"/>
            <w:noWrap/>
            <w:vAlign w:val="center"/>
          </w:tcPr>
          <w:p w14:paraId="0F7D7F4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按规定路线行走/骑行更安全</w:t>
            </w:r>
          </w:p>
        </w:tc>
      </w:tr>
      <w:tr w14:paraId="70FFE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3CF8D44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7862B4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PU3</w:t>
            </w:r>
          </w:p>
        </w:tc>
        <w:tc>
          <w:tcPr>
            <w:tcW w:w="5137" w:type="dxa"/>
            <w:tcBorders>
              <w:top w:val="nil"/>
              <w:left w:val="nil"/>
              <w:bottom w:val="nil"/>
              <w:right w:val="nil"/>
            </w:tcBorders>
            <w:shd w:val="clear" w:color="auto" w:fill="FFFFFF"/>
            <w:noWrap/>
            <w:vAlign w:val="center"/>
          </w:tcPr>
          <w:p w14:paraId="78791F1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使用安全设施能显著降低风险</w:t>
            </w:r>
          </w:p>
        </w:tc>
      </w:tr>
      <w:tr w14:paraId="42FC4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421BAEC">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58E3C22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PU4</w:t>
            </w:r>
          </w:p>
        </w:tc>
        <w:tc>
          <w:tcPr>
            <w:tcW w:w="5137" w:type="dxa"/>
            <w:tcBorders>
              <w:top w:val="nil"/>
              <w:left w:val="nil"/>
              <w:bottom w:val="nil"/>
              <w:right w:val="nil"/>
            </w:tcBorders>
            <w:shd w:val="clear" w:color="auto" w:fill="FFFFFF"/>
            <w:noWrap/>
            <w:vAlign w:val="center"/>
          </w:tcPr>
          <w:p w14:paraId="6DF16E2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谨慎的交通行为能保护自己和他人</w:t>
            </w:r>
          </w:p>
        </w:tc>
      </w:tr>
      <w:tr w14:paraId="484DF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39F0A4EE">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3870D50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PU5</w:t>
            </w:r>
          </w:p>
        </w:tc>
        <w:tc>
          <w:tcPr>
            <w:tcW w:w="5137" w:type="dxa"/>
            <w:tcBorders>
              <w:top w:val="nil"/>
              <w:left w:val="nil"/>
              <w:bottom w:val="single" w:color="000000" w:sz="4" w:space="0"/>
              <w:right w:val="nil"/>
            </w:tcBorders>
            <w:shd w:val="clear" w:color="auto" w:fill="FFFFFF"/>
            <w:noWrap/>
            <w:vAlign w:val="center"/>
          </w:tcPr>
          <w:p w14:paraId="06F0105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遵守限速规定能有效预防事故</w:t>
            </w:r>
          </w:p>
        </w:tc>
      </w:tr>
      <w:tr w14:paraId="63817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074151A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感知易用性</w:t>
            </w:r>
          </w:p>
          <w:p w14:paraId="0B48DCD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Perceived Ease of Use</w:t>
            </w:r>
          </w:p>
        </w:tc>
        <w:tc>
          <w:tcPr>
            <w:tcW w:w="1361" w:type="dxa"/>
            <w:tcBorders>
              <w:top w:val="single" w:color="000000" w:sz="4" w:space="0"/>
              <w:left w:val="nil"/>
              <w:bottom w:val="nil"/>
              <w:right w:val="nil"/>
            </w:tcBorders>
            <w:shd w:val="clear" w:color="auto" w:fill="FFFFFF"/>
            <w:noWrap/>
            <w:vAlign w:val="center"/>
          </w:tcPr>
          <w:p w14:paraId="1C6FF11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PEU1</w:t>
            </w:r>
          </w:p>
        </w:tc>
        <w:tc>
          <w:tcPr>
            <w:tcW w:w="5137" w:type="dxa"/>
            <w:tcBorders>
              <w:top w:val="single" w:color="000000" w:sz="4" w:space="0"/>
              <w:left w:val="nil"/>
              <w:bottom w:val="nil"/>
              <w:right w:val="nil"/>
            </w:tcBorders>
            <w:shd w:val="clear" w:color="auto" w:fill="FFFFFF"/>
            <w:noWrap/>
            <w:vAlign w:val="center"/>
          </w:tcPr>
          <w:p w14:paraId="4D23EEF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校园交通标识清晰易懂</w:t>
            </w:r>
          </w:p>
        </w:tc>
      </w:tr>
      <w:tr w14:paraId="1F045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1E3F72B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2C5FB2A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PEU2</w:t>
            </w:r>
          </w:p>
        </w:tc>
        <w:tc>
          <w:tcPr>
            <w:tcW w:w="5137" w:type="dxa"/>
            <w:tcBorders>
              <w:top w:val="nil"/>
              <w:left w:val="nil"/>
              <w:bottom w:val="nil"/>
              <w:right w:val="nil"/>
            </w:tcBorders>
            <w:shd w:val="clear" w:color="auto" w:fill="FFFFFF"/>
            <w:noWrap/>
            <w:vAlign w:val="center"/>
          </w:tcPr>
          <w:p w14:paraId="673602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现有设施方便我安全出行</w:t>
            </w:r>
          </w:p>
        </w:tc>
      </w:tr>
      <w:tr w14:paraId="0AB40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654DF10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5B8B7E4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PEU3</w:t>
            </w:r>
          </w:p>
        </w:tc>
        <w:tc>
          <w:tcPr>
            <w:tcW w:w="5137" w:type="dxa"/>
            <w:tcBorders>
              <w:top w:val="nil"/>
              <w:left w:val="nil"/>
              <w:bottom w:val="nil"/>
              <w:right w:val="nil"/>
            </w:tcBorders>
            <w:shd w:val="clear" w:color="auto" w:fill="FFFFFF"/>
            <w:noWrap/>
            <w:vAlign w:val="center"/>
          </w:tcPr>
          <w:p w14:paraId="64F552A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校园道路设计合理，易于通行</w:t>
            </w:r>
          </w:p>
        </w:tc>
      </w:tr>
      <w:tr w14:paraId="52C4A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1D00F22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5F02B3D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PEU4</w:t>
            </w:r>
          </w:p>
        </w:tc>
        <w:tc>
          <w:tcPr>
            <w:tcW w:w="5137" w:type="dxa"/>
            <w:tcBorders>
              <w:top w:val="nil"/>
              <w:left w:val="nil"/>
              <w:bottom w:val="nil"/>
              <w:right w:val="nil"/>
            </w:tcBorders>
            <w:shd w:val="clear" w:color="auto" w:fill="FFFFFF"/>
            <w:noWrap/>
            <w:vAlign w:val="center"/>
          </w:tcPr>
          <w:p w14:paraId="66FD2A9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交通规则简单明了，容易遵守</w:t>
            </w:r>
          </w:p>
        </w:tc>
      </w:tr>
      <w:tr w14:paraId="468B0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0942E4D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605BBE3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PEU5</w:t>
            </w:r>
          </w:p>
        </w:tc>
        <w:tc>
          <w:tcPr>
            <w:tcW w:w="5137" w:type="dxa"/>
            <w:tcBorders>
              <w:top w:val="nil"/>
              <w:left w:val="nil"/>
              <w:bottom w:val="single" w:color="000000" w:sz="4" w:space="0"/>
              <w:right w:val="nil"/>
            </w:tcBorders>
            <w:shd w:val="clear" w:color="auto" w:fill="FFFFFF"/>
            <w:noWrap/>
            <w:vAlign w:val="center"/>
          </w:tcPr>
          <w:p w14:paraId="4E42ACB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获取交通安全信息很方便</w:t>
            </w:r>
          </w:p>
        </w:tc>
      </w:tr>
      <w:tr w14:paraId="4DFC6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2B93733F">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风险感知</w:t>
            </w:r>
          </w:p>
          <w:p w14:paraId="4D7963C1">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Risk Perception</w:t>
            </w:r>
          </w:p>
        </w:tc>
        <w:tc>
          <w:tcPr>
            <w:tcW w:w="1361" w:type="dxa"/>
            <w:tcBorders>
              <w:top w:val="single" w:color="000000" w:sz="4" w:space="0"/>
              <w:left w:val="nil"/>
              <w:bottom w:val="nil"/>
              <w:right w:val="nil"/>
            </w:tcBorders>
            <w:shd w:val="clear" w:color="auto" w:fill="FFFFFF"/>
            <w:noWrap/>
            <w:vAlign w:val="center"/>
          </w:tcPr>
          <w:p w14:paraId="1910368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RP1</w:t>
            </w:r>
          </w:p>
        </w:tc>
        <w:tc>
          <w:tcPr>
            <w:tcW w:w="5137" w:type="dxa"/>
            <w:tcBorders>
              <w:top w:val="single" w:color="000000" w:sz="4" w:space="0"/>
              <w:left w:val="nil"/>
              <w:bottom w:val="nil"/>
              <w:right w:val="nil"/>
            </w:tcBorders>
            <w:shd w:val="clear" w:color="auto" w:fill="FFFFFF"/>
            <w:noWrap/>
            <w:vAlign w:val="center"/>
          </w:tcPr>
          <w:p w14:paraId="4D03270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我经常感到校园道路不够安全</w:t>
            </w:r>
          </w:p>
        </w:tc>
      </w:tr>
      <w:tr w14:paraId="14D526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5CB3B6C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58C61FD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RP2</w:t>
            </w:r>
          </w:p>
        </w:tc>
        <w:tc>
          <w:tcPr>
            <w:tcW w:w="5137" w:type="dxa"/>
            <w:tcBorders>
              <w:top w:val="nil"/>
              <w:left w:val="nil"/>
              <w:bottom w:val="nil"/>
              <w:right w:val="nil"/>
            </w:tcBorders>
            <w:shd w:val="clear" w:color="auto" w:fill="FFFFFF"/>
            <w:noWrap/>
            <w:vAlign w:val="center"/>
          </w:tcPr>
          <w:p w14:paraId="238A7F3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人车混行路段让我很担心</w:t>
            </w:r>
          </w:p>
        </w:tc>
      </w:tr>
      <w:tr w14:paraId="6A7A6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5535A0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1073BC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RP3</w:t>
            </w:r>
          </w:p>
        </w:tc>
        <w:tc>
          <w:tcPr>
            <w:tcW w:w="5137" w:type="dxa"/>
            <w:tcBorders>
              <w:top w:val="nil"/>
              <w:left w:val="nil"/>
              <w:bottom w:val="nil"/>
              <w:right w:val="nil"/>
            </w:tcBorders>
            <w:shd w:val="clear" w:color="auto" w:fill="FFFFFF"/>
            <w:noWrap/>
            <w:vAlign w:val="center"/>
          </w:tcPr>
          <w:p w14:paraId="32FD279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高峰时段的交通状况让我感到危险</w:t>
            </w:r>
          </w:p>
        </w:tc>
      </w:tr>
      <w:tr w14:paraId="0568D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30D6819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A8A625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RP4</w:t>
            </w:r>
          </w:p>
        </w:tc>
        <w:tc>
          <w:tcPr>
            <w:tcW w:w="5137" w:type="dxa"/>
            <w:tcBorders>
              <w:top w:val="nil"/>
              <w:left w:val="nil"/>
              <w:bottom w:val="nil"/>
              <w:right w:val="nil"/>
            </w:tcBorders>
            <w:shd w:val="clear" w:color="auto" w:fill="FFFFFF"/>
            <w:noWrap/>
            <w:vAlign w:val="center"/>
          </w:tcPr>
          <w:p w14:paraId="498B44B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夜间在校园内出行存在安全隐患</w:t>
            </w:r>
          </w:p>
        </w:tc>
      </w:tr>
      <w:tr w14:paraId="52ECD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6387891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5CAB7F2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RP5</w:t>
            </w:r>
          </w:p>
        </w:tc>
        <w:tc>
          <w:tcPr>
            <w:tcW w:w="5137" w:type="dxa"/>
            <w:tcBorders>
              <w:top w:val="nil"/>
              <w:left w:val="nil"/>
              <w:bottom w:val="nil"/>
              <w:right w:val="nil"/>
            </w:tcBorders>
            <w:shd w:val="clear" w:color="auto" w:fill="FFFFFF"/>
            <w:noWrap/>
            <w:vAlign w:val="center"/>
          </w:tcPr>
          <w:p w14:paraId="6E293DD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某些路口的设计增加了事故风险</w:t>
            </w:r>
          </w:p>
        </w:tc>
      </w:tr>
      <w:tr w14:paraId="1FD21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55A5EF06">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279783C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RP6</w:t>
            </w:r>
          </w:p>
        </w:tc>
        <w:tc>
          <w:tcPr>
            <w:tcW w:w="5137" w:type="dxa"/>
            <w:tcBorders>
              <w:top w:val="nil"/>
              <w:left w:val="nil"/>
              <w:bottom w:val="single" w:color="000000" w:sz="4" w:space="0"/>
              <w:right w:val="nil"/>
            </w:tcBorders>
            <w:shd w:val="clear" w:color="auto" w:fill="FFFFFF"/>
            <w:noWrap/>
            <w:vAlign w:val="center"/>
          </w:tcPr>
          <w:p w14:paraId="2078759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部分交通参与者的行为让我感到不安</w:t>
            </w:r>
          </w:p>
        </w:tc>
      </w:tr>
      <w:tr w14:paraId="3A6C9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2F4BA1F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过往冲突经历</w:t>
            </w:r>
          </w:p>
          <w:p w14:paraId="7D18F270">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Past Conflict Experience</w:t>
            </w:r>
          </w:p>
        </w:tc>
        <w:tc>
          <w:tcPr>
            <w:tcW w:w="1361" w:type="dxa"/>
            <w:tcBorders>
              <w:top w:val="single" w:color="000000" w:sz="4" w:space="0"/>
              <w:left w:val="nil"/>
              <w:bottom w:val="nil"/>
              <w:right w:val="nil"/>
            </w:tcBorders>
            <w:shd w:val="clear" w:color="auto" w:fill="FFFFFF"/>
            <w:noWrap/>
            <w:vAlign w:val="center"/>
          </w:tcPr>
          <w:p w14:paraId="43BB616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PCE1</w:t>
            </w:r>
          </w:p>
        </w:tc>
        <w:tc>
          <w:tcPr>
            <w:tcW w:w="5137" w:type="dxa"/>
            <w:tcBorders>
              <w:top w:val="single" w:color="000000" w:sz="4" w:space="0"/>
              <w:left w:val="nil"/>
              <w:bottom w:val="nil"/>
              <w:right w:val="nil"/>
            </w:tcBorders>
            <w:shd w:val="clear" w:color="auto" w:fill="FFFFFF"/>
            <w:noWrap/>
            <w:vAlign w:val="center"/>
          </w:tcPr>
          <w:p w14:paraId="07A792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我曾经历过差点发生事故的情况</w:t>
            </w:r>
          </w:p>
        </w:tc>
      </w:tr>
      <w:tr w14:paraId="4E043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A3A96D0">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A9625F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PCE2</w:t>
            </w:r>
          </w:p>
        </w:tc>
        <w:tc>
          <w:tcPr>
            <w:tcW w:w="5137" w:type="dxa"/>
            <w:tcBorders>
              <w:top w:val="nil"/>
              <w:left w:val="nil"/>
              <w:bottom w:val="nil"/>
              <w:right w:val="nil"/>
            </w:tcBorders>
            <w:shd w:val="clear" w:color="auto" w:fill="FFFFFF"/>
            <w:noWrap/>
            <w:vAlign w:val="center"/>
          </w:tcPr>
          <w:p w14:paraId="5951E5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我见过他人发生交通事故</w:t>
            </w:r>
          </w:p>
        </w:tc>
      </w:tr>
      <w:tr w14:paraId="27BA3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0A80486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84A1ED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PCE3</w:t>
            </w:r>
          </w:p>
        </w:tc>
        <w:tc>
          <w:tcPr>
            <w:tcW w:w="5137" w:type="dxa"/>
            <w:tcBorders>
              <w:top w:val="nil"/>
              <w:left w:val="nil"/>
              <w:bottom w:val="nil"/>
              <w:right w:val="nil"/>
            </w:tcBorders>
            <w:shd w:val="clear" w:color="auto" w:fill="FFFFFF"/>
            <w:noWrap/>
            <w:vAlign w:val="center"/>
          </w:tcPr>
          <w:p w14:paraId="553DFFF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我曾因交通问题与他人发生争执</w:t>
            </w:r>
          </w:p>
        </w:tc>
      </w:tr>
      <w:tr w14:paraId="6F81D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513A763D">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4709034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PCE4</w:t>
            </w:r>
          </w:p>
        </w:tc>
        <w:tc>
          <w:tcPr>
            <w:tcW w:w="5137" w:type="dxa"/>
            <w:tcBorders>
              <w:top w:val="nil"/>
              <w:left w:val="nil"/>
              <w:bottom w:val="single" w:color="000000" w:sz="4" w:space="0"/>
              <w:right w:val="nil"/>
            </w:tcBorders>
            <w:shd w:val="clear" w:color="auto" w:fill="FFFFFF"/>
            <w:noWrap/>
            <w:vAlign w:val="center"/>
          </w:tcPr>
          <w:p w14:paraId="27C4E21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我的朋友曾遭遇过交通安全问题</w:t>
            </w:r>
          </w:p>
        </w:tc>
      </w:tr>
      <w:tr w14:paraId="41D11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71BB75D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行为意图</w:t>
            </w:r>
          </w:p>
          <w:p w14:paraId="2C3D2440">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Behavioral Intention</w:t>
            </w:r>
          </w:p>
        </w:tc>
        <w:tc>
          <w:tcPr>
            <w:tcW w:w="1361" w:type="dxa"/>
            <w:tcBorders>
              <w:top w:val="single" w:color="000000" w:sz="4" w:space="0"/>
              <w:left w:val="nil"/>
              <w:bottom w:val="nil"/>
              <w:right w:val="nil"/>
            </w:tcBorders>
            <w:shd w:val="clear" w:color="auto" w:fill="FFFFFF"/>
            <w:noWrap/>
            <w:vAlign w:val="center"/>
          </w:tcPr>
          <w:p w14:paraId="1F6935F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BI1</w:t>
            </w:r>
          </w:p>
        </w:tc>
        <w:tc>
          <w:tcPr>
            <w:tcW w:w="5137" w:type="dxa"/>
            <w:tcBorders>
              <w:top w:val="single" w:color="000000" w:sz="4" w:space="0"/>
              <w:left w:val="nil"/>
              <w:bottom w:val="nil"/>
              <w:right w:val="nil"/>
            </w:tcBorders>
            <w:shd w:val="clear" w:color="auto" w:fill="FFFFFF"/>
            <w:noWrap/>
            <w:vAlign w:val="center"/>
          </w:tcPr>
          <w:p w14:paraId="0733D17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我会始终在指定区域行走/骑行</w:t>
            </w:r>
          </w:p>
        </w:tc>
      </w:tr>
      <w:tr w14:paraId="2C154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01E0E5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424A566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BI2</w:t>
            </w:r>
          </w:p>
        </w:tc>
        <w:tc>
          <w:tcPr>
            <w:tcW w:w="5137" w:type="dxa"/>
            <w:tcBorders>
              <w:top w:val="nil"/>
              <w:left w:val="nil"/>
              <w:bottom w:val="nil"/>
              <w:right w:val="nil"/>
            </w:tcBorders>
            <w:shd w:val="clear" w:color="auto" w:fill="FFFFFF"/>
            <w:noWrap/>
            <w:vAlign w:val="center"/>
          </w:tcPr>
          <w:p w14:paraId="2667731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未来一个月我会更加注意交通安全</w:t>
            </w:r>
          </w:p>
        </w:tc>
      </w:tr>
      <w:tr w14:paraId="491D7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F9E555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145DCAF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BI3</w:t>
            </w:r>
          </w:p>
        </w:tc>
        <w:tc>
          <w:tcPr>
            <w:tcW w:w="5137" w:type="dxa"/>
            <w:tcBorders>
              <w:top w:val="nil"/>
              <w:left w:val="nil"/>
              <w:bottom w:val="nil"/>
              <w:right w:val="nil"/>
            </w:tcBorders>
            <w:shd w:val="clear" w:color="auto" w:fill="FFFFFF"/>
            <w:noWrap/>
            <w:vAlign w:val="center"/>
          </w:tcPr>
          <w:p w14:paraId="5F80B6B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即使赶时间我也不会违反交通规则</w:t>
            </w:r>
          </w:p>
        </w:tc>
      </w:tr>
      <w:tr w14:paraId="4FFB9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73E56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4829204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BI4</w:t>
            </w:r>
          </w:p>
        </w:tc>
        <w:tc>
          <w:tcPr>
            <w:tcW w:w="5137" w:type="dxa"/>
            <w:tcBorders>
              <w:top w:val="nil"/>
              <w:left w:val="nil"/>
              <w:bottom w:val="nil"/>
              <w:right w:val="nil"/>
            </w:tcBorders>
            <w:shd w:val="clear" w:color="auto" w:fill="FFFFFF"/>
            <w:noWrap/>
            <w:vAlign w:val="center"/>
          </w:tcPr>
          <w:p w14:paraId="01F5753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我会主动避让其他交通参与者</w:t>
            </w:r>
          </w:p>
        </w:tc>
      </w:tr>
    </w:tbl>
    <w:p w14:paraId="4442BBFE">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表8 高校共享道路</w:t>
      </w:r>
      <w:r>
        <w:rPr>
          <w:rFonts w:hint="eastAsia" w:ascii="Times New Roman" w:hAnsi="Times New Roman" w:eastAsia="宋体" w:cs="Times New Roman"/>
          <w:lang w:val="en-US" w:eastAsia="zh-CN"/>
        </w:rPr>
        <w:t>交通安全</w:t>
      </w:r>
      <w:r>
        <w:rPr>
          <w:rFonts w:hint="eastAsia" w:ascii="Times New Roman" w:hAnsi="Times New Roman" w:cs="Times New Roman"/>
          <w:lang w:val="en-US" w:eastAsia="zh-CN"/>
        </w:rPr>
        <w:t>行为研究要素及其编码（续）</w:t>
      </w:r>
    </w:p>
    <w:tbl>
      <w:tblPr>
        <w:tblStyle w:val="8"/>
        <w:tblW w:w="864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45"/>
        <w:gridCol w:w="1361"/>
        <w:gridCol w:w="5137"/>
      </w:tblGrid>
      <w:tr w14:paraId="1F1F7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2145" w:type="dxa"/>
            <w:vMerge w:val="restart"/>
            <w:tcBorders>
              <w:left w:val="nil"/>
              <w:right w:val="nil"/>
            </w:tcBorders>
            <w:shd w:val="clear" w:color="auto" w:fill="FFFFFF"/>
            <w:noWrap/>
            <w:vAlign w:val="center"/>
          </w:tcPr>
          <w:p w14:paraId="758FE96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79D7611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BI5</w:t>
            </w:r>
          </w:p>
        </w:tc>
        <w:tc>
          <w:tcPr>
            <w:tcW w:w="5137" w:type="dxa"/>
            <w:tcBorders>
              <w:top w:val="nil"/>
              <w:left w:val="nil"/>
              <w:bottom w:val="nil"/>
              <w:right w:val="nil"/>
            </w:tcBorders>
            <w:shd w:val="clear" w:color="auto" w:fill="FFFFFF"/>
            <w:noWrap/>
            <w:vAlign w:val="center"/>
          </w:tcPr>
          <w:p w14:paraId="72B927E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我不会为了方便而走捷径穿越危险区域</w:t>
            </w:r>
          </w:p>
        </w:tc>
      </w:tr>
      <w:tr w14:paraId="06DB2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2145" w:type="dxa"/>
            <w:vMerge w:val="continue"/>
            <w:tcBorders>
              <w:left w:val="nil"/>
              <w:bottom w:val="single" w:color="000000" w:sz="4" w:space="0"/>
              <w:right w:val="nil"/>
            </w:tcBorders>
            <w:shd w:val="clear" w:color="auto" w:fill="FFFFFF"/>
            <w:noWrap/>
            <w:vAlign w:val="center"/>
          </w:tcPr>
          <w:p w14:paraId="55D1104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66199E5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BI6</w:t>
            </w:r>
          </w:p>
        </w:tc>
        <w:tc>
          <w:tcPr>
            <w:tcW w:w="5137" w:type="dxa"/>
            <w:tcBorders>
              <w:top w:val="nil"/>
              <w:left w:val="nil"/>
              <w:bottom w:val="single" w:color="000000" w:sz="4" w:space="0"/>
              <w:right w:val="nil"/>
            </w:tcBorders>
            <w:shd w:val="clear" w:color="auto" w:fill="FFFFFF"/>
            <w:noWrap/>
            <w:vAlign w:val="center"/>
          </w:tcPr>
          <w:p w14:paraId="3265FA8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看到他人违规时我会提醒</w:t>
            </w:r>
          </w:p>
        </w:tc>
      </w:tr>
    </w:tbl>
    <w:p w14:paraId="372A0DB1">
      <w:pPr>
        <w:pStyle w:val="3"/>
        <w:spacing w:before="100" w:after="300" w:line="400" w:lineRule="exact"/>
        <w:rPr>
          <w:rFonts w:hint="default" w:ascii="Times New Roman" w:hAnsi="Times New Roman" w:eastAsia="黑体" w:cs="Times New Roman"/>
          <w:b w:val="0"/>
          <w:bCs w:val="0"/>
          <w:sz w:val="28"/>
          <w:szCs w:val="28"/>
          <w:lang w:val="en-US" w:eastAsia="zh-CN"/>
        </w:rPr>
      </w:pPr>
    </w:p>
    <w:p w14:paraId="3BE905C2">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2</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2</w:t>
      </w:r>
      <w:r>
        <w:rPr>
          <w:rFonts w:hint="default" w:ascii="黑体" w:hAnsi="黑体" w:eastAsia="黑体"/>
          <w:b w:val="0"/>
          <w:bCs w:val="0"/>
          <w:sz w:val="30"/>
          <w:szCs w:val="30"/>
          <w:lang w:val="en-US" w:eastAsia="zh-CN"/>
        </w:rPr>
        <w:t>研究</w:t>
      </w:r>
      <w:r>
        <w:rPr>
          <w:rFonts w:hint="eastAsia" w:ascii="黑体" w:hAnsi="黑体" w:eastAsia="黑体"/>
          <w:b w:val="0"/>
          <w:bCs w:val="0"/>
          <w:sz w:val="30"/>
          <w:szCs w:val="30"/>
          <w:lang w:val="en-US" w:eastAsia="zh-CN"/>
        </w:rPr>
        <w:t>分层抽样与数据收集</w:t>
      </w:r>
    </w:p>
    <w:p w14:paraId="30E323ED">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（1）</w:t>
      </w:r>
      <w:r>
        <w:rPr>
          <w:rFonts w:hint="eastAsia" w:ascii="黑体" w:hAnsi="黑体" w:eastAsia="黑体" w:cs="黑体"/>
          <w:lang w:val="en-US" w:eastAsia="zh-CN"/>
        </w:rPr>
        <w:t>分层抽样设计</w:t>
      </w:r>
    </w:p>
    <w:p w14:paraId="3BBECF4F">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分层抽样设计乃是确保样本代表性的核心要素，本研究的抽样框架基于三个维度实施分层，具体为：交通方式（行人与骑行者）、身份类别（本科生、研究生、教职工）以及活动区域（教学区、生活区、办公区）。构建抽样框时，首要任务是明确总体规模。依据学校所提供的数据，校园内日均活动人数约达25,000人，通过为期一周的实地观测，统计得出不同区域、不同时段的交通方式分布情况：总体而言，行人占比58%，骑行者占比42%。然而，这一比例在不同区域呈现出显著差异，教学区行人占比72%，生活区分布较为均衡（行人占比52%），办公区骑行者占据优势（占比61%）。</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样本量的确定综合考量了多种方法。依据Cochran公式</w:t>
      </w:r>
      <w:r>
        <w:rPr>
          <w:rFonts w:hint="eastAsia" w:ascii="Times New Roman" w:hAnsi="Times New Roman" w:cs="Times New Roman"/>
          <w:lang w:val="en-US" w:eastAsia="zh-CN"/>
          <w:vertAlign w:val="superscript"/>
        </w:rPr>
        <w:t xml:space="preserve">[29]</w:t>
      </w:r>
      <w:r>
        <w:rPr>
          <w:rFonts w:hint="eastAsia" w:ascii="Times New Roman" w:hAnsi="Times New Roman" w:cs="Times New Roman"/>
          <w:lang w:val="en-US" w:eastAsia="zh-CN"/>
        </w:rPr>
        <w:t xml:space="preserve">，在95%置信水平、5%误差范围的条件下，所需样本量约为150人。但鉴于结构方程模型的要求，样本量应为估计参数的10-20倍。本研究模型包含43个观测变量和8个潜变量，因此需要200-300个样本。同时，多群组分析要求每组样本不少于100个。综合上述各项要求，最终确定目标样本量为260人。考虑到约80%的有效率，预计可获得有效样本约210-230人，其中行人和骑行者大致各占一半。分层比例的确定经过了审慎权衡。</w:t>
      </w:r>
    </w:p>
    <w:p w14:paraId="31A67493">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2</w:t>
      </w:r>
      <w:r>
        <w:rPr>
          <w:rFonts w:hint="default" w:ascii="黑体" w:hAnsi="黑体" w:eastAsia="黑体" w:cs="黑体"/>
          <w:lang w:val="en-US" w:eastAsia="zh-CN"/>
        </w:rPr>
        <w:t>）</w:t>
      </w:r>
      <w:r>
        <w:rPr>
          <w:rFonts w:hint="eastAsia" w:ascii="黑体" w:hAnsi="黑体" w:eastAsia="黑体" w:cs="黑体"/>
          <w:lang w:val="en-US" w:eastAsia="zh-CN"/>
        </w:rPr>
        <w:t>问卷数据收集</w:t>
      </w:r>
    </w:p>
    <w:p w14:paraId="2128C36C">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数据收集的实施周期为一周，采用线上与线下相结合的方式开展。线下主要实施拦截调查，于校园内设置12个调查点位，覆盖主要交通节点，具体为：教学楼入口（4个）、食堂门口（3个）、图书馆前（2个）、体育场馆（1个）、行政楼（1个）、校门口（1个）。每个调查点位配备2名经过专业培训的调查人员，在早高峰、午高峰和晚高峰时段开展调查工作。调查人员的选拔与培训至关重要，本研究招募了研究生助理，并对其进行了2小时的集中培训，培训内容涵盖抽样原则、拦截技巧、问卷填写指导、特殊情况处理等方面。</w:t>
      </w:r>
    </w:p>
    <w:p w14:paraId="79CD4515">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拦截调查运用系统抽样方法，每个调查点位每5分钟进行一次拦截，选取该时段通过的符合条件的调查对象。符合条件的界定如下：（1）属于目标群体（学生或教职工）；（2）当前交通出行方式明确（步行或骑行）；（3）愿意参与本次调查。共发放纸质问卷101份，并当场回收，回收率达100%，但在后期数据清理过程中发现，有效问卷率仅为85.1%（86份）。</w:t>
      </w:r>
    </w:p>
    <w:p w14:paraId="1D255F0D">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线上调查主要借助问卷星平台发布电子问卷，共收集到185份线上问卷。线上问卷设置了严格的质量控制措施，包括IP地址限制（每个IP仅允许提交一次问卷）、答题时间监控（答题时间少于5分钟或超过30分钟的问卷标记为异常）、注意力检查题（共3道，例如“请选择‘同意’”）以及逻辑一致性检查（如同时选择“从不骑车”和“每天骑车多次”的情况）。</w:t>
      </w:r>
    </w:p>
    <w:p w14:paraId="461A5A1F">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3</w:t>
      </w:r>
      <w:r>
        <w:rPr>
          <w:rFonts w:hint="default" w:ascii="黑体" w:hAnsi="黑体" w:eastAsia="黑体" w:cs="黑体"/>
          <w:lang w:val="en-US" w:eastAsia="zh-CN"/>
        </w:rPr>
        <w:t>）</w:t>
      </w:r>
      <w:r>
        <w:rPr>
          <w:rFonts w:hint="eastAsia" w:ascii="黑体" w:hAnsi="黑体" w:eastAsia="黑体" w:cs="黑体"/>
          <w:lang w:val="en-US" w:eastAsia="zh-CN"/>
        </w:rPr>
        <w:t>问卷数据分析</w:t>
      </w:r>
    </w:p>
    <w:p w14:paraId="2E9B6771">
      <w:pPr>
        <w:pStyle w:val="4"/>
        <w:jc w:val="both"/>
        <w:rPr>
          <w:rFonts w:hint="default" w:ascii="Times New Roman" w:hAnsi="Times New Roman" w:cs="Times New Roman"/>
          <w:lang w:val="en-US" w:eastAsia="zh-CN"/>
        </w:rPr>
      </w:pPr>
      <w:r>
        <w:rPr>
          <w:rFonts w:hint="eastAsia" w:ascii="Times New Roman" w:hAnsi="Times New Roman" w:cs="Times New Roman"/>
          <w:lang w:val="en-US" w:eastAsia="zh-CN"/>
        </w:rPr>
        <w:t>本研究共获取原始问卷286份，其中线下渠道收集101份，线上渠道收集185份。数据清理工作严格依照预定标准执行：（1）剔除答题时间异常（答题时长小于5分钟或大于30分钟）的问卷17份；（2）删除注意力检查题答错超过1道的问卷11份；（3）排除存在明显逻辑矛盾的问卷8份；（4）筛除关键变量缺失比例超过10%的问卷7份；（5）去除所有题目均选择同一选项的问卷5份；（6）剔除p&lt;0.</w:t>
      </w:r>
      <w:r>
        <w:rPr>
          <w:rFonts w:hint="default" w:ascii="Times New Roman" w:hAnsi="Times New Roman" w:cs="Times New Roman"/>
          <w:lang w:val="en-US" w:eastAsia="zh-CN"/>
        </w:rPr>
        <w:t>001的极端</w:t>
      </w:r>
      <w:r>
        <w:rPr>
          <w:rFonts w:hint="eastAsia" w:ascii="Times New Roman" w:hAnsi="Times New Roman" w:cs="Times New Roman"/>
          <w:lang w:val="en-US" w:eastAsia="zh-CN"/>
        </w:rPr>
        <w:t>值样本问卷</w:t>
      </w:r>
      <w:r>
        <w:rPr>
          <w:rFonts w:hint="default" w:ascii="Times New Roman" w:hAnsi="Times New Roman" w:cs="Times New Roman"/>
          <w:lang w:val="en-US" w:eastAsia="zh-CN"/>
        </w:rPr>
        <w:t>6份。最终获得有效问卷232份，有效</w:t>
      </w:r>
      <w:r>
        <w:rPr>
          <w:rFonts w:hint="eastAsia" w:ascii="Times New Roman" w:hAnsi="Times New Roman" w:cs="Times New Roman"/>
          <w:lang w:val="en-US" w:eastAsia="zh-CN"/>
        </w:rPr>
        <w:t>率为8</w:t>
      </w:r>
      <w:r>
        <w:rPr>
          <w:rFonts w:hint="default" w:ascii="Times New Roman" w:hAnsi="Times New Roman" w:cs="Times New Roman"/>
          <w:lang w:val="en-US" w:eastAsia="zh-CN"/>
        </w:rPr>
        <w:t>1.1%。</w:t>
      </w:r>
    </w:p>
    <w:p w14:paraId="7B43390E">
      <w:pPr>
        <w:pStyle w:val="4"/>
        <w:jc w:val="both"/>
        <w:rPr>
          <w:rFonts w:hint="eastAsia" w:eastAsia="宋体"/>
          <w:lang w:eastAsia="zh-CN"/>
        </w:rPr>
      </w:pPr>
      <w:r>
        <w:rPr>
          <w:rFonts w:hint="eastAsia" w:ascii="Times New Roman" w:hAnsi="Times New Roman" w:cs="Times New Roman"/>
          <w:lang w:val="en-US" w:eastAsia="zh-CN"/>
        </w:rPr>
        <w:t>有效样本的分布特征呈现如下态势（如表9所示）：在性别分布方面，相对均衡，其中男性样本为107人（占比46.1%），女性样本为125人（占比53.9%）。年龄分布状况为：18-22岁年龄段的样本有145人（占比62.5%）、23-25岁年龄段的样本有56人（占比24.1%）、26-30岁年龄段的样本有22人（占比9.5%）、30岁以上年龄段的样本有9人（占比3.9%），样本平均年龄为22.4岁（标准差SD=3.6）。身份构成情况为：本科生样本140人（占比60.3%）、硕士研究生样本52人（占比22.4%）、博士研究生样本14人（占比6.0%）、教职工样本26人（占比11.2%）。交通方式选择方面：选择步行出行的样本有120人（占比51.7%），选择骑行出行的样本有112人（占比48.3%），在骑行者样本中，使用自行车的有43人（占比38.4%），使用电动自行车的有69人（占比61.6%）。</w:t>
      </w:r>
    </w:p>
    <w:p w14:paraId="628B8CF4">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从活动区域视角分析，以教学区活动为主的样本有98人（占比42.2%），以生活区活动为主的样本有83人（占比35.8%），活动区域为混合区域的样本有51人（占比22.0%）。日均校园内出行距离分布情况为：出行距离小于1km的样本有70人（占比30.2%），出行距离在1-3km的样本有95人（占比41.0%），出行距离在3-5km的样本有48人（占比20.7%），出行距离大于5km的样本有19人（占比8.2%）。出行距离与交通方式选择呈现高度相关性（相关系数r=0.68，p&lt;0.001），即出行距离越远，样本越倾向于选择骑行方式出行。过往一年内经历过交通冲突（包含险些发生事故情况）的样本有102人（占比44.0%），其中行人样本34人，骑行者样本68人，骑行者的交通冲突经历显著高于行人。</w:t>
      </w:r>
    </w:p>
    <w:p w14:paraId="6B2995D2">
      <w:pPr>
        <w:pStyle w:val="4"/>
        <w:keepNext w:val="0"/>
        <w:keepLines w:val="0"/>
        <w:pageBreakBefore w:val="0"/>
        <w:widowControl/>
        <w:kinsoku/>
        <w:wordWrap/>
        <w:overflowPunct/>
        <w:topLinePunct w:val="0"/>
        <w:autoSpaceDE/>
        <w:autoSpaceDN/>
        <w:bidi w:val="0"/>
        <w:adjustRightInd/>
        <w:snapToGrid/>
        <w:spacing w:before="0" w:after="0"/>
        <w:ind w:left="0" w:leftChars="0" w:firstLine="480" w:firstLineChars="200"/>
        <w:jc w:val="both"/>
        <w:textAlignment w:val="auto"/>
        <w:rPr>
          <w:rFonts w:hint="eastAsia" w:ascii="Times New Roman" w:hAnsi="Times New Roman" w:eastAsia="宋体" w:cs="Times New Roman"/>
          <w:lang w:val="en-US" w:eastAsia="zh-CN"/>
        </w:rPr>
      </w:pPr>
    </w:p>
    <w:p w14:paraId="1941F60A">
      <w:pPr>
        <w:pStyle w:val="4"/>
        <w:keepNext w:val="0"/>
        <w:keepLines w:val="0"/>
        <w:pageBreakBefore w:val="0"/>
        <w:widowControl/>
        <w:kinsoku/>
        <w:wordWrap/>
        <w:overflowPunct/>
        <w:topLinePunct w:val="0"/>
        <w:autoSpaceDE/>
        <w:autoSpaceDN/>
        <w:bidi w:val="0"/>
        <w:adjustRightInd/>
        <w:snapToGrid/>
        <w:spacing w:before="0" w:after="0" w:line="240" w:lineRule="atLeast"/>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表9</w:t>
      </w:r>
      <w:r>
        <w:rPr>
          <w:rFonts w:hint="eastAsia" w:ascii="Times New Roman" w:hAnsi="Times New Roman" w:cs="Times New Roman"/>
          <w:lang w:val="en-US" w:eastAsia="zh-CN"/>
        </w:rPr>
        <w:t xml:space="preserve"> </w:t>
      </w:r>
      <w:r>
        <w:rPr>
          <w:rFonts w:hint="eastAsia" w:ascii="Times New Roman" w:hAnsi="Times New Roman" w:eastAsia="宋体" w:cs="Times New Roman"/>
          <w:lang w:val="en-US" w:eastAsia="zh-CN"/>
        </w:rPr>
        <w:t>样本人口分布特征</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80"/>
        <w:gridCol w:w="1076"/>
        <w:gridCol w:w="698"/>
        <w:gridCol w:w="1661"/>
        <w:gridCol w:w="2143"/>
      </w:tblGrid>
      <w:tr w14:paraId="1AD35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auto" w:sz="4" w:space="0"/>
              <w:left w:val="nil"/>
              <w:bottom w:val="single" w:color="auto" w:sz="12" w:space="0"/>
              <w:right w:val="nil"/>
            </w:tcBorders>
            <w:shd w:val="clear" w:color="auto" w:fill="FFFFFF"/>
            <w:noWrap/>
            <w:vAlign w:val="center"/>
          </w:tcPr>
          <w:p w14:paraId="4EAE71F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特征变量</w:t>
            </w:r>
          </w:p>
        </w:tc>
        <w:tc>
          <w:tcPr>
            <w:tcW w:w="0" w:type="auto"/>
            <w:tcBorders>
              <w:top w:val="single" w:color="auto" w:sz="4" w:space="0"/>
              <w:left w:val="nil"/>
              <w:bottom w:val="single" w:color="auto" w:sz="12" w:space="0"/>
              <w:right w:val="nil"/>
            </w:tcBorders>
            <w:shd w:val="clear" w:color="auto" w:fill="FFFFFF"/>
            <w:noWrap/>
            <w:vAlign w:val="center"/>
          </w:tcPr>
          <w:p w14:paraId="05FDA1CD">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类别</w:t>
            </w:r>
          </w:p>
        </w:tc>
        <w:tc>
          <w:tcPr>
            <w:tcW w:w="0" w:type="auto"/>
            <w:tcBorders>
              <w:top w:val="single" w:color="auto" w:sz="4" w:space="0"/>
              <w:left w:val="nil"/>
              <w:bottom w:val="single" w:color="auto" w:sz="12" w:space="0"/>
              <w:right w:val="nil"/>
            </w:tcBorders>
            <w:shd w:val="clear" w:color="auto" w:fill="FFFFFF"/>
            <w:noWrap/>
            <w:vAlign w:val="center"/>
          </w:tcPr>
          <w:p w14:paraId="1DCB6DF1">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频数</w:t>
            </w:r>
          </w:p>
        </w:tc>
        <w:tc>
          <w:tcPr>
            <w:tcW w:w="0" w:type="auto"/>
            <w:tcBorders>
              <w:top w:val="single" w:color="auto" w:sz="4" w:space="0"/>
              <w:left w:val="nil"/>
              <w:bottom w:val="single" w:color="auto" w:sz="12" w:space="0"/>
              <w:right w:val="nil"/>
            </w:tcBorders>
            <w:shd w:val="clear" w:color="auto" w:fill="FFFFFF"/>
            <w:noWrap/>
            <w:vAlign w:val="center"/>
          </w:tcPr>
          <w:p w14:paraId="484AE5E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百分比（%）</w:t>
            </w:r>
          </w:p>
        </w:tc>
        <w:tc>
          <w:tcPr>
            <w:tcW w:w="0" w:type="auto"/>
            <w:tcBorders>
              <w:top w:val="single" w:color="auto" w:sz="4" w:space="0"/>
              <w:left w:val="nil"/>
              <w:bottom w:val="single" w:color="auto" w:sz="12" w:space="0"/>
              <w:right w:val="nil"/>
            </w:tcBorders>
            <w:shd w:val="clear" w:color="auto" w:fill="FFFFFF"/>
            <w:noWrap/>
            <w:vAlign w:val="center"/>
          </w:tcPr>
          <w:p w14:paraId="37F61A07">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累计百分比（%）</w:t>
            </w:r>
          </w:p>
        </w:tc>
      </w:tr>
      <w:tr w14:paraId="17A80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12" w:space="0"/>
              <w:left w:val="nil"/>
              <w:bottom w:val="nil"/>
              <w:right w:val="nil"/>
            </w:tcBorders>
            <w:shd w:val="clear" w:color="auto" w:fill="FFFFFF"/>
            <w:noWrap/>
            <w:vAlign w:val="center"/>
          </w:tcPr>
          <w:p w14:paraId="21D285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性别</w:t>
            </w:r>
          </w:p>
        </w:tc>
        <w:tc>
          <w:tcPr>
            <w:tcW w:w="0" w:type="auto"/>
            <w:tcBorders>
              <w:top w:val="single" w:color="auto" w:sz="12" w:space="0"/>
              <w:left w:val="nil"/>
              <w:bottom w:val="nil"/>
              <w:right w:val="nil"/>
            </w:tcBorders>
            <w:shd w:val="clear" w:color="auto" w:fill="FFFFFF"/>
            <w:noWrap/>
            <w:vAlign w:val="center"/>
          </w:tcPr>
          <w:p w14:paraId="20BF042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男</w:t>
            </w:r>
          </w:p>
        </w:tc>
        <w:tc>
          <w:tcPr>
            <w:tcW w:w="0" w:type="auto"/>
            <w:tcBorders>
              <w:top w:val="single" w:color="auto" w:sz="12" w:space="0"/>
              <w:left w:val="nil"/>
              <w:bottom w:val="nil"/>
              <w:right w:val="nil"/>
            </w:tcBorders>
            <w:shd w:val="clear" w:color="auto" w:fill="FFFFFF"/>
            <w:noWrap/>
            <w:vAlign w:val="center"/>
          </w:tcPr>
          <w:p w14:paraId="4C0A3E7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107</w:t>
            </w:r>
          </w:p>
        </w:tc>
        <w:tc>
          <w:tcPr>
            <w:tcW w:w="0" w:type="auto"/>
            <w:tcBorders>
              <w:top w:val="single" w:color="auto" w:sz="12" w:space="0"/>
              <w:left w:val="nil"/>
              <w:bottom w:val="nil"/>
              <w:right w:val="nil"/>
            </w:tcBorders>
            <w:shd w:val="clear" w:color="auto" w:fill="FFFFFF"/>
            <w:noWrap/>
            <w:vAlign w:val="center"/>
          </w:tcPr>
          <w:p w14:paraId="443FFF7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46.1</w:t>
            </w:r>
          </w:p>
        </w:tc>
        <w:tc>
          <w:tcPr>
            <w:tcW w:w="0" w:type="auto"/>
            <w:tcBorders>
              <w:top w:val="single" w:color="auto" w:sz="12" w:space="0"/>
              <w:left w:val="nil"/>
              <w:bottom w:val="nil"/>
              <w:right w:val="nil"/>
            </w:tcBorders>
            <w:shd w:val="clear" w:color="auto" w:fill="FFFFFF"/>
            <w:noWrap/>
            <w:vAlign w:val="center"/>
          </w:tcPr>
          <w:p w14:paraId="2E16DB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46.1</w:t>
            </w:r>
          </w:p>
        </w:tc>
      </w:tr>
      <w:tr w14:paraId="06F08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4C4B9CC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auto" w:sz="4" w:space="0"/>
              <w:right w:val="nil"/>
            </w:tcBorders>
            <w:shd w:val="clear" w:color="auto" w:fill="FFFFFF"/>
            <w:noWrap/>
            <w:vAlign w:val="center"/>
          </w:tcPr>
          <w:p w14:paraId="45BDEB0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女</w:t>
            </w:r>
          </w:p>
        </w:tc>
        <w:tc>
          <w:tcPr>
            <w:tcW w:w="0" w:type="auto"/>
            <w:tcBorders>
              <w:top w:val="nil"/>
              <w:left w:val="nil"/>
              <w:bottom w:val="single" w:color="auto" w:sz="4" w:space="0"/>
              <w:right w:val="nil"/>
            </w:tcBorders>
            <w:shd w:val="clear" w:color="auto" w:fill="FFFFFF"/>
            <w:noWrap/>
            <w:vAlign w:val="center"/>
          </w:tcPr>
          <w:p w14:paraId="5DE5CB8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125</w:t>
            </w:r>
          </w:p>
        </w:tc>
        <w:tc>
          <w:tcPr>
            <w:tcW w:w="0" w:type="auto"/>
            <w:tcBorders>
              <w:top w:val="nil"/>
              <w:left w:val="nil"/>
              <w:bottom w:val="single" w:color="auto" w:sz="4" w:space="0"/>
              <w:right w:val="nil"/>
            </w:tcBorders>
            <w:shd w:val="clear" w:color="auto" w:fill="FFFFFF"/>
            <w:noWrap/>
            <w:vAlign w:val="center"/>
          </w:tcPr>
          <w:p w14:paraId="5BE704B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53.9</w:t>
            </w:r>
          </w:p>
        </w:tc>
        <w:tc>
          <w:tcPr>
            <w:tcW w:w="0" w:type="auto"/>
            <w:tcBorders>
              <w:top w:val="nil"/>
              <w:left w:val="nil"/>
              <w:bottom w:val="single" w:color="auto" w:sz="4" w:space="0"/>
              <w:right w:val="nil"/>
            </w:tcBorders>
            <w:shd w:val="clear" w:color="auto" w:fill="FFFFFF"/>
            <w:noWrap/>
            <w:vAlign w:val="center"/>
          </w:tcPr>
          <w:p w14:paraId="01CB5D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r w14:paraId="33040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5C322E1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年龄</w:t>
            </w:r>
          </w:p>
        </w:tc>
        <w:tc>
          <w:tcPr>
            <w:tcW w:w="0" w:type="auto"/>
            <w:tcBorders>
              <w:top w:val="single" w:color="auto" w:sz="4" w:space="0"/>
              <w:left w:val="nil"/>
              <w:bottom w:val="nil"/>
              <w:right w:val="nil"/>
            </w:tcBorders>
            <w:shd w:val="clear" w:color="auto" w:fill="FFFFFF"/>
            <w:noWrap/>
            <w:vAlign w:val="center"/>
          </w:tcPr>
          <w:p w14:paraId="037EAB8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18-22岁</w:t>
            </w:r>
          </w:p>
        </w:tc>
        <w:tc>
          <w:tcPr>
            <w:tcW w:w="0" w:type="auto"/>
            <w:tcBorders>
              <w:top w:val="single" w:color="auto" w:sz="4" w:space="0"/>
              <w:left w:val="nil"/>
              <w:bottom w:val="nil"/>
              <w:right w:val="nil"/>
            </w:tcBorders>
            <w:shd w:val="clear" w:color="auto" w:fill="FFFFFF"/>
            <w:noWrap/>
            <w:vAlign w:val="center"/>
          </w:tcPr>
          <w:p w14:paraId="717E1F0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145</w:t>
            </w:r>
          </w:p>
        </w:tc>
        <w:tc>
          <w:tcPr>
            <w:tcW w:w="0" w:type="auto"/>
            <w:tcBorders>
              <w:top w:val="single" w:color="auto" w:sz="4" w:space="0"/>
              <w:left w:val="nil"/>
              <w:bottom w:val="nil"/>
              <w:right w:val="nil"/>
            </w:tcBorders>
            <w:shd w:val="clear" w:color="auto" w:fill="FFFFFF"/>
            <w:noWrap/>
            <w:vAlign w:val="center"/>
          </w:tcPr>
          <w:p w14:paraId="53D6137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62.5</w:t>
            </w:r>
          </w:p>
        </w:tc>
        <w:tc>
          <w:tcPr>
            <w:tcW w:w="0" w:type="auto"/>
            <w:tcBorders>
              <w:top w:val="single" w:color="auto" w:sz="4" w:space="0"/>
              <w:left w:val="nil"/>
              <w:bottom w:val="nil"/>
              <w:right w:val="nil"/>
            </w:tcBorders>
            <w:shd w:val="clear" w:color="auto" w:fill="FFFFFF"/>
            <w:noWrap/>
            <w:vAlign w:val="center"/>
          </w:tcPr>
          <w:p w14:paraId="606DCAF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62.5</w:t>
            </w:r>
          </w:p>
        </w:tc>
      </w:tr>
      <w:tr w14:paraId="3AEF7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6AB81FD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429DB28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23-25岁</w:t>
            </w:r>
          </w:p>
        </w:tc>
        <w:tc>
          <w:tcPr>
            <w:tcW w:w="0" w:type="auto"/>
            <w:tcBorders>
              <w:top w:val="nil"/>
              <w:left w:val="nil"/>
              <w:bottom w:val="nil"/>
              <w:right w:val="nil"/>
            </w:tcBorders>
            <w:shd w:val="clear" w:color="auto" w:fill="FFFFFF"/>
            <w:noWrap/>
            <w:vAlign w:val="center"/>
          </w:tcPr>
          <w:p w14:paraId="41F2A1F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56</w:t>
            </w:r>
          </w:p>
        </w:tc>
        <w:tc>
          <w:tcPr>
            <w:tcW w:w="0" w:type="auto"/>
            <w:tcBorders>
              <w:top w:val="nil"/>
              <w:left w:val="nil"/>
              <w:bottom w:val="nil"/>
              <w:right w:val="nil"/>
            </w:tcBorders>
            <w:shd w:val="clear" w:color="auto" w:fill="FFFFFF"/>
            <w:noWrap/>
            <w:vAlign w:val="center"/>
          </w:tcPr>
          <w:p w14:paraId="56370D3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24.1</w:t>
            </w:r>
          </w:p>
        </w:tc>
        <w:tc>
          <w:tcPr>
            <w:tcW w:w="0" w:type="auto"/>
            <w:tcBorders>
              <w:top w:val="nil"/>
              <w:left w:val="nil"/>
              <w:bottom w:val="nil"/>
              <w:right w:val="nil"/>
            </w:tcBorders>
            <w:shd w:val="clear" w:color="auto" w:fill="FFFFFF"/>
            <w:noWrap/>
            <w:vAlign w:val="center"/>
          </w:tcPr>
          <w:p w14:paraId="4E6BF4E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86.6</w:t>
            </w:r>
          </w:p>
        </w:tc>
      </w:tr>
      <w:tr w14:paraId="64167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643BBC9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6488F49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26-30岁</w:t>
            </w:r>
          </w:p>
        </w:tc>
        <w:tc>
          <w:tcPr>
            <w:tcW w:w="0" w:type="auto"/>
            <w:tcBorders>
              <w:top w:val="nil"/>
              <w:left w:val="nil"/>
              <w:bottom w:val="nil"/>
              <w:right w:val="nil"/>
            </w:tcBorders>
            <w:shd w:val="clear" w:color="auto" w:fill="FFFFFF"/>
            <w:noWrap/>
            <w:vAlign w:val="center"/>
          </w:tcPr>
          <w:p w14:paraId="1DB6681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22</w:t>
            </w:r>
          </w:p>
        </w:tc>
        <w:tc>
          <w:tcPr>
            <w:tcW w:w="0" w:type="auto"/>
            <w:tcBorders>
              <w:top w:val="nil"/>
              <w:left w:val="nil"/>
              <w:bottom w:val="nil"/>
              <w:right w:val="nil"/>
            </w:tcBorders>
            <w:shd w:val="clear" w:color="auto" w:fill="FFFFFF"/>
            <w:noWrap/>
            <w:vAlign w:val="center"/>
          </w:tcPr>
          <w:p w14:paraId="4CE1A58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9.5</w:t>
            </w:r>
          </w:p>
        </w:tc>
        <w:tc>
          <w:tcPr>
            <w:tcW w:w="0" w:type="auto"/>
            <w:tcBorders>
              <w:top w:val="nil"/>
              <w:left w:val="nil"/>
              <w:bottom w:val="nil"/>
              <w:right w:val="nil"/>
            </w:tcBorders>
            <w:shd w:val="clear" w:color="auto" w:fill="FFFFFF"/>
            <w:noWrap/>
            <w:vAlign w:val="center"/>
          </w:tcPr>
          <w:p w14:paraId="0EBEE6D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96.1</w:t>
            </w:r>
          </w:p>
        </w:tc>
      </w:tr>
      <w:tr w14:paraId="3E9EE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22BC7A5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auto" w:sz="4" w:space="0"/>
              <w:right w:val="nil"/>
            </w:tcBorders>
            <w:shd w:val="clear" w:color="auto" w:fill="FFFFFF"/>
            <w:noWrap/>
            <w:vAlign w:val="center"/>
          </w:tcPr>
          <w:p w14:paraId="74B40F6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&gt;30岁</w:t>
            </w:r>
          </w:p>
        </w:tc>
        <w:tc>
          <w:tcPr>
            <w:tcW w:w="0" w:type="auto"/>
            <w:tcBorders>
              <w:top w:val="nil"/>
              <w:left w:val="nil"/>
              <w:bottom w:val="single" w:color="auto" w:sz="4" w:space="0"/>
              <w:right w:val="nil"/>
            </w:tcBorders>
            <w:shd w:val="clear" w:color="auto" w:fill="FFFFFF"/>
            <w:noWrap/>
            <w:vAlign w:val="center"/>
          </w:tcPr>
          <w:p w14:paraId="252F25D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w:t>
            </w:r>
          </w:p>
        </w:tc>
        <w:tc>
          <w:tcPr>
            <w:tcW w:w="0" w:type="auto"/>
            <w:tcBorders>
              <w:top w:val="nil"/>
              <w:left w:val="nil"/>
              <w:bottom w:val="single" w:color="auto" w:sz="4" w:space="0"/>
              <w:right w:val="nil"/>
            </w:tcBorders>
            <w:shd w:val="clear" w:color="auto" w:fill="FFFFFF"/>
            <w:noWrap/>
            <w:vAlign w:val="center"/>
          </w:tcPr>
          <w:p w14:paraId="4CDE27B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3.9</w:t>
            </w:r>
          </w:p>
        </w:tc>
        <w:tc>
          <w:tcPr>
            <w:tcW w:w="0" w:type="auto"/>
            <w:tcBorders>
              <w:top w:val="nil"/>
              <w:left w:val="nil"/>
              <w:bottom w:val="single" w:color="auto" w:sz="4" w:space="0"/>
              <w:right w:val="nil"/>
            </w:tcBorders>
            <w:shd w:val="clear" w:color="auto" w:fill="FFFFFF"/>
            <w:noWrap/>
            <w:vAlign w:val="center"/>
          </w:tcPr>
          <w:p w14:paraId="3BF2C0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r w14:paraId="36801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7403116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身份</w:t>
            </w:r>
          </w:p>
        </w:tc>
        <w:tc>
          <w:tcPr>
            <w:tcW w:w="0" w:type="auto"/>
            <w:tcBorders>
              <w:top w:val="single" w:color="auto" w:sz="4" w:space="0"/>
              <w:left w:val="nil"/>
              <w:bottom w:val="nil"/>
              <w:right w:val="nil"/>
            </w:tcBorders>
            <w:shd w:val="clear" w:color="auto" w:fill="FFFFFF"/>
            <w:noWrap/>
            <w:vAlign w:val="center"/>
          </w:tcPr>
          <w:p w14:paraId="778AABC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本科生</w:t>
            </w:r>
          </w:p>
        </w:tc>
        <w:tc>
          <w:tcPr>
            <w:tcW w:w="0" w:type="auto"/>
            <w:tcBorders>
              <w:top w:val="single" w:color="auto" w:sz="4" w:space="0"/>
              <w:left w:val="nil"/>
              <w:bottom w:val="nil"/>
              <w:right w:val="nil"/>
            </w:tcBorders>
            <w:shd w:val="clear" w:color="auto" w:fill="FFFFFF"/>
            <w:noWrap/>
            <w:vAlign w:val="center"/>
          </w:tcPr>
          <w:p w14:paraId="0B526D4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140</w:t>
            </w:r>
          </w:p>
        </w:tc>
        <w:tc>
          <w:tcPr>
            <w:tcW w:w="0" w:type="auto"/>
            <w:tcBorders>
              <w:top w:val="single" w:color="auto" w:sz="4" w:space="0"/>
              <w:left w:val="nil"/>
              <w:bottom w:val="nil"/>
              <w:right w:val="nil"/>
            </w:tcBorders>
            <w:shd w:val="clear" w:color="auto" w:fill="FFFFFF"/>
            <w:noWrap/>
            <w:vAlign w:val="center"/>
          </w:tcPr>
          <w:p w14:paraId="198D00C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60.3</w:t>
            </w:r>
          </w:p>
        </w:tc>
        <w:tc>
          <w:tcPr>
            <w:tcW w:w="0" w:type="auto"/>
            <w:tcBorders>
              <w:top w:val="single" w:color="auto" w:sz="4" w:space="0"/>
              <w:left w:val="nil"/>
              <w:bottom w:val="nil"/>
              <w:right w:val="nil"/>
            </w:tcBorders>
            <w:shd w:val="clear" w:color="auto" w:fill="FFFFFF"/>
            <w:noWrap/>
            <w:vAlign w:val="center"/>
          </w:tcPr>
          <w:p w14:paraId="2A1EC8E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60.3</w:t>
            </w:r>
          </w:p>
        </w:tc>
      </w:tr>
      <w:tr w14:paraId="65D42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788833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1D0ECD3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硕士生</w:t>
            </w:r>
          </w:p>
        </w:tc>
        <w:tc>
          <w:tcPr>
            <w:tcW w:w="0" w:type="auto"/>
            <w:tcBorders>
              <w:top w:val="nil"/>
              <w:left w:val="nil"/>
              <w:bottom w:val="nil"/>
              <w:right w:val="nil"/>
            </w:tcBorders>
            <w:shd w:val="clear" w:color="auto" w:fill="FFFFFF"/>
            <w:noWrap/>
            <w:vAlign w:val="center"/>
          </w:tcPr>
          <w:p w14:paraId="78411D1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52</w:t>
            </w:r>
          </w:p>
        </w:tc>
        <w:tc>
          <w:tcPr>
            <w:tcW w:w="0" w:type="auto"/>
            <w:tcBorders>
              <w:top w:val="nil"/>
              <w:left w:val="nil"/>
              <w:bottom w:val="nil"/>
              <w:right w:val="nil"/>
            </w:tcBorders>
            <w:shd w:val="clear" w:color="auto" w:fill="FFFFFF"/>
            <w:noWrap/>
            <w:vAlign w:val="center"/>
          </w:tcPr>
          <w:p w14:paraId="788DC3B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22.4</w:t>
            </w:r>
          </w:p>
        </w:tc>
        <w:tc>
          <w:tcPr>
            <w:tcW w:w="0" w:type="auto"/>
            <w:tcBorders>
              <w:top w:val="nil"/>
              <w:left w:val="nil"/>
              <w:bottom w:val="nil"/>
              <w:right w:val="nil"/>
            </w:tcBorders>
            <w:shd w:val="clear" w:color="auto" w:fill="FFFFFF"/>
            <w:noWrap/>
            <w:vAlign w:val="center"/>
          </w:tcPr>
          <w:p w14:paraId="1D033BF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82.8</w:t>
            </w:r>
          </w:p>
        </w:tc>
      </w:tr>
      <w:tr w14:paraId="0BB10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6CA41A4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4F9FFE7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博士生</w:t>
            </w:r>
          </w:p>
        </w:tc>
        <w:tc>
          <w:tcPr>
            <w:tcW w:w="0" w:type="auto"/>
            <w:tcBorders>
              <w:top w:val="nil"/>
              <w:left w:val="nil"/>
              <w:bottom w:val="nil"/>
              <w:right w:val="nil"/>
            </w:tcBorders>
            <w:shd w:val="clear" w:color="auto" w:fill="FFFFFF"/>
            <w:noWrap/>
            <w:vAlign w:val="center"/>
          </w:tcPr>
          <w:p w14:paraId="6D86EE9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14</w:t>
            </w:r>
          </w:p>
        </w:tc>
        <w:tc>
          <w:tcPr>
            <w:tcW w:w="0" w:type="auto"/>
            <w:tcBorders>
              <w:top w:val="nil"/>
              <w:left w:val="nil"/>
              <w:bottom w:val="nil"/>
              <w:right w:val="nil"/>
            </w:tcBorders>
            <w:shd w:val="clear" w:color="auto" w:fill="FFFFFF"/>
            <w:noWrap/>
            <w:vAlign w:val="center"/>
          </w:tcPr>
          <w:p w14:paraId="7E27C11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w:t>
            </w:r>
          </w:p>
        </w:tc>
        <w:tc>
          <w:tcPr>
            <w:tcW w:w="0" w:type="auto"/>
            <w:tcBorders>
              <w:top w:val="nil"/>
              <w:left w:val="nil"/>
              <w:bottom w:val="nil"/>
              <w:right w:val="nil"/>
            </w:tcBorders>
            <w:shd w:val="clear" w:color="auto" w:fill="FFFFFF"/>
            <w:noWrap/>
            <w:vAlign w:val="center"/>
          </w:tcPr>
          <w:p w14:paraId="3D2D21A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88.8</w:t>
            </w:r>
          </w:p>
        </w:tc>
      </w:tr>
      <w:tr w14:paraId="26C45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3BE6C03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auto" w:sz="4" w:space="0"/>
              <w:right w:val="nil"/>
            </w:tcBorders>
            <w:shd w:val="clear" w:color="auto" w:fill="FFFFFF"/>
            <w:noWrap/>
            <w:vAlign w:val="center"/>
          </w:tcPr>
          <w:p w14:paraId="65F1912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教职工</w:t>
            </w:r>
          </w:p>
        </w:tc>
        <w:tc>
          <w:tcPr>
            <w:tcW w:w="0" w:type="auto"/>
            <w:tcBorders>
              <w:top w:val="nil"/>
              <w:left w:val="nil"/>
              <w:bottom w:val="single" w:color="auto" w:sz="4" w:space="0"/>
              <w:right w:val="nil"/>
            </w:tcBorders>
            <w:shd w:val="clear" w:color="auto" w:fill="FFFFFF"/>
            <w:noWrap/>
            <w:vAlign w:val="center"/>
          </w:tcPr>
          <w:p w14:paraId="0ED2A5E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26</w:t>
            </w:r>
          </w:p>
        </w:tc>
        <w:tc>
          <w:tcPr>
            <w:tcW w:w="0" w:type="auto"/>
            <w:tcBorders>
              <w:top w:val="nil"/>
              <w:left w:val="nil"/>
              <w:bottom w:val="single" w:color="auto" w:sz="4" w:space="0"/>
              <w:right w:val="nil"/>
            </w:tcBorders>
            <w:shd w:val="clear" w:color="auto" w:fill="FFFFFF"/>
            <w:noWrap/>
            <w:vAlign w:val="center"/>
          </w:tcPr>
          <w:p w14:paraId="77BFE5A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11.2</w:t>
            </w:r>
          </w:p>
        </w:tc>
        <w:tc>
          <w:tcPr>
            <w:tcW w:w="0" w:type="auto"/>
            <w:tcBorders>
              <w:top w:val="nil"/>
              <w:left w:val="nil"/>
              <w:bottom w:val="single" w:color="auto" w:sz="4" w:space="0"/>
              <w:right w:val="nil"/>
            </w:tcBorders>
            <w:shd w:val="clear" w:color="auto" w:fill="FFFFFF"/>
            <w:noWrap/>
            <w:vAlign w:val="center"/>
          </w:tcPr>
          <w:p w14:paraId="42D078A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r w14:paraId="619EA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3483C10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交通方式</w:t>
            </w:r>
          </w:p>
        </w:tc>
        <w:tc>
          <w:tcPr>
            <w:tcW w:w="0" w:type="auto"/>
            <w:tcBorders>
              <w:top w:val="single" w:color="auto" w:sz="4" w:space="0"/>
              <w:left w:val="nil"/>
              <w:bottom w:val="nil"/>
              <w:right w:val="nil"/>
            </w:tcBorders>
            <w:shd w:val="clear" w:color="auto" w:fill="FFFFFF"/>
            <w:noWrap/>
            <w:vAlign w:val="center"/>
          </w:tcPr>
          <w:p w14:paraId="3D70CF7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步行</w:t>
            </w:r>
          </w:p>
        </w:tc>
        <w:tc>
          <w:tcPr>
            <w:tcW w:w="0" w:type="auto"/>
            <w:tcBorders>
              <w:top w:val="single" w:color="auto" w:sz="4" w:space="0"/>
              <w:left w:val="nil"/>
              <w:bottom w:val="nil"/>
              <w:right w:val="nil"/>
            </w:tcBorders>
            <w:shd w:val="clear" w:color="auto" w:fill="FFFFFF"/>
            <w:noWrap/>
            <w:vAlign w:val="center"/>
          </w:tcPr>
          <w:p w14:paraId="46A2D27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120</w:t>
            </w:r>
          </w:p>
        </w:tc>
        <w:tc>
          <w:tcPr>
            <w:tcW w:w="0" w:type="auto"/>
            <w:tcBorders>
              <w:top w:val="single" w:color="auto" w:sz="4" w:space="0"/>
              <w:left w:val="nil"/>
              <w:bottom w:val="nil"/>
              <w:right w:val="nil"/>
            </w:tcBorders>
            <w:shd w:val="clear" w:color="auto" w:fill="FFFFFF"/>
            <w:noWrap/>
            <w:vAlign w:val="center"/>
          </w:tcPr>
          <w:p w14:paraId="22C2C9F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51.7</w:t>
            </w:r>
          </w:p>
        </w:tc>
        <w:tc>
          <w:tcPr>
            <w:tcW w:w="0" w:type="auto"/>
            <w:tcBorders>
              <w:top w:val="single" w:color="auto" w:sz="4" w:space="0"/>
              <w:left w:val="nil"/>
              <w:bottom w:val="nil"/>
              <w:right w:val="nil"/>
            </w:tcBorders>
            <w:shd w:val="clear" w:color="auto" w:fill="FFFFFF"/>
            <w:noWrap/>
            <w:vAlign w:val="center"/>
          </w:tcPr>
          <w:p w14:paraId="7FB52D8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51.7</w:t>
            </w:r>
          </w:p>
        </w:tc>
      </w:tr>
      <w:tr w14:paraId="4124F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4DC68FA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248A993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自行车</w:t>
            </w:r>
          </w:p>
        </w:tc>
        <w:tc>
          <w:tcPr>
            <w:tcW w:w="0" w:type="auto"/>
            <w:tcBorders>
              <w:top w:val="nil"/>
              <w:left w:val="nil"/>
              <w:bottom w:val="nil"/>
              <w:right w:val="nil"/>
            </w:tcBorders>
            <w:shd w:val="clear" w:color="auto" w:fill="FFFFFF"/>
            <w:noWrap/>
            <w:vAlign w:val="center"/>
          </w:tcPr>
          <w:p w14:paraId="3251B59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43</w:t>
            </w:r>
          </w:p>
        </w:tc>
        <w:tc>
          <w:tcPr>
            <w:tcW w:w="0" w:type="auto"/>
            <w:tcBorders>
              <w:top w:val="nil"/>
              <w:left w:val="nil"/>
              <w:bottom w:val="nil"/>
              <w:right w:val="nil"/>
            </w:tcBorders>
            <w:shd w:val="clear" w:color="auto" w:fill="FFFFFF"/>
            <w:noWrap/>
            <w:vAlign w:val="center"/>
          </w:tcPr>
          <w:p w14:paraId="135B3E3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18.5</w:t>
            </w:r>
          </w:p>
        </w:tc>
        <w:tc>
          <w:tcPr>
            <w:tcW w:w="0" w:type="auto"/>
            <w:tcBorders>
              <w:top w:val="nil"/>
              <w:left w:val="nil"/>
              <w:bottom w:val="nil"/>
              <w:right w:val="nil"/>
            </w:tcBorders>
            <w:shd w:val="clear" w:color="auto" w:fill="FFFFFF"/>
            <w:noWrap/>
            <w:vAlign w:val="center"/>
          </w:tcPr>
          <w:p w14:paraId="464435F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70.3</w:t>
            </w:r>
          </w:p>
        </w:tc>
      </w:tr>
      <w:tr w14:paraId="71788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6E53D02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auto" w:sz="4" w:space="0"/>
              <w:right w:val="nil"/>
            </w:tcBorders>
            <w:shd w:val="clear" w:color="auto" w:fill="FFFFFF"/>
            <w:noWrap/>
            <w:vAlign w:val="center"/>
          </w:tcPr>
          <w:p w14:paraId="07A518C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电动车</w:t>
            </w:r>
          </w:p>
        </w:tc>
        <w:tc>
          <w:tcPr>
            <w:tcW w:w="0" w:type="auto"/>
            <w:tcBorders>
              <w:top w:val="nil"/>
              <w:left w:val="nil"/>
              <w:bottom w:val="single" w:color="auto" w:sz="4" w:space="0"/>
              <w:right w:val="nil"/>
            </w:tcBorders>
            <w:shd w:val="clear" w:color="auto" w:fill="FFFFFF"/>
            <w:noWrap/>
            <w:vAlign w:val="center"/>
          </w:tcPr>
          <w:p w14:paraId="57449B2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69</w:t>
            </w:r>
          </w:p>
        </w:tc>
        <w:tc>
          <w:tcPr>
            <w:tcW w:w="0" w:type="auto"/>
            <w:tcBorders>
              <w:top w:val="nil"/>
              <w:left w:val="nil"/>
              <w:bottom w:val="single" w:color="auto" w:sz="4" w:space="0"/>
              <w:right w:val="nil"/>
            </w:tcBorders>
            <w:shd w:val="clear" w:color="auto" w:fill="FFFFFF"/>
            <w:noWrap/>
            <w:vAlign w:val="center"/>
          </w:tcPr>
          <w:p w14:paraId="7C742A3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29.7</w:t>
            </w:r>
          </w:p>
        </w:tc>
        <w:tc>
          <w:tcPr>
            <w:tcW w:w="0" w:type="auto"/>
            <w:tcBorders>
              <w:top w:val="nil"/>
              <w:left w:val="nil"/>
              <w:bottom w:val="single" w:color="auto" w:sz="4" w:space="0"/>
              <w:right w:val="nil"/>
            </w:tcBorders>
            <w:shd w:val="clear" w:color="auto" w:fill="FFFFFF"/>
            <w:noWrap/>
            <w:vAlign w:val="center"/>
          </w:tcPr>
          <w:p w14:paraId="09E5FEC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r w14:paraId="0744D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7FE44E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日均距离</w:t>
            </w:r>
          </w:p>
        </w:tc>
        <w:tc>
          <w:tcPr>
            <w:tcW w:w="0" w:type="auto"/>
            <w:tcBorders>
              <w:top w:val="single" w:color="auto" w:sz="4" w:space="0"/>
              <w:left w:val="nil"/>
              <w:bottom w:val="nil"/>
              <w:right w:val="nil"/>
            </w:tcBorders>
            <w:shd w:val="clear" w:color="auto" w:fill="FFFFFF"/>
            <w:noWrap/>
            <w:vAlign w:val="center"/>
          </w:tcPr>
          <w:p w14:paraId="5438962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&lt;1km</w:t>
            </w:r>
          </w:p>
        </w:tc>
        <w:tc>
          <w:tcPr>
            <w:tcW w:w="0" w:type="auto"/>
            <w:tcBorders>
              <w:top w:val="single" w:color="auto" w:sz="4" w:space="0"/>
              <w:left w:val="nil"/>
              <w:bottom w:val="nil"/>
              <w:right w:val="nil"/>
            </w:tcBorders>
            <w:shd w:val="clear" w:color="auto" w:fill="FFFFFF"/>
            <w:noWrap/>
            <w:vAlign w:val="center"/>
          </w:tcPr>
          <w:p w14:paraId="5AED633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70</w:t>
            </w:r>
          </w:p>
        </w:tc>
        <w:tc>
          <w:tcPr>
            <w:tcW w:w="0" w:type="auto"/>
            <w:tcBorders>
              <w:top w:val="single" w:color="auto" w:sz="4" w:space="0"/>
              <w:left w:val="nil"/>
              <w:bottom w:val="nil"/>
              <w:right w:val="nil"/>
            </w:tcBorders>
            <w:shd w:val="clear" w:color="auto" w:fill="FFFFFF"/>
            <w:noWrap/>
            <w:vAlign w:val="center"/>
          </w:tcPr>
          <w:p w14:paraId="045909E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30.2</w:t>
            </w:r>
          </w:p>
        </w:tc>
        <w:tc>
          <w:tcPr>
            <w:tcW w:w="0" w:type="auto"/>
            <w:tcBorders>
              <w:top w:val="single" w:color="auto" w:sz="4" w:space="0"/>
              <w:left w:val="nil"/>
              <w:bottom w:val="nil"/>
              <w:right w:val="nil"/>
            </w:tcBorders>
            <w:shd w:val="clear" w:color="auto" w:fill="FFFFFF"/>
            <w:noWrap/>
            <w:vAlign w:val="center"/>
          </w:tcPr>
          <w:p w14:paraId="69F4649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30.2</w:t>
            </w:r>
          </w:p>
        </w:tc>
      </w:tr>
      <w:tr w14:paraId="4C9A2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9D05DF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6A8A36C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1-3km</w:t>
            </w:r>
          </w:p>
        </w:tc>
        <w:tc>
          <w:tcPr>
            <w:tcW w:w="0" w:type="auto"/>
            <w:tcBorders>
              <w:top w:val="nil"/>
              <w:left w:val="nil"/>
              <w:bottom w:val="nil"/>
              <w:right w:val="nil"/>
            </w:tcBorders>
            <w:shd w:val="clear" w:color="auto" w:fill="FFFFFF"/>
            <w:noWrap/>
            <w:vAlign w:val="center"/>
          </w:tcPr>
          <w:p w14:paraId="4867B81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95</w:t>
            </w:r>
          </w:p>
        </w:tc>
        <w:tc>
          <w:tcPr>
            <w:tcW w:w="0" w:type="auto"/>
            <w:tcBorders>
              <w:top w:val="nil"/>
              <w:left w:val="nil"/>
              <w:bottom w:val="nil"/>
              <w:right w:val="nil"/>
            </w:tcBorders>
            <w:shd w:val="clear" w:color="auto" w:fill="FFFFFF"/>
            <w:noWrap/>
            <w:vAlign w:val="center"/>
          </w:tcPr>
          <w:p w14:paraId="44E0220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41</w:t>
            </w:r>
          </w:p>
        </w:tc>
        <w:tc>
          <w:tcPr>
            <w:tcW w:w="0" w:type="auto"/>
            <w:tcBorders>
              <w:top w:val="nil"/>
              <w:left w:val="nil"/>
              <w:bottom w:val="nil"/>
              <w:right w:val="nil"/>
            </w:tcBorders>
            <w:shd w:val="clear" w:color="auto" w:fill="FFFFFF"/>
            <w:noWrap/>
            <w:vAlign w:val="center"/>
          </w:tcPr>
          <w:p w14:paraId="0F3379C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71.1</w:t>
            </w:r>
          </w:p>
        </w:tc>
      </w:tr>
      <w:tr w14:paraId="5216C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562DEC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71C98EA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3-5km</w:t>
            </w:r>
          </w:p>
        </w:tc>
        <w:tc>
          <w:tcPr>
            <w:tcW w:w="0" w:type="auto"/>
            <w:tcBorders>
              <w:top w:val="nil"/>
              <w:left w:val="nil"/>
              <w:bottom w:val="nil"/>
              <w:right w:val="nil"/>
            </w:tcBorders>
            <w:shd w:val="clear" w:color="auto" w:fill="FFFFFF"/>
            <w:noWrap/>
            <w:vAlign w:val="center"/>
          </w:tcPr>
          <w:p w14:paraId="1D24DCA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48</w:t>
            </w:r>
          </w:p>
        </w:tc>
        <w:tc>
          <w:tcPr>
            <w:tcW w:w="0" w:type="auto"/>
            <w:tcBorders>
              <w:top w:val="nil"/>
              <w:left w:val="nil"/>
              <w:bottom w:val="nil"/>
              <w:right w:val="nil"/>
            </w:tcBorders>
            <w:shd w:val="clear" w:color="auto" w:fill="FFFFFF"/>
            <w:noWrap/>
            <w:vAlign w:val="center"/>
          </w:tcPr>
          <w:p w14:paraId="39DC9BC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20.7</w:t>
            </w:r>
          </w:p>
        </w:tc>
        <w:tc>
          <w:tcPr>
            <w:tcW w:w="0" w:type="auto"/>
            <w:tcBorders>
              <w:top w:val="nil"/>
              <w:left w:val="nil"/>
              <w:bottom w:val="nil"/>
              <w:right w:val="nil"/>
            </w:tcBorders>
            <w:shd w:val="clear" w:color="auto" w:fill="FFFFFF"/>
            <w:noWrap/>
            <w:vAlign w:val="center"/>
          </w:tcPr>
          <w:p w14:paraId="515830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91.8</w:t>
            </w:r>
          </w:p>
        </w:tc>
      </w:tr>
      <w:tr w14:paraId="2C2661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318E23A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auto" w:sz="4" w:space="0"/>
              <w:right w:val="nil"/>
            </w:tcBorders>
            <w:shd w:val="clear" w:color="auto" w:fill="FFFFFF"/>
            <w:noWrap/>
            <w:vAlign w:val="center"/>
          </w:tcPr>
          <w:p w14:paraId="3CC755B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&gt;5km</w:t>
            </w:r>
          </w:p>
        </w:tc>
        <w:tc>
          <w:tcPr>
            <w:tcW w:w="0" w:type="auto"/>
            <w:tcBorders>
              <w:top w:val="nil"/>
              <w:left w:val="nil"/>
              <w:bottom w:val="single" w:color="auto" w:sz="4" w:space="0"/>
              <w:right w:val="nil"/>
            </w:tcBorders>
            <w:shd w:val="clear" w:color="auto" w:fill="FFFFFF"/>
            <w:noWrap/>
            <w:vAlign w:val="center"/>
          </w:tcPr>
          <w:p w14:paraId="52B6953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19</w:t>
            </w:r>
          </w:p>
        </w:tc>
        <w:tc>
          <w:tcPr>
            <w:tcW w:w="0" w:type="auto"/>
            <w:tcBorders>
              <w:top w:val="nil"/>
              <w:left w:val="nil"/>
              <w:bottom w:val="single" w:color="auto" w:sz="4" w:space="0"/>
              <w:right w:val="nil"/>
            </w:tcBorders>
            <w:shd w:val="clear" w:color="auto" w:fill="FFFFFF"/>
            <w:noWrap/>
            <w:vAlign w:val="center"/>
          </w:tcPr>
          <w:p w14:paraId="47D9CD4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8.2</w:t>
            </w:r>
          </w:p>
        </w:tc>
        <w:tc>
          <w:tcPr>
            <w:tcW w:w="0" w:type="auto"/>
            <w:tcBorders>
              <w:top w:val="nil"/>
              <w:left w:val="nil"/>
              <w:bottom w:val="single" w:color="auto" w:sz="4" w:space="0"/>
              <w:right w:val="nil"/>
            </w:tcBorders>
            <w:shd w:val="clear" w:color="auto" w:fill="FFFFFF"/>
            <w:noWrap/>
            <w:vAlign w:val="center"/>
          </w:tcPr>
          <w:p w14:paraId="5FCF5FE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r w14:paraId="38487D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37E8CA5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冲突经历</w:t>
            </w:r>
          </w:p>
        </w:tc>
        <w:tc>
          <w:tcPr>
            <w:tcW w:w="0" w:type="auto"/>
            <w:tcBorders>
              <w:top w:val="single" w:color="auto" w:sz="4" w:space="0"/>
              <w:left w:val="nil"/>
              <w:bottom w:val="nil"/>
              <w:right w:val="nil"/>
            </w:tcBorders>
            <w:shd w:val="clear" w:color="auto" w:fill="FFFFFF"/>
            <w:noWrap/>
            <w:vAlign w:val="center"/>
          </w:tcPr>
          <w:p w14:paraId="4EB796E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有</w:t>
            </w:r>
          </w:p>
        </w:tc>
        <w:tc>
          <w:tcPr>
            <w:tcW w:w="0" w:type="auto"/>
            <w:tcBorders>
              <w:top w:val="single" w:color="auto" w:sz="4" w:space="0"/>
              <w:left w:val="nil"/>
              <w:bottom w:val="nil"/>
              <w:right w:val="nil"/>
            </w:tcBorders>
            <w:shd w:val="clear" w:color="auto" w:fill="FFFFFF"/>
            <w:noWrap/>
            <w:vAlign w:val="center"/>
          </w:tcPr>
          <w:p w14:paraId="218A16F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102</w:t>
            </w:r>
          </w:p>
        </w:tc>
        <w:tc>
          <w:tcPr>
            <w:tcW w:w="0" w:type="auto"/>
            <w:tcBorders>
              <w:top w:val="single" w:color="auto" w:sz="4" w:space="0"/>
              <w:left w:val="nil"/>
              <w:bottom w:val="nil"/>
              <w:right w:val="nil"/>
            </w:tcBorders>
            <w:shd w:val="clear" w:color="auto" w:fill="FFFFFF"/>
            <w:noWrap/>
            <w:vAlign w:val="center"/>
          </w:tcPr>
          <w:p w14:paraId="0E62FF7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44</w:t>
            </w:r>
          </w:p>
        </w:tc>
        <w:tc>
          <w:tcPr>
            <w:tcW w:w="0" w:type="auto"/>
            <w:tcBorders>
              <w:top w:val="single" w:color="auto" w:sz="4" w:space="0"/>
              <w:left w:val="nil"/>
              <w:bottom w:val="nil"/>
              <w:right w:val="nil"/>
            </w:tcBorders>
            <w:shd w:val="clear" w:color="auto" w:fill="FFFFFF"/>
            <w:noWrap/>
            <w:vAlign w:val="center"/>
          </w:tcPr>
          <w:p w14:paraId="6974CCC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44</w:t>
            </w:r>
          </w:p>
        </w:tc>
      </w:tr>
      <w:tr w14:paraId="156A4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FFFFFF"/>
            <w:noWrap/>
            <w:vAlign w:val="center"/>
          </w:tcPr>
          <w:p w14:paraId="0696EBE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000000" w:sz="4" w:space="0"/>
              <w:right w:val="nil"/>
            </w:tcBorders>
            <w:shd w:val="clear" w:color="auto" w:fill="FFFFFF"/>
            <w:noWrap/>
            <w:vAlign w:val="center"/>
          </w:tcPr>
          <w:p w14:paraId="2D797CF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无</w:t>
            </w:r>
          </w:p>
        </w:tc>
        <w:tc>
          <w:tcPr>
            <w:tcW w:w="0" w:type="auto"/>
            <w:tcBorders>
              <w:top w:val="nil"/>
              <w:left w:val="nil"/>
              <w:bottom w:val="single" w:color="000000" w:sz="4" w:space="0"/>
              <w:right w:val="nil"/>
            </w:tcBorders>
            <w:shd w:val="clear" w:color="auto" w:fill="FFFFFF"/>
            <w:noWrap/>
            <w:vAlign w:val="center"/>
          </w:tcPr>
          <w:p w14:paraId="1E73C35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130</w:t>
            </w:r>
          </w:p>
        </w:tc>
        <w:tc>
          <w:tcPr>
            <w:tcW w:w="0" w:type="auto"/>
            <w:tcBorders>
              <w:top w:val="nil"/>
              <w:left w:val="nil"/>
              <w:bottom w:val="single" w:color="000000" w:sz="4" w:space="0"/>
              <w:right w:val="nil"/>
            </w:tcBorders>
            <w:shd w:val="clear" w:color="auto" w:fill="FFFFFF"/>
            <w:noWrap/>
            <w:vAlign w:val="center"/>
          </w:tcPr>
          <w:p w14:paraId="7F1B8FC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56</w:t>
            </w:r>
          </w:p>
        </w:tc>
        <w:tc>
          <w:tcPr>
            <w:tcW w:w="0" w:type="auto"/>
            <w:tcBorders>
              <w:top w:val="nil"/>
              <w:left w:val="nil"/>
              <w:bottom w:val="single" w:color="000000" w:sz="4" w:space="0"/>
              <w:right w:val="nil"/>
            </w:tcBorders>
            <w:shd w:val="clear" w:color="auto" w:fill="FFFFFF"/>
            <w:noWrap/>
            <w:vAlign w:val="center"/>
          </w:tcPr>
          <w:p w14:paraId="0B1FF27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bl>
    <w:p w14:paraId="6B568400">
      <w:pPr>
        <w:pStyle w:val="4"/>
        <w:jc w:val="both"/>
        <w:rPr>
          <w:rFonts w:hint="eastAsia" w:ascii="Times New Roman" w:hAnsi="Times New Roman" w:cs="Times New Roman"/>
          <w:lang w:val="en-US" w:eastAsia="zh-CN"/>
        </w:rPr>
      </w:pPr>
    </w:p>
    <w:p w14:paraId="0AD793E4">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2</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结构方程模型分析</w:t>
      </w:r>
    </w:p>
    <w:p w14:paraId="01B890C3">
      <w:pPr>
        <w:pStyle w:val="4"/>
        <w:ind w:left="0" w:leftChars="0" w:firstLine="0" w:firstLineChars="0"/>
        <w:rPr>
          <w:rFonts w:hint="default" w:ascii="黑体" w:hAnsi="黑体" w:eastAsia="黑体" w:cs="黑体"/>
          <w:lang w:val="en-US" w:eastAsia="zh-CN"/>
        </w:rPr>
      </w:pPr>
      <w:r>
        <w:rPr>
          <w:rFonts w:hint="eastAsia" w:ascii="黑体" w:hAnsi="黑体" w:eastAsia="黑体" w:cs="黑体"/>
          <w:lang w:val="en-US" w:eastAsia="zh-CN"/>
        </w:rPr>
        <w:t>（1）验证性因子分析</w:t>
      </w: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验证性因子分析是检验测量模型质量的首要步骤。在进行验证性因子分析之前，首先检验了数据的多变量正态性。偏度系数范围为-0.82至0.69，峰度系数范围为-1.14至1.38，均在可接受范围内，且数据基本满足多变量正态分布假设。初始测量模型包含8个潜变量和43个观测变量。模型识别性检验显示，自由度df=832，大于0，模型过度识别。初始模型拟合指标为：χ²=1426.38，df=832，χ²/df=1.71，CFI=0.936，TLI=0.929，RMSEA=0.033（90%CI:0.030-0.036），SRMR=0.045。虽然整体拟合可接受，但部分指标未达到优秀标准</w:t>
      </w:r>
      <w:r>
        <w:rPr>
          <w:rFonts w:hint="default" w:ascii="Times New Roman" w:hAnsi="Times New Roman" w:cs="Times New Roman"/>
          <w:lang w:val="en-US" w:eastAsia="zh-CN"/>
          <w:vertAlign w:val="superscript"/>
        </w:rPr>
        <w:t xml:space="preserve">[30]</w:t>
      </w:r>
      <w:r>
        <w:rPr>
          <w:rFonts w:hint="default" w:ascii="Times New Roman" w:hAnsi="Times New Roman" w:cs="Times New Roman"/>
          <w:lang w:val="en-US" w:eastAsia="zh-CN"/>
        </w:rPr>
        <w:t xml:space="preserve">（CFI和TLI&amp;amp;lt;0.95）。</w:t>
      </w:r>
    </w:p>
    <w:p>
      <w:pPr>
        <w:pStyle w:val="4"/>
        <w:jc w:val="both"/>
        <w:rPr>
          <w:rFonts w:hint="default" w:ascii="Times New Roman" w:hAnsi="Times New Roman" w:cs="Times New Roman"/>
          <w:lang w:val="en-US" w:eastAsia="zh-CN"/>
        </w:rPr>
      </w:pPr>
      <w:r>
        <w:rPr>
          <w:rFonts w:hint="eastAsia" w:ascii="Times New Roman" w:hAnsi="Times New Roman" w:cs="Times New Roman"/>
          <w:lang w:val="en-US" w:eastAsia="zh-CN"/>
        </w:rPr>
        <w:t xml:space="preserve">对标准化因子载荷开展检视后发现，有4个题项的载荷低于0.60，分别为SN4（0.52）PEU5（0.54）PCE4（0.48）BI6（0.56）。修正指数（MI）表明，部分题项的误差项存在较高相关性，尤其是AT1与AT2的误差相关（MI=32.45）PBC3与PBC4的误差相关（MI=28.76）。这有可能是由题项措辞相近所引发的方法因子效应。基于理论考量和统计指标，研究者删除了因子载荷较低的4个题项，并允许3对误差项相关。修正后的测量模型涵盖39个题项，拟合情况得到显著改善。标准化因子载荷处于0.61-0.89区间，平均值为0.74，且所有载荷在p&amp;lt;0.001水平上显著。信度检验运用了多个指标。各高校共享道路交通安全行为研究要素的Cronbach'sα系数分别为：安全态度0.878、主观规范0.812、知觉行为控制0.856、感知有用性0.834、感知易用性0.798、风险感知0.867、过往冲突经历0.789、行为意图0.891，均超出0.70的标准。组合信度（CR）范围为0.801-0.894</w:t>
      </w:r>
      <w:r>
        <w:rPr>
          <w:rFonts w:hint="eastAsia" w:ascii="Times New Roman" w:hAnsi="Times New Roman" w:cs="Times New Roman"/>
          <w:lang w:val="en-US" w:eastAsia="zh-CN"/>
          <w:vertAlign w:val="superscript"/>
        </w:rPr>
        <w:t xml:space="preserve">[31]</w:t>
      </w:r>
      <w:r>
        <w:rPr>
          <w:rFonts w:hint="eastAsia" w:ascii="Times New Roman" w:hAnsi="Times New Roman" w:cs="Times New Roman"/>
          <w:lang w:val="en-US" w:eastAsia="zh-CN"/>
        </w:rPr>
        <w:t xml:space="preserve">，平均方差萃取量（AVE）范围为0.512-0.687</w:t>
      </w:r>
      <w:r>
        <w:rPr>
          <w:rFonts w:hint="eastAsia" w:ascii="Times New Roman" w:hAnsi="Times New Roman" w:cs="Times New Roman"/>
          <w:lang w:val="en-US" w:eastAsia="zh-CN"/>
          <w:vertAlign w:val="superscript"/>
        </w:rPr>
        <w:t xml:space="preserve">[32]</w:t>
      </w:r>
      <w:r>
        <w:rPr>
          <w:rFonts w:hint="eastAsia" w:ascii="Times New Roman" w:hAnsi="Times New Roman" w:cs="Times New Roman"/>
          <w:lang w:val="en-US" w:eastAsia="zh-CN"/>
        </w:rPr>
        <w:t xml:space="preserve">，这表明测量模型具备良好的内部一致性和收敛效度。此外，将AVE平方根与高校共享道路交通安全行为研究要素间相关系数进行比较，所有要素的AVE（0.716-0.829）均大于与其他高校共享道路交通安全行为研究要素的相关系数（最大值为0.624），以上结果表明测量模型的区分效尚可。</w:t>
      </w:r>
    </w:p>
    <w:p w14:paraId="2C11BB09">
      <w:pPr>
        <w:pStyle w:val="4"/>
        <w:jc w:val="both"/>
        <w:rPr>
          <w:rFonts w:hint="default" w:ascii="Times New Roman" w:hAnsi="Times New Roman" w:cs="Times New Roman"/>
          <w:lang w:val="en-US" w:eastAsia="zh-CN"/>
        </w:rPr>
      </w:pPr>
    </w:p>
    <w:p w14:paraId="17C76880">
      <w:pPr>
        <w:pStyle w:val="4"/>
        <w:jc w:val="both"/>
        <w:rPr>
          <w:rFonts w:hint="default" w:ascii="Times New Roman" w:hAnsi="Times New Roman" w:cs="Times New Roman"/>
          <w:lang w:val="en-US" w:eastAsia="zh-CN"/>
        </w:rPr>
      </w:pPr>
    </w:p>
    <w:p w14:paraId="2411C493">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（2）路径</w:t>
      </w:r>
      <w:r>
        <w:rPr>
          <w:rFonts w:hint="eastAsia" w:ascii="黑体" w:hAnsi="黑体" w:eastAsia="黑体" w:cs="黑体"/>
          <w:lang w:val="en-US" w:eastAsia="zh-CN"/>
        </w:rPr>
        <w:t>数据分析</w:t>
      </w:r>
    </w:p>
    <w:p w14:paraId="2C54AA45">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结构模型的路径分析旨在检验高校共享道路交通安全行为研究要素间的因果关系。基于理论框架，我们设定了9条直接路径和3条主要间接路径。结构模型的拟合指标为：χ²=1034.27，df=694，χ²/df=1.49，CFI=0.957，TLI=0.953，RMSEA=0.028，SRMR=0.048，表明模型与数据拟合良好。</w:t>
      </w:r>
    </w:p>
    <w:p w14:paraId="45354514">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直接路径的检验结果显示，9条直接路径中有7条达到显著水平（如表10所示）。具体结果如下：（1）安全态度→行为意图（β=0.284，SE=0.046，CR=6.174，p&amp;lt;0.001）；（2）主观规范→行为意图（β=0.156，SE=0.042，CR=3.714，p&amp;lt;0.001）；（3）知觉行为控制→行为意图（β=0.238，SE=0.044，CR=5.409，p&amp;lt;0.001）；（4）感知有用性→行为意图（β=0.142，SE=0.048，CR=2.958，p&amp;lt;0.01）；（5）感知易用性→知觉行为控制（β=0.367，SE=0.052，CR=7.058，p&amp;lt;0.001）；（6）风险感知→安全态度（β=0.428，SE=0.049，CR=8.735，p&amp;lt;0.001）；（7）风险感知→行为意图（β=0.087，SE=0.051，CR=1.706，p=0.088），未达到显著水平；（8）过往冲突经历→风险感知（β=0.512，SE=0.047，CR=10.894，p&amp;lt;0.001）；（9）感知易用性→行为意图（β=0.068，SE=0.045，CR=1.511，p=0.131），H9未达到显著水平。</w:t>
      </w:r>
    </w:p>
    <w:p w14:paraId="29D41880">
      <w:pPr>
        <w:pStyle w:val="4"/>
        <w:keepNext w:val="0"/>
        <w:keepLines w:val="0"/>
        <w:pageBreakBefore w:val="0"/>
        <w:widowControl/>
        <w:kinsoku/>
        <w:wordWrap/>
        <w:overflowPunct/>
        <w:topLinePunct w:val="0"/>
        <w:autoSpaceDE/>
        <w:autoSpaceDN/>
        <w:bidi w:val="0"/>
        <w:adjustRightInd/>
        <w:snapToGrid/>
        <w:spacing w:before="0" w:after="0"/>
        <w:ind w:left="0" w:leftChars="0" w:firstLine="480" w:firstLineChars="200"/>
        <w:jc w:val="both"/>
        <w:textAlignment w:val="auto"/>
        <w:rPr>
          <w:rFonts w:hint="default" w:ascii="Times New Roman" w:hAnsi="Times New Roman" w:eastAsia="宋体" w:cs="Times New Roman"/>
          <w:lang w:val="en-US" w:eastAsia="zh-CN"/>
        </w:rPr>
      </w:pPr>
    </w:p>
    <w:p w14:paraId="2B201596">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表10 直接路径系数</w:t>
      </w:r>
    </w:p>
    <w:tbl>
      <w:tblPr>
        <w:tblStyle w:val="8"/>
        <w:tblW w:w="77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64"/>
        <w:gridCol w:w="2030"/>
        <w:gridCol w:w="1835"/>
        <w:gridCol w:w="1888"/>
        <w:gridCol w:w="892"/>
      </w:tblGrid>
      <w:tr w14:paraId="01840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000000" w:sz="4" w:space="0"/>
              <w:left w:val="nil"/>
              <w:bottom w:val="single" w:color="000000" w:sz="12" w:space="0"/>
              <w:right w:val="nil"/>
            </w:tcBorders>
            <w:shd w:val="clear" w:color="auto" w:fill="FFFFFF"/>
            <w:noWrap/>
            <w:vAlign w:val="center"/>
          </w:tcPr>
          <w:p w14:paraId="74BF5B04">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路径</w:t>
            </w:r>
          </w:p>
        </w:tc>
        <w:tc>
          <w:tcPr>
            <w:tcW w:w="0" w:type="auto"/>
            <w:tcBorders>
              <w:top w:val="single" w:color="000000" w:sz="4" w:space="0"/>
              <w:left w:val="nil"/>
              <w:bottom w:val="single" w:color="000000" w:sz="12" w:space="0"/>
              <w:right w:val="nil"/>
            </w:tcBorders>
            <w:shd w:val="clear" w:color="auto" w:fill="FFFFFF"/>
            <w:noWrap/>
            <w:vAlign w:val="center"/>
          </w:tcPr>
          <w:p w14:paraId="64C37370">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标准化系数（β）</w:t>
            </w:r>
          </w:p>
        </w:tc>
        <w:tc>
          <w:tcPr>
            <w:tcW w:w="0" w:type="auto"/>
            <w:tcBorders>
              <w:top w:val="single" w:color="000000" w:sz="4" w:space="0"/>
              <w:left w:val="nil"/>
              <w:bottom w:val="single" w:color="000000" w:sz="12" w:space="0"/>
              <w:right w:val="nil"/>
            </w:tcBorders>
            <w:shd w:val="clear" w:color="auto" w:fill="FFFFFF"/>
            <w:noWrap/>
            <w:vAlign w:val="center"/>
          </w:tcPr>
          <w:p w14:paraId="21E4E858">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标准误（S.E.）</w:t>
            </w:r>
          </w:p>
        </w:tc>
        <w:tc>
          <w:tcPr>
            <w:tcW w:w="0" w:type="auto"/>
            <w:tcBorders>
              <w:top w:val="single" w:color="000000" w:sz="4" w:space="0"/>
              <w:left w:val="nil"/>
              <w:bottom w:val="single" w:color="000000" w:sz="12" w:space="0"/>
              <w:right w:val="nil"/>
            </w:tcBorders>
            <w:shd w:val="clear" w:color="auto" w:fill="FFFFFF"/>
            <w:noWrap/>
            <w:vAlign w:val="center"/>
          </w:tcPr>
          <w:p w14:paraId="6EB41198">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临界比（C.R.）</w:t>
            </w:r>
          </w:p>
        </w:tc>
        <w:tc>
          <w:tcPr>
            <w:tcW w:w="0" w:type="auto"/>
            <w:tcBorders>
              <w:top w:val="single" w:color="000000" w:sz="4" w:space="0"/>
              <w:left w:val="nil"/>
              <w:bottom w:val="single" w:color="000000" w:sz="12" w:space="0"/>
              <w:right w:val="nil"/>
            </w:tcBorders>
            <w:shd w:val="clear" w:color="auto" w:fill="FFFFFF"/>
            <w:noWrap/>
            <w:vAlign w:val="center"/>
          </w:tcPr>
          <w:p w14:paraId="7427C371">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p值</w:t>
            </w:r>
          </w:p>
        </w:tc>
      </w:tr>
      <w:tr w14:paraId="0DAD4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000000" w:sz="12" w:space="0"/>
              <w:left w:val="nil"/>
              <w:bottom w:val="nil"/>
              <w:right w:val="nil"/>
            </w:tcBorders>
            <w:shd w:val="clear" w:color="auto" w:fill="FFFFFF"/>
            <w:noWrap/>
            <w:vAlign w:val="center"/>
          </w:tcPr>
          <w:p w14:paraId="2E7C6E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AT→BI</w:t>
            </w:r>
          </w:p>
        </w:tc>
        <w:tc>
          <w:tcPr>
            <w:tcW w:w="0" w:type="auto"/>
            <w:tcBorders>
              <w:top w:val="single" w:color="000000" w:sz="12" w:space="0"/>
              <w:left w:val="nil"/>
              <w:bottom w:val="nil"/>
              <w:right w:val="nil"/>
            </w:tcBorders>
            <w:shd w:val="clear" w:color="auto" w:fill="FFFFFF"/>
            <w:noWrap/>
            <w:vAlign w:val="center"/>
          </w:tcPr>
          <w:p w14:paraId="7394571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0.284***</w:t>
            </w:r>
          </w:p>
        </w:tc>
        <w:tc>
          <w:tcPr>
            <w:tcW w:w="0" w:type="auto"/>
            <w:tcBorders>
              <w:top w:val="single" w:color="000000" w:sz="12" w:space="0"/>
              <w:left w:val="nil"/>
              <w:bottom w:val="nil"/>
              <w:right w:val="nil"/>
            </w:tcBorders>
            <w:shd w:val="clear" w:color="auto" w:fill="FFFFFF"/>
            <w:noWrap/>
            <w:vAlign w:val="center"/>
          </w:tcPr>
          <w:p w14:paraId="56513E8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0.046</w:t>
            </w:r>
          </w:p>
        </w:tc>
        <w:tc>
          <w:tcPr>
            <w:tcW w:w="0" w:type="auto"/>
            <w:tcBorders>
              <w:top w:val="single" w:color="000000" w:sz="12" w:space="0"/>
              <w:left w:val="nil"/>
              <w:bottom w:val="nil"/>
              <w:right w:val="nil"/>
            </w:tcBorders>
            <w:shd w:val="clear" w:color="auto" w:fill="FFFFFF"/>
            <w:noWrap/>
            <w:vAlign w:val="center"/>
          </w:tcPr>
          <w:p w14:paraId="7522015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6.174</w:t>
            </w:r>
          </w:p>
        </w:tc>
        <w:tc>
          <w:tcPr>
            <w:tcW w:w="0" w:type="auto"/>
            <w:tcBorders>
              <w:top w:val="single" w:color="000000" w:sz="12" w:space="0"/>
              <w:left w:val="nil"/>
              <w:bottom w:val="nil"/>
              <w:right w:val="nil"/>
            </w:tcBorders>
            <w:shd w:val="clear" w:color="auto" w:fill="FFFFFF"/>
            <w:noWrap/>
            <w:vAlign w:val="center"/>
          </w:tcPr>
          <w:p w14:paraId="2D64A78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11757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CA86F5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SN→BI</w:t>
            </w:r>
          </w:p>
        </w:tc>
        <w:tc>
          <w:tcPr>
            <w:tcW w:w="0" w:type="auto"/>
            <w:tcBorders>
              <w:top w:val="nil"/>
              <w:left w:val="nil"/>
              <w:bottom w:val="nil"/>
              <w:right w:val="nil"/>
            </w:tcBorders>
            <w:shd w:val="clear" w:color="auto" w:fill="FFFFFF"/>
            <w:noWrap/>
            <w:vAlign w:val="center"/>
          </w:tcPr>
          <w:p w14:paraId="1BAF5BC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0.156***</w:t>
            </w:r>
          </w:p>
        </w:tc>
        <w:tc>
          <w:tcPr>
            <w:tcW w:w="0" w:type="auto"/>
            <w:tcBorders>
              <w:top w:val="nil"/>
              <w:left w:val="nil"/>
              <w:bottom w:val="nil"/>
              <w:right w:val="nil"/>
            </w:tcBorders>
            <w:shd w:val="clear" w:color="auto" w:fill="FFFFFF"/>
            <w:noWrap/>
            <w:vAlign w:val="center"/>
          </w:tcPr>
          <w:p w14:paraId="6338B5A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0.042</w:t>
            </w:r>
          </w:p>
        </w:tc>
        <w:tc>
          <w:tcPr>
            <w:tcW w:w="0" w:type="auto"/>
            <w:tcBorders>
              <w:top w:val="nil"/>
              <w:left w:val="nil"/>
              <w:bottom w:val="nil"/>
              <w:right w:val="nil"/>
            </w:tcBorders>
            <w:shd w:val="clear" w:color="auto" w:fill="FFFFFF"/>
            <w:noWrap/>
            <w:vAlign w:val="center"/>
          </w:tcPr>
          <w:p w14:paraId="79FADEA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3.714</w:t>
            </w:r>
          </w:p>
        </w:tc>
        <w:tc>
          <w:tcPr>
            <w:tcW w:w="0" w:type="auto"/>
            <w:tcBorders>
              <w:top w:val="nil"/>
              <w:left w:val="nil"/>
              <w:bottom w:val="nil"/>
              <w:right w:val="nil"/>
            </w:tcBorders>
            <w:shd w:val="clear" w:color="auto" w:fill="FFFFFF"/>
            <w:noWrap/>
            <w:vAlign w:val="center"/>
          </w:tcPr>
          <w:p w14:paraId="75052B6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3F88E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219C188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PBC→BI</w:t>
            </w:r>
          </w:p>
        </w:tc>
        <w:tc>
          <w:tcPr>
            <w:tcW w:w="0" w:type="auto"/>
            <w:tcBorders>
              <w:top w:val="nil"/>
              <w:left w:val="nil"/>
              <w:bottom w:val="nil"/>
              <w:right w:val="nil"/>
            </w:tcBorders>
            <w:shd w:val="clear" w:color="auto" w:fill="FFFFFF"/>
            <w:noWrap/>
            <w:vAlign w:val="center"/>
          </w:tcPr>
          <w:p w14:paraId="3440C88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0.238***</w:t>
            </w:r>
          </w:p>
        </w:tc>
        <w:tc>
          <w:tcPr>
            <w:tcW w:w="0" w:type="auto"/>
            <w:tcBorders>
              <w:top w:val="nil"/>
              <w:left w:val="nil"/>
              <w:bottom w:val="nil"/>
              <w:right w:val="nil"/>
            </w:tcBorders>
            <w:shd w:val="clear" w:color="auto" w:fill="FFFFFF"/>
            <w:noWrap/>
            <w:vAlign w:val="center"/>
          </w:tcPr>
          <w:p w14:paraId="428C5E6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0.044</w:t>
            </w:r>
          </w:p>
        </w:tc>
        <w:tc>
          <w:tcPr>
            <w:tcW w:w="0" w:type="auto"/>
            <w:tcBorders>
              <w:top w:val="nil"/>
              <w:left w:val="nil"/>
              <w:bottom w:val="nil"/>
              <w:right w:val="nil"/>
            </w:tcBorders>
            <w:shd w:val="clear" w:color="auto" w:fill="FFFFFF"/>
            <w:noWrap/>
            <w:vAlign w:val="center"/>
          </w:tcPr>
          <w:p w14:paraId="0791884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5.409</w:t>
            </w:r>
          </w:p>
        </w:tc>
        <w:tc>
          <w:tcPr>
            <w:tcW w:w="0" w:type="auto"/>
            <w:tcBorders>
              <w:top w:val="nil"/>
              <w:left w:val="nil"/>
              <w:bottom w:val="nil"/>
              <w:right w:val="nil"/>
            </w:tcBorders>
            <w:shd w:val="clear" w:color="auto" w:fill="FFFFFF"/>
            <w:noWrap/>
            <w:vAlign w:val="center"/>
          </w:tcPr>
          <w:p w14:paraId="102FEF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39EA22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27C4FE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PU→BI</w:t>
            </w:r>
          </w:p>
        </w:tc>
        <w:tc>
          <w:tcPr>
            <w:tcW w:w="0" w:type="auto"/>
            <w:tcBorders>
              <w:top w:val="nil"/>
              <w:left w:val="nil"/>
              <w:bottom w:val="nil"/>
              <w:right w:val="nil"/>
            </w:tcBorders>
            <w:shd w:val="clear" w:color="auto" w:fill="FFFFFF"/>
            <w:noWrap/>
            <w:vAlign w:val="center"/>
          </w:tcPr>
          <w:p w14:paraId="7435942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0.142**</w:t>
            </w:r>
          </w:p>
        </w:tc>
        <w:tc>
          <w:tcPr>
            <w:tcW w:w="0" w:type="auto"/>
            <w:tcBorders>
              <w:top w:val="nil"/>
              <w:left w:val="nil"/>
              <w:bottom w:val="nil"/>
              <w:right w:val="nil"/>
            </w:tcBorders>
            <w:shd w:val="clear" w:color="auto" w:fill="FFFFFF"/>
            <w:noWrap/>
            <w:vAlign w:val="center"/>
          </w:tcPr>
          <w:p w14:paraId="4BBFDDB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0.048</w:t>
            </w:r>
          </w:p>
        </w:tc>
        <w:tc>
          <w:tcPr>
            <w:tcW w:w="0" w:type="auto"/>
            <w:tcBorders>
              <w:top w:val="nil"/>
              <w:left w:val="nil"/>
              <w:bottom w:val="nil"/>
              <w:right w:val="nil"/>
            </w:tcBorders>
            <w:shd w:val="clear" w:color="auto" w:fill="FFFFFF"/>
            <w:noWrap/>
            <w:vAlign w:val="center"/>
          </w:tcPr>
          <w:p w14:paraId="4C96989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2.958</w:t>
            </w:r>
          </w:p>
        </w:tc>
        <w:tc>
          <w:tcPr>
            <w:tcW w:w="0" w:type="auto"/>
            <w:tcBorders>
              <w:top w:val="nil"/>
              <w:left w:val="nil"/>
              <w:bottom w:val="nil"/>
              <w:right w:val="nil"/>
            </w:tcBorders>
            <w:shd w:val="clear" w:color="auto" w:fill="FFFFFF"/>
            <w:noWrap/>
            <w:vAlign w:val="center"/>
          </w:tcPr>
          <w:p w14:paraId="271FCDA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0.003</w:t>
            </w:r>
          </w:p>
        </w:tc>
      </w:tr>
      <w:tr w14:paraId="09059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28D304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PEU→PBC</w:t>
            </w:r>
          </w:p>
        </w:tc>
        <w:tc>
          <w:tcPr>
            <w:tcW w:w="0" w:type="auto"/>
            <w:tcBorders>
              <w:top w:val="nil"/>
              <w:left w:val="nil"/>
              <w:bottom w:val="nil"/>
              <w:right w:val="nil"/>
            </w:tcBorders>
            <w:shd w:val="clear" w:color="auto" w:fill="FFFFFF"/>
            <w:noWrap/>
            <w:vAlign w:val="center"/>
          </w:tcPr>
          <w:p w14:paraId="53C6A07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0.367***</w:t>
            </w:r>
          </w:p>
        </w:tc>
        <w:tc>
          <w:tcPr>
            <w:tcW w:w="0" w:type="auto"/>
            <w:tcBorders>
              <w:top w:val="nil"/>
              <w:left w:val="nil"/>
              <w:bottom w:val="nil"/>
              <w:right w:val="nil"/>
            </w:tcBorders>
            <w:shd w:val="clear" w:color="auto" w:fill="FFFFFF"/>
            <w:noWrap/>
            <w:vAlign w:val="center"/>
          </w:tcPr>
          <w:p w14:paraId="5FE2FB6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0.052</w:t>
            </w:r>
          </w:p>
        </w:tc>
        <w:tc>
          <w:tcPr>
            <w:tcW w:w="0" w:type="auto"/>
            <w:tcBorders>
              <w:top w:val="nil"/>
              <w:left w:val="nil"/>
              <w:bottom w:val="nil"/>
              <w:right w:val="nil"/>
            </w:tcBorders>
            <w:shd w:val="clear" w:color="auto" w:fill="FFFFFF"/>
            <w:noWrap/>
            <w:vAlign w:val="center"/>
          </w:tcPr>
          <w:p w14:paraId="79AC014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7.058</w:t>
            </w:r>
          </w:p>
        </w:tc>
        <w:tc>
          <w:tcPr>
            <w:tcW w:w="0" w:type="auto"/>
            <w:tcBorders>
              <w:top w:val="nil"/>
              <w:left w:val="nil"/>
              <w:bottom w:val="nil"/>
              <w:right w:val="nil"/>
            </w:tcBorders>
            <w:shd w:val="clear" w:color="auto" w:fill="FFFFFF"/>
            <w:noWrap/>
            <w:vAlign w:val="center"/>
          </w:tcPr>
          <w:p w14:paraId="60F06C2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747FB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22956B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RP→AT</w:t>
            </w:r>
          </w:p>
        </w:tc>
        <w:tc>
          <w:tcPr>
            <w:tcW w:w="0" w:type="auto"/>
            <w:tcBorders>
              <w:top w:val="nil"/>
              <w:left w:val="nil"/>
              <w:bottom w:val="nil"/>
              <w:right w:val="nil"/>
            </w:tcBorders>
            <w:shd w:val="clear" w:color="auto" w:fill="FFFFFF"/>
            <w:noWrap/>
            <w:vAlign w:val="center"/>
          </w:tcPr>
          <w:p w14:paraId="5235225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0.428***</w:t>
            </w:r>
          </w:p>
        </w:tc>
        <w:tc>
          <w:tcPr>
            <w:tcW w:w="0" w:type="auto"/>
            <w:tcBorders>
              <w:top w:val="nil"/>
              <w:left w:val="nil"/>
              <w:bottom w:val="nil"/>
              <w:right w:val="nil"/>
            </w:tcBorders>
            <w:shd w:val="clear" w:color="auto" w:fill="FFFFFF"/>
            <w:noWrap/>
            <w:vAlign w:val="center"/>
          </w:tcPr>
          <w:p w14:paraId="661EA1F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0.049</w:t>
            </w:r>
          </w:p>
        </w:tc>
        <w:tc>
          <w:tcPr>
            <w:tcW w:w="0" w:type="auto"/>
            <w:tcBorders>
              <w:top w:val="nil"/>
              <w:left w:val="nil"/>
              <w:bottom w:val="nil"/>
              <w:right w:val="nil"/>
            </w:tcBorders>
            <w:shd w:val="clear" w:color="auto" w:fill="FFFFFF"/>
            <w:noWrap/>
            <w:vAlign w:val="center"/>
          </w:tcPr>
          <w:p w14:paraId="2F148A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8.735</w:t>
            </w:r>
          </w:p>
        </w:tc>
        <w:tc>
          <w:tcPr>
            <w:tcW w:w="0" w:type="auto"/>
            <w:tcBorders>
              <w:top w:val="nil"/>
              <w:left w:val="nil"/>
              <w:bottom w:val="nil"/>
              <w:right w:val="nil"/>
            </w:tcBorders>
            <w:shd w:val="clear" w:color="auto" w:fill="FFFFFF"/>
            <w:noWrap/>
            <w:vAlign w:val="center"/>
          </w:tcPr>
          <w:p w14:paraId="01F5784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35E84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auto"/>
            <w:noWrap/>
            <w:vAlign w:val="center"/>
          </w:tcPr>
          <w:p w14:paraId="3182D29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RP→BI</w:t>
            </w:r>
          </w:p>
        </w:tc>
        <w:tc>
          <w:tcPr>
            <w:tcW w:w="0" w:type="auto"/>
            <w:tcBorders>
              <w:top w:val="nil"/>
              <w:left w:val="nil"/>
              <w:bottom w:val="nil"/>
              <w:right w:val="nil"/>
            </w:tcBorders>
            <w:shd w:val="clear" w:color="auto" w:fill="auto"/>
            <w:noWrap/>
            <w:vAlign w:val="center"/>
          </w:tcPr>
          <w:p w14:paraId="35C6A23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0.087</w:t>
            </w:r>
          </w:p>
        </w:tc>
        <w:tc>
          <w:tcPr>
            <w:tcW w:w="0" w:type="auto"/>
            <w:tcBorders>
              <w:top w:val="nil"/>
              <w:left w:val="nil"/>
              <w:bottom w:val="nil"/>
              <w:right w:val="nil"/>
            </w:tcBorders>
            <w:shd w:val="clear" w:color="auto" w:fill="auto"/>
            <w:noWrap/>
            <w:vAlign w:val="center"/>
          </w:tcPr>
          <w:p w14:paraId="189A78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0.051</w:t>
            </w:r>
          </w:p>
        </w:tc>
        <w:tc>
          <w:tcPr>
            <w:tcW w:w="0" w:type="auto"/>
            <w:tcBorders>
              <w:top w:val="nil"/>
              <w:left w:val="nil"/>
              <w:bottom w:val="nil"/>
              <w:right w:val="nil"/>
            </w:tcBorders>
            <w:shd w:val="clear" w:color="auto" w:fill="auto"/>
            <w:noWrap/>
            <w:vAlign w:val="center"/>
          </w:tcPr>
          <w:p w14:paraId="6CAE4A3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1.706</w:t>
            </w:r>
          </w:p>
        </w:tc>
        <w:tc>
          <w:tcPr>
            <w:tcW w:w="0" w:type="auto"/>
            <w:tcBorders>
              <w:top w:val="nil"/>
              <w:left w:val="nil"/>
              <w:bottom w:val="nil"/>
              <w:right w:val="nil"/>
            </w:tcBorders>
            <w:shd w:val="clear" w:color="auto" w:fill="auto"/>
            <w:noWrap/>
            <w:vAlign w:val="center"/>
          </w:tcPr>
          <w:p w14:paraId="505999F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0.088</w:t>
            </w:r>
          </w:p>
        </w:tc>
      </w:tr>
      <w:tr w14:paraId="17962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411A58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PCE→RP</w:t>
            </w:r>
          </w:p>
        </w:tc>
        <w:tc>
          <w:tcPr>
            <w:tcW w:w="0" w:type="auto"/>
            <w:tcBorders>
              <w:top w:val="nil"/>
              <w:left w:val="nil"/>
              <w:bottom w:val="nil"/>
              <w:right w:val="nil"/>
            </w:tcBorders>
            <w:shd w:val="clear" w:color="auto" w:fill="FFFFFF"/>
            <w:noWrap/>
            <w:vAlign w:val="center"/>
          </w:tcPr>
          <w:p w14:paraId="1924475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0.512***</w:t>
            </w:r>
          </w:p>
        </w:tc>
        <w:tc>
          <w:tcPr>
            <w:tcW w:w="0" w:type="auto"/>
            <w:tcBorders>
              <w:top w:val="nil"/>
              <w:left w:val="nil"/>
              <w:bottom w:val="nil"/>
              <w:right w:val="nil"/>
            </w:tcBorders>
            <w:shd w:val="clear" w:color="auto" w:fill="FFFFFF"/>
            <w:noWrap/>
            <w:vAlign w:val="center"/>
          </w:tcPr>
          <w:p w14:paraId="2461260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0.047</w:t>
            </w:r>
          </w:p>
        </w:tc>
        <w:tc>
          <w:tcPr>
            <w:tcW w:w="0" w:type="auto"/>
            <w:tcBorders>
              <w:top w:val="nil"/>
              <w:left w:val="nil"/>
              <w:bottom w:val="nil"/>
              <w:right w:val="nil"/>
            </w:tcBorders>
            <w:shd w:val="clear" w:color="auto" w:fill="FFFFFF"/>
            <w:noWrap/>
            <w:vAlign w:val="center"/>
          </w:tcPr>
          <w:p w14:paraId="52BA8E6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10.894</w:t>
            </w:r>
          </w:p>
        </w:tc>
        <w:tc>
          <w:tcPr>
            <w:tcW w:w="0" w:type="auto"/>
            <w:tcBorders>
              <w:top w:val="nil"/>
              <w:left w:val="nil"/>
              <w:bottom w:val="nil"/>
              <w:right w:val="nil"/>
            </w:tcBorders>
            <w:shd w:val="clear" w:color="auto" w:fill="FFFFFF"/>
            <w:noWrap/>
            <w:vAlign w:val="center"/>
          </w:tcPr>
          <w:p w14:paraId="78559EB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57235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auto"/>
            <w:noWrap/>
            <w:vAlign w:val="center"/>
          </w:tcPr>
          <w:p w14:paraId="21D12A3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PEU→BI</w:t>
            </w:r>
          </w:p>
        </w:tc>
        <w:tc>
          <w:tcPr>
            <w:tcW w:w="0" w:type="auto"/>
            <w:tcBorders>
              <w:top w:val="nil"/>
              <w:left w:val="nil"/>
              <w:bottom w:val="single" w:color="000000" w:sz="4" w:space="0"/>
              <w:right w:val="nil"/>
            </w:tcBorders>
            <w:shd w:val="clear" w:color="auto" w:fill="auto"/>
            <w:noWrap/>
            <w:vAlign w:val="center"/>
          </w:tcPr>
          <w:p w14:paraId="5483D74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0.068</w:t>
            </w:r>
          </w:p>
        </w:tc>
        <w:tc>
          <w:tcPr>
            <w:tcW w:w="0" w:type="auto"/>
            <w:tcBorders>
              <w:top w:val="nil"/>
              <w:left w:val="nil"/>
              <w:bottom w:val="single" w:color="000000" w:sz="4" w:space="0"/>
              <w:right w:val="nil"/>
            </w:tcBorders>
            <w:shd w:val="clear" w:color="auto" w:fill="auto"/>
            <w:noWrap/>
            <w:vAlign w:val="center"/>
          </w:tcPr>
          <w:p w14:paraId="18B7BE2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0.045</w:t>
            </w:r>
          </w:p>
        </w:tc>
        <w:tc>
          <w:tcPr>
            <w:tcW w:w="0" w:type="auto"/>
            <w:tcBorders>
              <w:top w:val="nil"/>
              <w:left w:val="nil"/>
              <w:bottom w:val="single" w:color="000000" w:sz="4" w:space="0"/>
              <w:right w:val="nil"/>
            </w:tcBorders>
            <w:shd w:val="clear" w:color="auto" w:fill="auto"/>
            <w:noWrap/>
            <w:vAlign w:val="center"/>
          </w:tcPr>
          <w:p w14:paraId="33E0C6F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1.511</w:t>
            </w:r>
          </w:p>
        </w:tc>
        <w:tc>
          <w:tcPr>
            <w:tcW w:w="0" w:type="auto"/>
            <w:tcBorders>
              <w:top w:val="nil"/>
              <w:left w:val="nil"/>
              <w:bottom w:val="single" w:color="000000" w:sz="4" w:space="0"/>
              <w:right w:val="nil"/>
            </w:tcBorders>
            <w:shd w:val="clear" w:color="auto" w:fill="auto"/>
            <w:noWrap/>
            <w:vAlign w:val="center"/>
          </w:tcPr>
          <w:p w14:paraId="164992D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0.131</w:t>
            </w:r>
          </w:p>
        </w:tc>
      </w:tr>
    </w:tbl>
    <w:p w14:paraId="31A0A1E4">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ind w:firstLine="480" w:firstLineChars="200"/>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注：***p&lt;0.001,**p&lt;0.01,*p&lt;0.05</w:t>
      </w:r>
    </w:p>
    <w:p w14:paraId="7B5D4652">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ind w:firstLine="480" w:firstLineChars="200"/>
        <w:jc w:val="both"/>
        <w:textAlignment w:val="auto"/>
        <w:rPr>
          <w:rFonts w:hint="default" w:ascii="Times New Roman" w:hAnsi="Times New Roman" w:eastAsia="宋体" w:cs="Times New Roman"/>
          <w:lang w:eastAsia="zh-CN"/>
        </w:rPr>
      </w:pPr>
    </w:p>
    <w:p>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间接效应通过Bootstrap进行检验</w:t>
      </w:r>
      <w:r>
        <w:rPr>
          <w:rFonts w:hint="default" w:ascii="Times New Roman" w:hAnsi="Times New Roman" w:eastAsia="宋体" w:cs="Times New Roman"/>
          <w:lang w:eastAsia="zh-CN"/>
          <w:vertAlign w:val="superscript"/>
        </w:rPr>
        <w:t xml:space="preserve">[33]</w:t>
      </w:r>
      <w:r>
        <w:rPr>
          <w:rFonts w:hint="default" w:ascii="Times New Roman" w:hAnsi="Times New Roman" w:eastAsia="宋体" w:cs="Times New Roman"/>
          <w:lang w:eastAsia="zh-CN"/>
        </w:rPr>
        <w:t xml:space="preserve">。主要间接路径包括：（1）风险感知→安全态度→行为意图，安全态度的间接效应=0.122（95%CI:0.078-0.171），p&amp;lt;0.001；（2）感知易用性→知觉行为控制→行为意图，知觉行为控制间接效应=0.087（95%CI:0.054-0.126），p&amp;lt;0.001；（3）过往冲突经历→风险感知→安全态度→行为意图，风险感知间接效应=0.062（95%CI:0.039-0.091），p&amp;lt;0.001。这些间接效应揭示了变量间的作用机制。</w:t>
      </w:r>
    </w:p>
    <w:p w14:paraId="1AD9489D">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（3）多群组分析</w:t>
      </w:r>
    </w:p>
    <w:p>
      <w:pPr>
        <w:pStyle w:val="4"/>
        <w:numPr>
          <w:ilvl w:val="0"/>
          <w:numId w:val="0"/>
        </w:num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eastAsia="zh-CN"/>
        </w:rPr>
        <w:t xml:space="preserve">多群组分析用于检验模型在行人和骑行者两个群体间的差异</w:t>
      </w:r>
      <w:r>
        <w:rPr>
          <w:rFonts w:hint="default" w:ascii="Times New Roman" w:hAnsi="Times New Roman" w:eastAsia="宋体" w:cs="Times New Roman"/>
          <w:lang w:eastAsia="zh-CN"/>
          <w:vertAlign w:val="superscript"/>
        </w:rPr>
        <w:t xml:space="preserve">[34]</w:t>
      </w:r>
      <w:r>
        <w:rPr>
          <w:rFonts w:hint="default" w:ascii="Times New Roman" w:hAnsi="Times New Roman" w:eastAsia="宋体" w:cs="Times New Roman"/>
          <w:lang w:eastAsia="zh-CN"/>
        </w:rPr>
        <w:t xml:space="preserve">，具体的组间差异分析呈现出颇具价值的研究发现（数据如表11所示）。</w:t>
      </w:r>
    </w:p>
    <w:p w14:paraId="0F772B65">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在行人组中，安全态度对行为意图的影响（β=0.378）显著高于骑行者组（β=0.196），经差异检验，z=3.42，p&lt;0.001。这一结果表明，行人的行为决策更多地受到安全认知的驱动。风险感知对安全态度的影响在行人组（β=0.516）同样强于骑行者组（β=0.342），z=2.87，p&lt;0.01，此现象说明行人对风险更为敏感，更易于将风险转化为安全意识。</w:t>
      </w:r>
    </w:p>
    <w:p w14:paraId="36552F9B">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与之相反，骑行者组在</w:t>
      </w:r>
      <w:r>
        <w:rPr>
          <w:rFonts w:hint="eastAsia" w:ascii="Times New Roman" w:hAnsi="Times New Roman" w:cs="Times New Roman"/>
          <w:lang w:val="en-US" w:eastAsia="zh-CN"/>
        </w:rPr>
        <w:t>一</w:t>
      </w:r>
      <w:r>
        <w:rPr>
          <w:rFonts w:hint="default" w:ascii="Times New Roman" w:hAnsi="Times New Roman" w:eastAsia="宋体" w:cs="Times New Roman"/>
          <w:lang w:eastAsia="zh-CN"/>
        </w:rPr>
        <w:t>些路径关系上表现出更强的效应。知觉行为控制对行为意图的影响在骑行者组（β=0.324）强于行人组（β=0.158），z=2.96，p&lt;0.01，这反映出骑行者更依赖自我效能感。感知易用性对知觉行为控制的影响在骑行者组（β=0.456）亦强于行人组（β=0.287），z=2.54，p&lt;0.05，表明基础设施条件对骑行者的控制感影响更为显著。感知有用性对行为意图的直接影响在两组间无显著差异（行人β=0.134，骑行者β=0.149，z=0.31，p&gt;0.05）。</w:t>
      </w:r>
    </w:p>
    <w:p w14:paraId="67D79EDB">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模型在两组中的解释</w:t>
      </w:r>
      <w:r>
        <w:rPr>
          <w:rFonts w:hint="eastAsia" w:ascii="Times New Roman" w:hAnsi="Times New Roman" w:eastAsia="宋体" w:cs="Times New Roman"/>
          <w:lang w:eastAsia="zh-CN"/>
        </w:rPr>
        <w:t>效力</w:t>
      </w:r>
      <w:r>
        <w:rPr>
          <w:rFonts w:hint="default" w:ascii="Times New Roman" w:hAnsi="Times New Roman" w:eastAsia="宋体" w:cs="Times New Roman"/>
          <w:lang w:eastAsia="zh-CN"/>
        </w:rPr>
        <w:t>也存在差异。</w:t>
      </w:r>
      <w:r>
        <w:rPr>
          <w:rFonts w:hint="eastAsia" w:ascii="Times New Roman" w:hAnsi="Times New Roman" w:eastAsia="宋体" w:cs="Times New Roman"/>
          <w:lang w:eastAsia="zh-CN"/>
        </w:rPr>
        <w:t>行人组模型对行为意图方差的解释比例为52.</w:t>
      </w:r>
      <w:r>
        <w:rPr>
          <w:rFonts w:hint="default" w:ascii="Times New Roman" w:hAnsi="Times New Roman" w:eastAsia="宋体" w:cs="Times New Roman"/>
          <w:lang w:eastAsia="zh-CN"/>
        </w:rPr>
        <w:t>3%，而骑行者组为44.8%。</w:t>
      </w:r>
      <w:r>
        <w:rPr>
          <w:rFonts w:hint="eastAsia" w:ascii="Times New Roman" w:hAnsi="Times New Roman" w:eastAsia="宋体" w:cs="Times New Roman"/>
          <w:lang w:eastAsia="zh-CN"/>
        </w:rPr>
        <w:t>这种差异可能意味着未纳入模型的其他因素（如时间压力、载物需求等）对骑行者的影响更大。对于其他内生变量，行人组中风险感知对安全态度方差的解释比例为26.</w:t>
      </w:r>
      <w:r>
        <w:rPr>
          <w:rFonts w:hint="default" w:ascii="Times New Roman" w:hAnsi="Times New Roman" w:eastAsia="宋体" w:cs="Times New Roman"/>
          <w:lang w:eastAsia="zh-CN"/>
        </w:rPr>
        <w:t>6%，而在骑行者组仅为11.</w:t>
      </w:r>
      <w:r>
        <w:rPr>
          <w:rFonts w:hint="eastAsia" w:ascii="Times New Roman" w:hAnsi="Times New Roman" w:eastAsia="宋体" w:cs="Times New Roman"/>
          <w:lang w:eastAsia="zh-CN"/>
        </w:rPr>
        <w:t>7%；骑行者组中感知易用性对知觉行为控制方差的解释比例为20.</w:t>
      </w:r>
      <w:r>
        <w:rPr>
          <w:rFonts w:hint="default" w:ascii="Times New Roman" w:hAnsi="Times New Roman" w:eastAsia="宋体" w:cs="Times New Roman"/>
          <w:lang w:eastAsia="zh-CN"/>
        </w:rPr>
        <w:t>8%，在行人组仅为8.2%。</w:t>
      </w:r>
    </w:p>
    <w:p w14:paraId="4810BB4D">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表11 多群组分析路径系数比较</w:t>
      </w:r>
    </w:p>
    <w:tbl>
      <w:tblPr>
        <w:tblStyle w:val="8"/>
        <w:tblW w:w="801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62"/>
        <w:gridCol w:w="1489"/>
        <w:gridCol w:w="995"/>
        <w:gridCol w:w="1995"/>
        <w:gridCol w:w="852"/>
        <w:gridCol w:w="1123"/>
      </w:tblGrid>
      <w:tr w14:paraId="0CC7E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rPr>
        <w:tc>
          <w:tcPr>
            <w:tcW w:w="1562" w:type="dxa"/>
            <w:tcBorders>
              <w:top w:val="single" w:color="000000" w:sz="4" w:space="0"/>
              <w:left w:val="nil"/>
              <w:bottom w:val="single" w:color="000000" w:sz="12" w:space="0"/>
              <w:right w:val="nil"/>
            </w:tcBorders>
            <w:shd w:val="clear" w:color="auto" w:fill="FFFFFF"/>
            <w:noWrap/>
            <w:vAlign w:val="center"/>
          </w:tcPr>
          <w:p w14:paraId="0C6B6CB8">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路径</w:t>
            </w:r>
          </w:p>
        </w:tc>
        <w:tc>
          <w:tcPr>
            <w:tcW w:w="1489" w:type="dxa"/>
            <w:tcBorders>
              <w:top w:val="single" w:color="000000" w:sz="4" w:space="0"/>
              <w:left w:val="nil"/>
              <w:bottom w:val="single" w:color="000000" w:sz="12" w:space="0"/>
              <w:right w:val="nil"/>
            </w:tcBorders>
            <w:shd w:val="clear" w:color="auto" w:fill="FFFFFF"/>
            <w:noWrap/>
            <w:vAlign w:val="center"/>
          </w:tcPr>
          <w:p w14:paraId="0100D79A">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行人组β</w:t>
            </w:r>
          </w:p>
        </w:tc>
        <w:tc>
          <w:tcPr>
            <w:tcW w:w="995" w:type="dxa"/>
            <w:tcBorders>
              <w:top w:val="single" w:color="000000" w:sz="4" w:space="0"/>
              <w:left w:val="nil"/>
              <w:bottom w:val="single" w:color="000000" w:sz="12" w:space="0"/>
              <w:right w:val="nil"/>
            </w:tcBorders>
            <w:shd w:val="clear" w:color="auto" w:fill="FFFFFF"/>
            <w:noWrap/>
            <w:vAlign w:val="center"/>
          </w:tcPr>
          <w:p w14:paraId="00C1EEBB">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S.E.</w:t>
            </w:r>
          </w:p>
        </w:tc>
        <w:tc>
          <w:tcPr>
            <w:tcW w:w="1995" w:type="dxa"/>
            <w:tcBorders>
              <w:top w:val="single" w:color="000000" w:sz="4" w:space="0"/>
              <w:left w:val="nil"/>
              <w:bottom w:val="single" w:color="000000" w:sz="12" w:space="0"/>
              <w:right w:val="nil"/>
            </w:tcBorders>
            <w:shd w:val="clear" w:color="auto" w:fill="FFFFFF"/>
            <w:noWrap/>
            <w:vAlign w:val="center"/>
          </w:tcPr>
          <w:p w14:paraId="0D80680C">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骑行者组β</w:t>
            </w:r>
          </w:p>
        </w:tc>
        <w:tc>
          <w:tcPr>
            <w:tcW w:w="852" w:type="dxa"/>
            <w:tcBorders>
              <w:top w:val="single" w:color="000000" w:sz="4" w:space="0"/>
              <w:left w:val="nil"/>
              <w:bottom w:val="single" w:color="000000" w:sz="12" w:space="0"/>
              <w:right w:val="nil"/>
            </w:tcBorders>
            <w:shd w:val="clear" w:color="auto" w:fill="FFFFFF"/>
            <w:noWrap/>
            <w:vAlign w:val="center"/>
          </w:tcPr>
          <w:p w14:paraId="2C080DBC">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S.E.</w:t>
            </w:r>
          </w:p>
        </w:tc>
        <w:tc>
          <w:tcPr>
            <w:tcW w:w="1123" w:type="dxa"/>
            <w:tcBorders>
              <w:top w:val="single" w:color="000000" w:sz="4" w:space="0"/>
              <w:left w:val="nil"/>
              <w:bottom w:val="single" w:color="000000" w:sz="12" w:space="0"/>
              <w:right w:val="nil"/>
            </w:tcBorders>
            <w:shd w:val="clear" w:color="auto" w:fill="FFFFFF"/>
            <w:noWrap/>
            <w:vAlign w:val="center"/>
          </w:tcPr>
          <w:p w14:paraId="4C9B299C">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z值</w:t>
            </w:r>
          </w:p>
        </w:tc>
      </w:tr>
      <w:tr w14:paraId="32EAD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single" w:color="000000" w:sz="12" w:space="0"/>
              <w:left w:val="nil"/>
              <w:bottom w:val="nil"/>
              <w:right w:val="nil"/>
            </w:tcBorders>
            <w:shd w:val="clear" w:color="auto" w:fill="FFFFFF"/>
            <w:noWrap/>
            <w:vAlign w:val="center"/>
          </w:tcPr>
          <w:p w14:paraId="3A47F6C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AT→BI</w:t>
            </w:r>
          </w:p>
        </w:tc>
        <w:tc>
          <w:tcPr>
            <w:tcW w:w="1489" w:type="dxa"/>
            <w:tcBorders>
              <w:top w:val="single" w:color="000000" w:sz="12" w:space="0"/>
              <w:left w:val="nil"/>
              <w:bottom w:val="nil"/>
              <w:right w:val="nil"/>
            </w:tcBorders>
            <w:shd w:val="clear" w:color="auto" w:fill="FFFFFF"/>
            <w:noWrap/>
            <w:vAlign w:val="center"/>
          </w:tcPr>
          <w:p w14:paraId="11D12E0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0.378***</w:t>
            </w:r>
          </w:p>
        </w:tc>
        <w:tc>
          <w:tcPr>
            <w:tcW w:w="995" w:type="dxa"/>
            <w:tcBorders>
              <w:top w:val="single" w:color="000000" w:sz="12" w:space="0"/>
              <w:left w:val="nil"/>
              <w:bottom w:val="nil"/>
              <w:right w:val="nil"/>
            </w:tcBorders>
            <w:shd w:val="clear" w:color="auto" w:fill="FFFFFF"/>
            <w:noWrap/>
            <w:vAlign w:val="center"/>
          </w:tcPr>
          <w:p w14:paraId="329442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0.058</w:t>
            </w:r>
          </w:p>
        </w:tc>
        <w:tc>
          <w:tcPr>
            <w:tcW w:w="1995" w:type="dxa"/>
            <w:tcBorders>
              <w:top w:val="single" w:color="000000" w:sz="12" w:space="0"/>
              <w:left w:val="nil"/>
              <w:bottom w:val="nil"/>
              <w:right w:val="nil"/>
            </w:tcBorders>
            <w:shd w:val="clear" w:color="auto" w:fill="FFFFFF"/>
            <w:noWrap/>
            <w:vAlign w:val="center"/>
          </w:tcPr>
          <w:p w14:paraId="33C873B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0.196***</w:t>
            </w:r>
          </w:p>
        </w:tc>
        <w:tc>
          <w:tcPr>
            <w:tcW w:w="852" w:type="dxa"/>
            <w:tcBorders>
              <w:top w:val="single" w:color="000000" w:sz="12" w:space="0"/>
              <w:left w:val="nil"/>
              <w:bottom w:val="nil"/>
              <w:right w:val="nil"/>
            </w:tcBorders>
            <w:shd w:val="clear" w:color="auto" w:fill="FFFFFF"/>
            <w:noWrap/>
            <w:vAlign w:val="center"/>
          </w:tcPr>
          <w:p w14:paraId="3B111D3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0.052</w:t>
            </w:r>
          </w:p>
        </w:tc>
        <w:tc>
          <w:tcPr>
            <w:tcW w:w="1123" w:type="dxa"/>
            <w:tcBorders>
              <w:top w:val="single" w:color="000000" w:sz="12" w:space="0"/>
              <w:left w:val="nil"/>
              <w:bottom w:val="nil"/>
              <w:right w:val="nil"/>
            </w:tcBorders>
            <w:shd w:val="clear" w:color="auto" w:fill="FFFFFF"/>
            <w:noWrap/>
            <w:vAlign w:val="center"/>
          </w:tcPr>
          <w:p w14:paraId="2208FC0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3.42***</w:t>
            </w:r>
          </w:p>
        </w:tc>
      </w:tr>
      <w:tr w14:paraId="36416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2F7CD1A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SN→BI</w:t>
            </w:r>
          </w:p>
        </w:tc>
        <w:tc>
          <w:tcPr>
            <w:tcW w:w="1489" w:type="dxa"/>
            <w:tcBorders>
              <w:top w:val="nil"/>
              <w:left w:val="nil"/>
              <w:bottom w:val="nil"/>
              <w:right w:val="nil"/>
            </w:tcBorders>
            <w:shd w:val="clear" w:color="auto" w:fill="FFFFFF"/>
            <w:noWrap/>
            <w:vAlign w:val="center"/>
          </w:tcPr>
          <w:p w14:paraId="6D54473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0.167**</w:t>
            </w:r>
          </w:p>
        </w:tc>
        <w:tc>
          <w:tcPr>
            <w:tcW w:w="995" w:type="dxa"/>
            <w:tcBorders>
              <w:top w:val="nil"/>
              <w:left w:val="nil"/>
              <w:bottom w:val="nil"/>
              <w:right w:val="nil"/>
            </w:tcBorders>
            <w:shd w:val="clear" w:color="auto" w:fill="FFFFFF"/>
            <w:noWrap/>
            <w:vAlign w:val="center"/>
          </w:tcPr>
          <w:p w14:paraId="6620F5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0.054</w:t>
            </w:r>
          </w:p>
        </w:tc>
        <w:tc>
          <w:tcPr>
            <w:tcW w:w="1995" w:type="dxa"/>
            <w:tcBorders>
              <w:top w:val="nil"/>
              <w:left w:val="nil"/>
              <w:bottom w:val="nil"/>
              <w:right w:val="nil"/>
            </w:tcBorders>
            <w:shd w:val="clear" w:color="auto" w:fill="FFFFFF"/>
            <w:noWrap/>
            <w:vAlign w:val="center"/>
          </w:tcPr>
          <w:p w14:paraId="6281C73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0.145**</w:t>
            </w:r>
          </w:p>
        </w:tc>
        <w:tc>
          <w:tcPr>
            <w:tcW w:w="852" w:type="dxa"/>
            <w:tcBorders>
              <w:top w:val="nil"/>
              <w:left w:val="nil"/>
              <w:bottom w:val="nil"/>
              <w:right w:val="nil"/>
            </w:tcBorders>
            <w:shd w:val="clear" w:color="auto" w:fill="FFFFFF"/>
            <w:noWrap/>
            <w:vAlign w:val="center"/>
          </w:tcPr>
          <w:p w14:paraId="16AA043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0.051</w:t>
            </w:r>
          </w:p>
        </w:tc>
        <w:tc>
          <w:tcPr>
            <w:tcW w:w="1123" w:type="dxa"/>
            <w:tcBorders>
              <w:top w:val="nil"/>
              <w:left w:val="nil"/>
              <w:bottom w:val="nil"/>
              <w:right w:val="nil"/>
            </w:tcBorders>
            <w:shd w:val="clear" w:color="auto" w:fill="FFFFFF"/>
            <w:noWrap/>
            <w:vAlign w:val="center"/>
          </w:tcPr>
          <w:p w14:paraId="34E41D8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0.42</w:t>
            </w:r>
          </w:p>
        </w:tc>
      </w:tr>
      <w:tr w14:paraId="6AA53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725926E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PBC→BI</w:t>
            </w:r>
          </w:p>
        </w:tc>
        <w:tc>
          <w:tcPr>
            <w:tcW w:w="1489" w:type="dxa"/>
            <w:tcBorders>
              <w:top w:val="nil"/>
              <w:left w:val="nil"/>
              <w:bottom w:val="nil"/>
              <w:right w:val="nil"/>
            </w:tcBorders>
            <w:shd w:val="clear" w:color="auto" w:fill="FFFFFF"/>
            <w:noWrap/>
            <w:vAlign w:val="center"/>
          </w:tcPr>
          <w:p w14:paraId="182EEC9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0.158**</w:t>
            </w:r>
          </w:p>
        </w:tc>
        <w:tc>
          <w:tcPr>
            <w:tcW w:w="995" w:type="dxa"/>
            <w:tcBorders>
              <w:top w:val="nil"/>
              <w:left w:val="nil"/>
              <w:bottom w:val="nil"/>
              <w:right w:val="nil"/>
            </w:tcBorders>
            <w:shd w:val="clear" w:color="auto" w:fill="FFFFFF"/>
            <w:noWrap/>
            <w:vAlign w:val="center"/>
          </w:tcPr>
          <w:p w14:paraId="7AF71B8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0.056</w:t>
            </w:r>
          </w:p>
        </w:tc>
        <w:tc>
          <w:tcPr>
            <w:tcW w:w="1995" w:type="dxa"/>
            <w:tcBorders>
              <w:top w:val="nil"/>
              <w:left w:val="nil"/>
              <w:bottom w:val="nil"/>
              <w:right w:val="nil"/>
            </w:tcBorders>
            <w:shd w:val="clear" w:color="auto" w:fill="FFFFFF"/>
            <w:noWrap/>
            <w:vAlign w:val="center"/>
          </w:tcPr>
          <w:p w14:paraId="2356256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0.324***</w:t>
            </w:r>
          </w:p>
        </w:tc>
        <w:tc>
          <w:tcPr>
            <w:tcW w:w="852" w:type="dxa"/>
            <w:tcBorders>
              <w:top w:val="nil"/>
              <w:left w:val="nil"/>
              <w:bottom w:val="nil"/>
              <w:right w:val="nil"/>
            </w:tcBorders>
            <w:shd w:val="clear" w:color="auto" w:fill="FFFFFF"/>
            <w:noWrap/>
            <w:vAlign w:val="center"/>
          </w:tcPr>
          <w:p w14:paraId="7D1DF4A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0.053</w:t>
            </w:r>
          </w:p>
        </w:tc>
        <w:tc>
          <w:tcPr>
            <w:tcW w:w="1123" w:type="dxa"/>
            <w:tcBorders>
              <w:top w:val="nil"/>
              <w:left w:val="nil"/>
              <w:bottom w:val="nil"/>
              <w:right w:val="nil"/>
            </w:tcBorders>
            <w:shd w:val="clear" w:color="auto" w:fill="FFFFFF"/>
            <w:noWrap/>
            <w:vAlign w:val="center"/>
          </w:tcPr>
          <w:p w14:paraId="382A1F7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-2.96**</w:t>
            </w:r>
          </w:p>
        </w:tc>
      </w:tr>
    </w:tbl>
    <w:p w14:paraId="1874468F">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表11 多群组分析路径系数比较（续）</w:t>
      </w:r>
    </w:p>
    <w:tbl>
      <w:tblPr>
        <w:tblStyle w:val="8"/>
        <w:tblW w:w="801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62"/>
        <w:gridCol w:w="1489"/>
        <w:gridCol w:w="995"/>
        <w:gridCol w:w="1995"/>
        <w:gridCol w:w="852"/>
        <w:gridCol w:w="1123"/>
      </w:tblGrid>
      <w:tr w14:paraId="03A38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3CA2FC5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PU→BI</w:t>
            </w:r>
          </w:p>
        </w:tc>
        <w:tc>
          <w:tcPr>
            <w:tcW w:w="1489" w:type="dxa"/>
            <w:tcBorders>
              <w:top w:val="nil"/>
              <w:left w:val="nil"/>
              <w:bottom w:val="nil"/>
              <w:right w:val="nil"/>
            </w:tcBorders>
            <w:shd w:val="clear" w:color="auto" w:fill="FFFFFF"/>
            <w:noWrap/>
            <w:vAlign w:val="center"/>
          </w:tcPr>
          <w:p w14:paraId="267CA2C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0.134*</w:t>
            </w:r>
          </w:p>
        </w:tc>
        <w:tc>
          <w:tcPr>
            <w:tcW w:w="995" w:type="dxa"/>
            <w:tcBorders>
              <w:top w:val="nil"/>
              <w:left w:val="nil"/>
              <w:bottom w:val="nil"/>
              <w:right w:val="nil"/>
            </w:tcBorders>
            <w:shd w:val="clear" w:color="auto" w:fill="FFFFFF"/>
            <w:noWrap/>
            <w:vAlign w:val="center"/>
          </w:tcPr>
          <w:p w14:paraId="5E7D871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0.061</w:t>
            </w:r>
          </w:p>
        </w:tc>
        <w:tc>
          <w:tcPr>
            <w:tcW w:w="1995" w:type="dxa"/>
            <w:tcBorders>
              <w:top w:val="nil"/>
              <w:left w:val="nil"/>
              <w:bottom w:val="nil"/>
              <w:right w:val="nil"/>
            </w:tcBorders>
            <w:shd w:val="clear" w:color="auto" w:fill="FFFFFF"/>
            <w:noWrap/>
            <w:vAlign w:val="center"/>
          </w:tcPr>
          <w:p w14:paraId="7A93BE3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0.149**</w:t>
            </w:r>
          </w:p>
        </w:tc>
        <w:tc>
          <w:tcPr>
            <w:tcW w:w="852" w:type="dxa"/>
            <w:tcBorders>
              <w:top w:val="nil"/>
              <w:left w:val="nil"/>
              <w:bottom w:val="nil"/>
              <w:right w:val="nil"/>
            </w:tcBorders>
            <w:shd w:val="clear" w:color="auto" w:fill="FFFFFF"/>
            <w:noWrap/>
            <w:vAlign w:val="center"/>
          </w:tcPr>
          <w:p w14:paraId="1A759EE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0.057</w:t>
            </w:r>
          </w:p>
        </w:tc>
        <w:tc>
          <w:tcPr>
            <w:tcW w:w="1123" w:type="dxa"/>
            <w:tcBorders>
              <w:top w:val="nil"/>
              <w:left w:val="nil"/>
              <w:bottom w:val="nil"/>
              <w:right w:val="nil"/>
            </w:tcBorders>
            <w:shd w:val="clear" w:color="auto" w:fill="FFFFFF"/>
            <w:noWrap/>
            <w:vAlign w:val="center"/>
          </w:tcPr>
          <w:p w14:paraId="3DAE638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-0.31</w:t>
            </w:r>
          </w:p>
        </w:tc>
      </w:tr>
      <w:tr w14:paraId="46939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2870749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RP→SA</w:t>
            </w:r>
          </w:p>
        </w:tc>
        <w:tc>
          <w:tcPr>
            <w:tcW w:w="1489" w:type="dxa"/>
            <w:tcBorders>
              <w:top w:val="nil"/>
              <w:left w:val="nil"/>
              <w:bottom w:val="nil"/>
              <w:right w:val="nil"/>
            </w:tcBorders>
            <w:shd w:val="clear" w:color="auto" w:fill="FFFFFF"/>
            <w:noWrap/>
            <w:vAlign w:val="center"/>
          </w:tcPr>
          <w:p w14:paraId="60FD821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0.516***</w:t>
            </w:r>
          </w:p>
        </w:tc>
        <w:tc>
          <w:tcPr>
            <w:tcW w:w="995" w:type="dxa"/>
            <w:tcBorders>
              <w:top w:val="nil"/>
              <w:left w:val="nil"/>
              <w:bottom w:val="nil"/>
              <w:right w:val="nil"/>
            </w:tcBorders>
            <w:shd w:val="clear" w:color="auto" w:fill="FFFFFF"/>
            <w:noWrap/>
            <w:vAlign w:val="center"/>
          </w:tcPr>
          <w:p w14:paraId="4E55D73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0.062</w:t>
            </w:r>
          </w:p>
        </w:tc>
        <w:tc>
          <w:tcPr>
            <w:tcW w:w="1995" w:type="dxa"/>
            <w:tcBorders>
              <w:top w:val="nil"/>
              <w:left w:val="nil"/>
              <w:bottom w:val="nil"/>
              <w:right w:val="nil"/>
            </w:tcBorders>
            <w:shd w:val="clear" w:color="auto" w:fill="FFFFFF"/>
            <w:noWrap/>
            <w:vAlign w:val="center"/>
          </w:tcPr>
          <w:p w14:paraId="3863AE7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0.342***</w:t>
            </w:r>
          </w:p>
        </w:tc>
        <w:tc>
          <w:tcPr>
            <w:tcW w:w="852" w:type="dxa"/>
            <w:tcBorders>
              <w:top w:val="nil"/>
              <w:left w:val="nil"/>
              <w:bottom w:val="nil"/>
              <w:right w:val="nil"/>
            </w:tcBorders>
            <w:shd w:val="clear" w:color="auto" w:fill="FFFFFF"/>
            <w:noWrap/>
            <w:vAlign w:val="center"/>
          </w:tcPr>
          <w:p w14:paraId="7EFC4B5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0.059</w:t>
            </w:r>
          </w:p>
        </w:tc>
        <w:tc>
          <w:tcPr>
            <w:tcW w:w="1123" w:type="dxa"/>
            <w:tcBorders>
              <w:top w:val="nil"/>
              <w:left w:val="nil"/>
              <w:bottom w:val="nil"/>
              <w:right w:val="nil"/>
            </w:tcBorders>
            <w:shd w:val="clear" w:color="auto" w:fill="FFFFFF"/>
            <w:noWrap/>
            <w:vAlign w:val="center"/>
          </w:tcPr>
          <w:p w14:paraId="226B60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2.87**</w:t>
            </w:r>
          </w:p>
        </w:tc>
      </w:tr>
      <w:tr w14:paraId="177BD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1EF1C3E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PEU→PBC</w:t>
            </w:r>
          </w:p>
        </w:tc>
        <w:tc>
          <w:tcPr>
            <w:tcW w:w="1489" w:type="dxa"/>
            <w:tcBorders>
              <w:top w:val="nil"/>
              <w:left w:val="nil"/>
              <w:bottom w:val="nil"/>
              <w:right w:val="nil"/>
            </w:tcBorders>
            <w:shd w:val="clear" w:color="auto" w:fill="FFFFFF"/>
            <w:noWrap/>
            <w:vAlign w:val="center"/>
          </w:tcPr>
          <w:p w14:paraId="1B75FC2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0.287***</w:t>
            </w:r>
          </w:p>
        </w:tc>
        <w:tc>
          <w:tcPr>
            <w:tcW w:w="995" w:type="dxa"/>
            <w:tcBorders>
              <w:top w:val="nil"/>
              <w:left w:val="nil"/>
              <w:bottom w:val="nil"/>
              <w:right w:val="nil"/>
            </w:tcBorders>
            <w:shd w:val="clear" w:color="auto" w:fill="FFFFFF"/>
            <w:noWrap/>
            <w:vAlign w:val="center"/>
          </w:tcPr>
          <w:p w14:paraId="2AE0CB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0.068</w:t>
            </w:r>
          </w:p>
        </w:tc>
        <w:tc>
          <w:tcPr>
            <w:tcW w:w="1995" w:type="dxa"/>
            <w:tcBorders>
              <w:top w:val="nil"/>
              <w:left w:val="nil"/>
              <w:bottom w:val="nil"/>
              <w:right w:val="nil"/>
            </w:tcBorders>
            <w:shd w:val="clear" w:color="auto" w:fill="FFFFFF"/>
            <w:noWrap/>
            <w:vAlign w:val="center"/>
          </w:tcPr>
          <w:p w14:paraId="5C3E1E5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0.456***</w:t>
            </w:r>
          </w:p>
        </w:tc>
        <w:tc>
          <w:tcPr>
            <w:tcW w:w="852" w:type="dxa"/>
            <w:tcBorders>
              <w:top w:val="nil"/>
              <w:left w:val="nil"/>
              <w:bottom w:val="nil"/>
              <w:right w:val="nil"/>
            </w:tcBorders>
            <w:shd w:val="clear" w:color="auto" w:fill="FFFFFF"/>
            <w:noWrap/>
            <w:vAlign w:val="center"/>
          </w:tcPr>
          <w:p w14:paraId="32DF067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0.064</w:t>
            </w:r>
          </w:p>
        </w:tc>
        <w:tc>
          <w:tcPr>
            <w:tcW w:w="1123" w:type="dxa"/>
            <w:tcBorders>
              <w:top w:val="nil"/>
              <w:left w:val="nil"/>
              <w:bottom w:val="nil"/>
              <w:right w:val="nil"/>
            </w:tcBorders>
            <w:shd w:val="clear" w:color="auto" w:fill="FFFFFF"/>
            <w:noWrap/>
            <w:vAlign w:val="center"/>
          </w:tcPr>
          <w:p w14:paraId="4BCC548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-2.54*</w:t>
            </w:r>
          </w:p>
        </w:tc>
      </w:tr>
      <w:tr w14:paraId="16E84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0E52DFC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PCE→RP</w:t>
            </w:r>
          </w:p>
        </w:tc>
        <w:tc>
          <w:tcPr>
            <w:tcW w:w="1489" w:type="dxa"/>
            <w:tcBorders>
              <w:top w:val="nil"/>
              <w:left w:val="nil"/>
              <w:bottom w:val="nil"/>
              <w:right w:val="nil"/>
            </w:tcBorders>
            <w:shd w:val="clear" w:color="auto" w:fill="FFFFFF"/>
            <w:noWrap/>
            <w:vAlign w:val="center"/>
          </w:tcPr>
          <w:p w14:paraId="4489B3D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0.487***</w:t>
            </w:r>
          </w:p>
        </w:tc>
        <w:tc>
          <w:tcPr>
            <w:tcW w:w="995" w:type="dxa"/>
            <w:tcBorders>
              <w:top w:val="nil"/>
              <w:left w:val="nil"/>
              <w:bottom w:val="nil"/>
              <w:right w:val="nil"/>
            </w:tcBorders>
            <w:shd w:val="clear" w:color="auto" w:fill="FFFFFF"/>
            <w:noWrap/>
            <w:vAlign w:val="center"/>
          </w:tcPr>
          <w:p w14:paraId="53558F0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0.059</w:t>
            </w:r>
          </w:p>
        </w:tc>
        <w:tc>
          <w:tcPr>
            <w:tcW w:w="1995" w:type="dxa"/>
            <w:tcBorders>
              <w:top w:val="nil"/>
              <w:left w:val="nil"/>
              <w:bottom w:val="nil"/>
              <w:right w:val="nil"/>
            </w:tcBorders>
            <w:shd w:val="clear" w:color="auto" w:fill="FFFFFF"/>
            <w:noWrap/>
            <w:vAlign w:val="center"/>
          </w:tcPr>
          <w:p w14:paraId="13CA93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0.538***</w:t>
            </w:r>
          </w:p>
        </w:tc>
        <w:tc>
          <w:tcPr>
            <w:tcW w:w="852" w:type="dxa"/>
            <w:tcBorders>
              <w:top w:val="nil"/>
              <w:left w:val="nil"/>
              <w:bottom w:val="nil"/>
              <w:right w:val="nil"/>
            </w:tcBorders>
            <w:shd w:val="clear" w:color="auto" w:fill="FFFFFF"/>
            <w:noWrap/>
            <w:vAlign w:val="center"/>
          </w:tcPr>
          <w:p w14:paraId="5580AE4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0.056</w:t>
            </w:r>
          </w:p>
        </w:tc>
        <w:tc>
          <w:tcPr>
            <w:tcW w:w="1123" w:type="dxa"/>
            <w:tcBorders>
              <w:top w:val="nil"/>
              <w:left w:val="nil"/>
              <w:bottom w:val="nil"/>
              <w:right w:val="nil"/>
            </w:tcBorders>
            <w:shd w:val="clear" w:color="auto" w:fill="FFFFFF"/>
            <w:noWrap/>
            <w:vAlign w:val="center"/>
          </w:tcPr>
          <w:p w14:paraId="5807FFF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-0.89</w:t>
            </w:r>
          </w:p>
        </w:tc>
      </w:tr>
      <w:tr w14:paraId="44437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1623EDB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RP→BI</w:t>
            </w:r>
          </w:p>
        </w:tc>
        <w:tc>
          <w:tcPr>
            <w:tcW w:w="1489" w:type="dxa"/>
            <w:tcBorders>
              <w:top w:val="nil"/>
              <w:left w:val="nil"/>
              <w:bottom w:val="nil"/>
              <w:right w:val="nil"/>
            </w:tcBorders>
            <w:shd w:val="clear" w:color="auto" w:fill="FFFFFF"/>
            <w:noWrap/>
            <w:vAlign w:val="center"/>
          </w:tcPr>
          <w:p w14:paraId="3214D9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0.094</w:t>
            </w:r>
          </w:p>
        </w:tc>
        <w:tc>
          <w:tcPr>
            <w:tcW w:w="995" w:type="dxa"/>
            <w:tcBorders>
              <w:top w:val="nil"/>
              <w:left w:val="nil"/>
              <w:bottom w:val="nil"/>
              <w:right w:val="nil"/>
            </w:tcBorders>
            <w:shd w:val="clear" w:color="auto" w:fill="FFFFFF"/>
            <w:noWrap/>
            <w:vAlign w:val="center"/>
          </w:tcPr>
          <w:p w14:paraId="7FC4749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0.064</w:t>
            </w:r>
          </w:p>
        </w:tc>
        <w:tc>
          <w:tcPr>
            <w:tcW w:w="1995" w:type="dxa"/>
            <w:tcBorders>
              <w:top w:val="nil"/>
              <w:left w:val="nil"/>
              <w:bottom w:val="nil"/>
              <w:right w:val="nil"/>
            </w:tcBorders>
            <w:shd w:val="clear" w:color="auto" w:fill="FFFFFF"/>
            <w:noWrap/>
            <w:vAlign w:val="center"/>
          </w:tcPr>
          <w:p w14:paraId="41F949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0.081</w:t>
            </w:r>
          </w:p>
        </w:tc>
        <w:tc>
          <w:tcPr>
            <w:tcW w:w="852" w:type="dxa"/>
            <w:tcBorders>
              <w:top w:val="nil"/>
              <w:left w:val="nil"/>
              <w:bottom w:val="nil"/>
              <w:right w:val="nil"/>
            </w:tcBorders>
            <w:shd w:val="clear" w:color="auto" w:fill="FFFFFF"/>
            <w:noWrap/>
            <w:vAlign w:val="center"/>
          </w:tcPr>
          <w:p w14:paraId="2692A01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w:t>
            </w:r>
          </w:p>
        </w:tc>
        <w:tc>
          <w:tcPr>
            <w:tcW w:w="1123" w:type="dxa"/>
            <w:tcBorders>
              <w:top w:val="nil"/>
              <w:left w:val="nil"/>
              <w:bottom w:val="nil"/>
              <w:right w:val="nil"/>
            </w:tcBorders>
            <w:shd w:val="clear" w:color="auto" w:fill="FFFFFF"/>
            <w:noWrap/>
            <w:vAlign w:val="center"/>
          </w:tcPr>
          <w:p w14:paraId="22F02E1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0.21</w:t>
            </w:r>
          </w:p>
        </w:tc>
      </w:tr>
      <w:tr w14:paraId="392C3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4EC628B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PEU→BI</w:t>
            </w:r>
          </w:p>
        </w:tc>
        <w:tc>
          <w:tcPr>
            <w:tcW w:w="1489" w:type="dxa"/>
            <w:tcBorders>
              <w:top w:val="nil"/>
              <w:left w:val="nil"/>
              <w:bottom w:val="nil"/>
              <w:right w:val="nil"/>
            </w:tcBorders>
            <w:shd w:val="clear" w:color="auto" w:fill="FFFFFF"/>
            <w:noWrap/>
            <w:vAlign w:val="center"/>
          </w:tcPr>
          <w:p w14:paraId="6EC8759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0.072</w:t>
            </w:r>
          </w:p>
        </w:tc>
        <w:tc>
          <w:tcPr>
            <w:tcW w:w="995" w:type="dxa"/>
            <w:tcBorders>
              <w:top w:val="nil"/>
              <w:left w:val="nil"/>
              <w:bottom w:val="nil"/>
              <w:right w:val="nil"/>
            </w:tcBorders>
            <w:shd w:val="clear" w:color="auto" w:fill="FFFFFF"/>
            <w:noWrap/>
            <w:vAlign w:val="center"/>
          </w:tcPr>
          <w:p w14:paraId="5415643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0.058</w:t>
            </w:r>
          </w:p>
        </w:tc>
        <w:tc>
          <w:tcPr>
            <w:tcW w:w="1995" w:type="dxa"/>
            <w:tcBorders>
              <w:top w:val="nil"/>
              <w:left w:val="nil"/>
              <w:bottom w:val="nil"/>
              <w:right w:val="nil"/>
            </w:tcBorders>
            <w:shd w:val="clear" w:color="auto" w:fill="FFFFFF"/>
            <w:noWrap/>
            <w:vAlign w:val="center"/>
          </w:tcPr>
          <w:p w14:paraId="3B87F95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0.065</w:t>
            </w:r>
          </w:p>
        </w:tc>
        <w:tc>
          <w:tcPr>
            <w:tcW w:w="852" w:type="dxa"/>
            <w:tcBorders>
              <w:top w:val="nil"/>
              <w:left w:val="nil"/>
              <w:bottom w:val="nil"/>
              <w:right w:val="nil"/>
            </w:tcBorders>
            <w:shd w:val="clear" w:color="auto" w:fill="FFFFFF"/>
            <w:noWrap/>
            <w:vAlign w:val="center"/>
          </w:tcPr>
          <w:p w14:paraId="6E8EA96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0.055</w:t>
            </w:r>
          </w:p>
        </w:tc>
        <w:tc>
          <w:tcPr>
            <w:tcW w:w="1123" w:type="dxa"/>
            <w:tcBorders>
              <w:top w:val="nil"/>
              <w:left w:val="nil"/>
              <w:bottom w:val="nil"/>
              <w:right w:val="nil"/>
            </w:tcBorders>
            <w:shd w:val="clear" w:color="auto" w:fill="FFFFFF"/>
            <w:noWrap/>
            <w:vAlign w:val="center"/>
          </w:tcPr>
          <w:p w14:paraId="7368F06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0.12</w:t>
            </w:r>
          </w:p>
        </w:tc>
      </w:tr>
      <w:tr w14:paraId="6B8B5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single" w:color="000000" w:sz="4" w:space="0"/>
              <w:right w:val="nil"/>
            </w:tcBorders>
            <w:shd w:val="clear" w:color="auto" w:fill="FFFFFF"/>
            <w:noWrap/>
            <w:vAlign w:val="center"/>
          </w:tcPr>
          <w:p w14:paraId="50110F3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模型R²(BI)</w:t>
            </w:r>
          </w:p>
        </w:tc>
        <w:tc>
          <w:tcPr>
            <w:tcW w:w="1489" w:type="dxa"/>
            <w:tcBorders>
              <w:top w:val="nil"/>
              <w:left w:val="nil"/>
              <w:bottom w:val="single" w:color="000000" w:sz="4" w:space="0"/>
              <w:right w:val="nil"/>
            </w:tcBorders>
            <w:shd w:val="clear" w:color="auto" w:fill="FFFFFF"/>
            <w:noWrap/>
            <w:vAlign w:val="center"/>
          </w:tcPr>
          <w:p w14:paraId="31CDE58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0.523</w:t>
            </w:r>
          </w:p>
        </w:tc>
        <w:tc>
          <w:tcPr>
            <w:tcW w:w="995" w:type="dxa"/>
            <w:tcBorders>
              <w:top w:val="nil"/>
              <w:left w:val="nil"/>
              <w:bottom w:val="single" w:color="000000" w:sz="4" w:space="0"/>
              <w:right w:val="nil"/>
            </w:tcBorders>
            <w:shd w:val="clear" w:color="auto" w:fill="FFFFFF"/>
            <w:noWrap/>
            <w:vAlign w:val="center"/>
          </w:tcPr>
          <w:p w14:paraId="07B9096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1995" w:type="dxa"/>
            <w:tcBorders>
              <w:top w:val="nil"/>
              <w:left w:val="nil"/>
              <w:bottom w:val="single" w:color="000000" w:sz="4" w:space="0"/>
              <w:right w:val="nil"/>
            </w:tcBorders>
            <w:shd w:val="clear" w:color="auto" w:fill="FFFFFF"/>
            <w:noWrap/>
            <w:vAlign w:val="center"/>
          </w:tcPr>
          <w:p w14:paraId="7AF2037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0.448</w:t>
            </w:r>
          </w:p>
        </w:tc>
        <w:tc>
          <w:tcPr>
            <w:tcW w:w="852" w:type="dxa"/>
            <w:tcBorders>
              <w:top w:val="nil"/>
              <w:left w:val="nil"/>
              <w:bottom w:val="single" w:color="000000" w:sz="4" w:space="0"/>
              <w:right w:val="nil"/>
            </w:tcBorders>
            <w:shd w:val="clear" w:color="auto" w:fill="FFFFFF"/>
            <w:noWrap/>
            <w:vAlign w:val="center"/>
          </w:tcPr>
          <w:p w14:paraId="50A0827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1123" w:type="dxa"/>
            <w:tcBorders>
              <w:top w:val="nil"/>
              <w:left w:val="nil"/>
              <w:bottom w:val="single" w:color="000000" w:sz="4" w:space="0"/>
              <w:right w:val="nil"/>
            </w:tcBorders>
            <w:shd w:val="clear" w:color="auto" w:fill="FFFFFF"/>
            <w:noWrap/>
            <w:vAlign w:val="center"/>
          </w:tcPr>
          <w:p w14:paraId="7E9122E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r>
    </w:tbl>
    <w:p w14:paraId="48976831">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jc w:val="both"/>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eastAsia="zh-CN"/>
        </w:rPr>
        <w:t>注：***p&lt;0.001,**p&lt;0.01,*p&lt;0.05</w:t>
      </w:r>
    </w:p>
    <w:p w14:paraId="45BF6C3E">
      <w:pPr>
        <w:pStyle w:val="4"/>
        <w:numPr>
          <w:ilvl w:val="0"/>
          <w:numId w:val="0"/>
        </w:numPr>
        <w:ind w:firstLine="480" w:firstLineChars="200"/>
        <w:jc w:val="both"/>
        <w:rPr>
          <w:rFonts w:hint="default" w:ascii="Times New Roman" w:hAnsi="Times New Roman" w:cs="Times New Roman"/>
          <w:lang w:eastAsia="zh-CN"/>
        </w:rPr>
      </w:pPr>
    </w:p>
    <w:p w14:paraId="03394A32">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4.2.4共享道路冲突主体</w:t>
      </w:r>
      <w:r>
        <w:rPr>
          <w:rFonts w:hint="default" w:ascii="黑体" w:hAnsi="黑体" w:eastAsia="黑体"/>
          <w:b w:val="0"/>
          <w:bCs w:val="0"/>
          <w:sz w:val="30"/>
          <w:szCs w:val="30"/>
          <w:lang w:val="en-US" w:eastAsia="zh-CN"/>
        </w:rPr>
        <w:t>行为</w:t>
      </w:r>
      <w:r>
        <w:rPr>
          <w:rFonts w:hint="eastAsia" w:ascii="黑体" w:hAnsi="黑体" w:eastAsia="黑体"/>
          <w:b w:val="0"/>
          <w:bCs w:val="0"/>
          <w:sz w:val="30"/>
          <w:szCs w:val="30"/>
          <w:lang w:val="en-US" w:eastAsia="zh-CN"/>
        </w:rPr>
        <w:t>机理</w:t>
      </w:r>
      <w:r>
        <w:rPr>
          <w:rFonts w:hint="default" w:ascii="黑体" w:hAnsi="黑体" w:eastAsia="黑体"/>
          <w:b w:val="0"/>
          <w:bCs w:val="0"/>
          <w:sz w:val="30"/>
          <w:szCs w:val="30"/>
          <w:lang w:val="en-US" w:eastAsia="zh-CN"/>
        </w:rPr>
        <w:t>构建</w:t>
      </w:r>
    </w:p>
    <w:p w14:paraId="457C15F9">
      <w:pPr>
        <w:pStyle w:val="4"/>
        <w:ind w:left="0" w:leftChars="0" w:firstLine="0" w:firstLineChars="0"/>
        <w:rPr>
          <w:rFonts w:hint="default" w:ascii="黑体" w:hAnsi="黑体" w:eastAsia="黑体" w:cs="黑体"/>
          <w:lang w:val="en-US" w:eastAsia="zh-CN"/>
        </w:rPr>
      </w:pPr>
      <w:r>
        <w:rPr>
          <w:rFonts w:hint="eastAsia" w:ascii="黑体" w:hAnsi="黑体" w:eastAsia="黑体" w:cs="黑体"/>
          <w:lang w:val="en-US" w:eastAsia="zh-CN"/>
        </w:rPr>
        <w:t>（1）</w:t>
      </w:r>
      <w:r>
        <w:rPr>
          <w:rFonts w:hint="default" w:ascii="黑体" w:hAnsi="黑体" w:eastAsia="黑体" w:cs="黑体"/>
          <w:lang w:val="en-US" w:eastAsia="zh-CN"/>
        </w:rPr>
        <w:t>决定性因素提取</w:t>
      </w:r>
    </w:p>
    <w:p w14:paraId="6B2A253C">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决定性因素的提取基于三个标准：（1）路径系数的大小和显著性；（2）总效应（直接效应+间接效应）的贡献；（3）理论和实践的重要性。</w:t>
      </w:r>
    </w:p>
    <w:p w14:paraId="586A1183">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对于行人群体，通过分析发现影响其行为意图的决定性因素按重要性排序为</w:t>
      </w:r>
      <w:r>
        <w:rPr>
          <w:rFonts w:hint="eastAsia" w:ascii="Times New Roman" w:hAnsi="Times New Roman" w:cs="Times New Roman"/>
          <w:lang w:eastAsia="zh-CN"/>
        </w:rPr>
        <w:t>（</w:t>
      </w:r>
      <w:r>
        <w:rPr>
          <w:rFonts w:hint="eastAsia" w:ascii="Times New Roman" w:hAnsi="Times New Roman" w:cs="Times New Roman"/>
          <w:lang w:val="en-US" w:eastAsia="zh-CN"/>
        </w:rPr>
        <w:t>如表12所示</w:t>
      </w:r>
      <w:r>
        <w:rPr>
          <w:rFonts w:hint="eastAsia" w:ascii="Times New Roman" w:hAnsi="Times New Roman" w:cs="Times New Roman"/>
          <w:lang w:eastAsia="zh-CN"/>
        </w:rPr>
        <w:t>）</w:t>
      </w:r>
      <w:r>
        <w:rPr>
          <w:rFonts w:hint="default" w:ascii="Times New Roman" w:hAnsi="Times New Roman" w:eastAsia="宋体" w:cs="Times New Roman"/>
          <w:lang w:eastAsia="zh-CN"/>
        </w:rPr>
        <w:t>：安全态度（总效应</w:t>
      </w:r>
      <w:r>
        <w:rPr>
          <w:rFonts w:hint="eastAsia" w:ascii="Times New Roman" w:hAnsi="Times New Roman" w:cs="Times New Roman"/>
          <w:lang w:val="en-US" w:eastAsia="zh-CN"/>
        </w:rPr>
        <w:t>为</w:t>
      </w:r>
      <w:r>
        <w:rPr>
          <w:rFonts w:hint="default" w:ascii="Times New Roman" w:hAnsi="Times New Roman" w:eastAsia="宋体" w:cs="Times New Roman"/>
          <w:lang w:eastAsia="zh-CN"/>
        </w:rPr>
        <w:t>0.378）、风险感知（总效应</w:t>
      </w:r>
      <w:r>
        <w:rPr>
          <w:rFonts w:hint="eastAsia" w:ascii="Times New Roman" w:hAnsi="Times New Roman" w:cs="Times New Roman"/>
          <w:lang w:val="en-US" w:eastAsia="zh-CN"/>
        </w:rPr>
        <w:t>为</w:t>
      </w:r>
      <w:r>
        <w:rPr>
          <w:rFonts w:hint="default" w:ascii="Times New Roman" w:hAnsi="Times New Roman" w:eastAsia="宋体" w:cs="Times New Roman"/>
          <w:lang w:eastAsia="zh-CN"/>
        </w:rPr>
        <w:t>0.289，主要通过安全态度的间接效应）、主观规范（总效应</w:t>
      </w:r>
      <w:r>
        <w:rPr>
          <w:rFonts w:hint="eastAsia" w:ascii="Times New Roman" w:hAnsi="Times New Roman" w:cs="Times New Roman"/>
          <w:lang w:val="en-US" w:eastAsia="zh-CN"/>
        </w:rPr>
        <w:t>为</w:t>
      </w:r>
      <w:r>
        <w:rPr>
          <w:rFonts w:hint="default" w:ascii="Times New Roman" w:hAnsi="Times New Roman" w:eastAsia="宋体" w:cs="Times New Roman"/>
          <w:lang w:eastAsia="zh-CN"/>
        </w:rPr>
        <w:t>0.167）、知觉行为控制（总效应</w:t>
      </w:r>
      <w:r>
        <w:rPr>
          <w:rFonts w:hint="eastAsia" w:ascii="Times New Roman" w:hAnsi="Times New Roman" w:cs="Times New Roman"/>
          <w:lang w:val="en-US" w:eastAsia="zh-CN"/>
        </w:rPr>
        <w:t>为</w:t>
      </w:r>
      <w:r>
        <w:rPr>
          <w:rFonts w:hint="default" w:ascii="Times New Roman" w:hAnsi="Times New Roman" w:eastAsia="宋体" w:cs="Times New Roman"/>
          <w:lang w:eastAsia="zh-CN"/>
        </w:rPr>
        <w:t>0.158）。其中，风险感知虽然对行为意图没有显著的直接效应，但通过影响安全态度产生了强烈的间接作用（间接效应</w:t>
      </w:r>
      <w:r>
        <w:rPr>
          <w:rFonts w:hint="eastAsia" w:ascii="Times New Roman" w:hAnsi="Times New Roman" w:cs="Times New Roman"/>
          <w:lang w:val="en-US" w:eastAsia="zh-CN"/>
        </w:rPr>
        <w:t>为</w:t>
      </w:r>
      <w:r>
        <w:rPr>
          <w:rFonts w:hint="default" w:ascii="Times New Roman" w:hAnsi="Times New Roman" w:eastAsia="宋体" w:cs="Times New Roman"/>
          <w:lang w:eastAsia="zh-CN"/>
        </w:rPr>
        <w:t>0.195，p&lt;0.001）。</w:t>
      </w:r>
    </w:p>
    <w:p w14:paraId="09D5742C">
      <w:pPr>
        <w:pStyle w:val="4"/>
        <w:numPr>
          <w:ilvl w:val="0"/>
          <w:numId w:val="0"/>
        </w:numPr>
        <w:ind w:firstLine="480" w:firstLineChars="200"/>
        <w:jc w:val="both"/>
        <w:rPr>
          <w:rFonts w:hint="default" w:ascii="Times New Roman" w:hAnsi="Times New Roman" w:eastAsia="宋体" w:cs="Times New Roman"/>
          <w:lang w:eastAsia="zh-CN"/>
        </w:rPr>
      </w:pPr>
    </w:p>
    <w:p w14:paraId="7D49AC04">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表12 行人群体决定性因素重要性排序</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98"/>
        <w:gridCol w:w="1180"/>
        <w:gridCol w:w="1180"/>
        <w:gridCol w:w="1180"/>
        <w:gridCol w:w="939"/>
        <w:gridCol w:w="1821"/>
      </w:tblGrid>
      <w:tr w14:paraId="5A97A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jc w:val="center"/>
        </w:trPr>
        <w:tc>
          <w:tcPr>
            <w:tcW w:w="0" w:type="auto"/>
            <w:tcBorders>
              <w:top w:val="single" w:color="000000" w:sz="4" w:space="0"/>
              <w:left w:val="nil"/>
              <w:bottom w:val="single" w:color="000000" w:sz="12" w:space="0"/>
              <w:right w:val="nil"/>
            </w:tcBorders>
            <w:shd w:val="clear" w:color="auto" w:fill="FFFFFF"/>
            <w:noWrap/>
            <w:vAlign w:val="center"/>
          </w:tcPr>
          <w:p w14:paraId="2C43BC0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排序</w:t>
            </w:r>
          </w:p>
        </w:tc>
        <w:tc>
          <w:tcPr>
            <w:tcW w:w="0" w:type="auto"/>
            <w:tcBorders>
              <w:top w:val="single" w:color="000000" w:sz="4" w:space="0"/>
              <w:left w:val="nil"/>
              <w:bottom w:val="single" w:color="000000" w:sz="12" w:space="0"/>
              <w:right w:val="nil"/>
            </w:tcBorders>
            <w:shd w:val="clear" w:color="auto" w:fill="FFFFFF"/>
            <w:noWrap/>
            <w:vAlign w:val="center"/>
          </w:tcPr>
          <w:p w14:paraId="5746EF8A">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影响因素</w:t>
            </w:r>
          </w:p>
        </w:tc>
        <w:tc>
          <w:tcPr>
            <w:tcW w:w="0" w:type="auto"/>
            <w:tcBorders>
              <w:top w:val="single" w:color="000000" w:sz="4" w:space="0"/>
              <w:left w:val="nil"/>
              <w:bottom w:val="single" w:color="000000" w:sz="12" w:space="0"/>
              <w:right w:val="nil"/>
            </w:tcBorders>
            <w:shd w:val="clear" w:color="auto" w:fill="FFFFFF"/>
            <w:noWrap/>
            <w:vAlign w:val="center"/>
          </w:tcPr>
          <w:p w14:paraId="2AA7825D">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直接效应</w:t>
            </w:r>
          </w:p>
        </w:tc>
        <w:tc>
          <w:tcPr>
            <w:tcW w:w="0" w:type="auto"/>
            <w:tcBorders>
              <w:top w:val="single" w:color="000000" w:sz="4" w:space="0"/>
              <w:left w:val="nil"/>
              <w:bottom w:val="single" w:color="000000" w:sz="12" w:space="0"/>
              <w:right w:val="nil"/>
            </w:tcBorders>
            <w:shd w:val="clear" w:color="auto" w:fill="FFFFFF"/>
            <w:noWrap/>
            <w:vAlign w:val="center"/>
          </w:tcPr>
          <w:p w14:paraId="46114170">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间接效应</w:t>
            </w:r>
          </w:p>
        </w:tc>
        <w:tc>
          <w:tcPr>
            <w:tcW w:w="0" w:type="auto"/>
            <w:tcBorders>
              <w:top w:val="single" w:color="000000" w:sz="4" w:space="0"/>
              <w:left w:val="nil"/>
              <w:bottom w:val="single" w:color="000000" w:sz="12" w:space="0"/>
              <w:right w:val="nil"/>
            </w:tcBorders>
            <w:shd w:val="clear" w:color="auto" w:fill="FFFFFF"/>
            <w:noWrap/>
            <w:vAlign w:val="center"/>
          </w:tcPr>
          <w:p w14:paraId="0D69F8A7">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总效应</w:t>
            </w:r>
          </w:p>
        </w:tc>
        <w:tc>
          <w:tcPr>
            <w:tcW w:w="0" w:type="auto"/>
            <w:tcBorders>
              <w:top w:val="single" w:color="000000" w:sz="4" w:space="0"/>
              <w:left w:val="nil"/>
              <w:bottom w:val="single" w:color="000000" w:sz="12" w:space="0"/>
              <w:right w:val="nil"/>
            </w:tcBorders>
            <w:shd w:val="clear" w:color="auto" w:fill="FFFFFF"/>
            <w:noWrap/>
            <w:vAlign w:val="center"/>
          </w:tcPr>
          <w:p w14:paraId="4103CBD6">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相对贡献率(%)</w:t>
            </w:r>
          </w:p>
        </w:tc>
      </w:tr>
      <w:tr w14:paraId="32128D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8" w:hRule="atLeast"/>
          <w:jc w:val="center"/>
        </w:trPr>
        <w:tc>
          <w:tcPr>
            <w:tcW w:w="0" w:type="auto"/>
            <w:tcBorders>
              <w:top w:val="single" w:color="000000" w:sz="12" w:space="0"/>
              <w:left w:val="nil"/>
              <w:bottom w:val="nil"/>
              <w:right w:val="nil"/>
            </w:tcBorders>
            <w:shd w:val="clear" w:color="auto" w:fill="FFFFFF"/>
            <w:noWrap/>
            <w:vAlign w:val="center"/>
          </w:tcPr>
          <w:p w14:paraId="1979362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single" w:color="000000" w:sz="12" w:space="0"/>
              <w:left w:val="nil"/>
              <w:bottom w:val="nil"/>
              <w:right w:val="nil"/>
            </w:tcBorders>
            <w:shd w:val="clear" w:color="auto" w:fill="FFFFFF"/>
            <w:noWrap/>
            <w:vAlign w:val="center"/>
          </w:tcPr>
          <w:p w14:paraId="55A50A7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w:t>
            </w:r>
          </w:p>
        </w:tc>
        <w:tc>
          <w:tcPr>
            <w:tcW w:w="0" w:type="auto"/>
            <w:tcBorders>
              <w:top w:val="single" w:color="000000" w:sz="12" w:space="0"/>
              <w:left w:val="nil"/>
              <w:bottom w:val="nil"/>
              <w:right w:val="nil"/>
            </w:tcBorders>
            <w:shd w:val="clear" w:color="auto" w:fill="FFFFFF"/>
            <w:noWrap/>
            <w:vAlign w:val="center"/>
          </w:tcPr>
          <w:p w14:paraId="5C3288F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0.378***</w:t>
            </w:r>
          </w:p>
        </w:tc>
        <w:tc>
          <w:tcPr>
            <w:tcW w:w="0" w:type="auto"/>
            <w:tcBorders>
              <w:top w:val="single" w:color="000000" w:sz="12" w:space="0"/>
              <w:left w:val="nil"/>
              <w:bottom w:val="nil"/>
              <w:right w:val="nil"/>
            </w:tcBorders>
            <w:shd w:val="clear" w:color="auto" w:fill="FFFFFF"/>
            <w:noWrap/>
            <w:vAlign w:val="center"/>
          </w:tcPr>
          <w:p w14:paraId="13C6853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0" w:type="auto"/>
            <w:tcBorders>
              <w:top w:val="single" w:color="000000" w:sz="12" w:space="0"/>
              <w:left w:val="nil"/>
              <w:bottom w:val="nil"/>
              <w:right w:val="nil"/>
            </w:tcBorders>
            <w:shd w:val="clear" w:color="auto" w:fill="FFFFFF"/>
            <w:noWrap/>
            <w:vAlign w:val="center"/>
          </w:tcPr>
          <w:p w14:paraId="01D556C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0.378</w:t>
            </w:r>
          </w:p>
        </w:tc>
        <w:tc>
          <w:tcPr>
            <w:tcW w:w="0" w:type="auto"/>
            <w:tcBorders>
              <w:top w:val="single" w:color="000000" w:sz="12" w:space="0"/>
              <w:left w:val="nil"/>
              <w:bottom w:val="nil"/>
              <w:right w:val="nil"/>
            </w:tcBorders>
            <w:shd w:val="clear" w:color="auto" w:fill="FFFFFF"/>
            <w:noWrap/>
            <w:vAlign w:val="center"/>
          </w:tcPr>
          <w:p w14:paraId="788ED1D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31.2</w:t>
            </w:r>
          </w:p>
        </w:tc>
      </w:tr>
      <w:tr w14:paraId="77853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7FD93F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w:t>
            </w:r>
          </w:p>
        </w:tc>
        <w:tc>
          <w:tcPr>
            <w:tcW w:w="0" w:type="auto"/>
            <w:tcBorders>
              <w:top w:val="nil"/>
              <w:left w:val="nil"/>
              <w:bottom w:val="nil"/>
              <w:right w:val="nil"/>
            </w:tcBorders>
            <w:shd w:val="clear" w:color="auto" w:fill="FFFFFF"/>
            <w:noWrap/>
            <w:vAlign w:val="center"/>
          </w:tcPr>
          <w:p w14:paraId="7420559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w:t>
            </w:r>
          </w:p>
        </w:tc>
        <w:tc>
          <w:tcPr>
            <w:tcW w:w="0" w:type="auto"/>
            <w:tcBorders>
              <w:top w:val="nil"/>
              <w:left w:val="nil"/>
              <w:bottom w:val="nil"/>
              <w:right w:val="nil"/>
            </w:tcBorders>
            <w:shd w:val="clear" w:color="auto" w:fill="FFFFFF"/>
            <w:noWrap/>
            <w:vAlign w:val="center"/>
          </w:tcPr>
          <w:p w14:paraId="7F27510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0.094(ns)</w:t>
            </w:r>
          </w:p>
        </w:tc>
        <w:tc>
          <w:tcPr>
            <w:tcW w:w="0" w:type="auto"/>
            <w:tcBorders>
              <w:top w:val="nil"/>
              <w:left w:val="nil"/>
              <w:bottom w:val="nil"/>
              <w:right w:val="nil"/>
            </w:tcBorders>
            <w:shd w:val="clear" w:color="auto" w:fill="FFFFFF"/>
            <w:noWrap/>
            <w:vAlign w:val="center"/>
          </w:tcPr>
          <w:p w14:paraId="2F7D98F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0.195***</w:t>
            </w:r>
          </w:p>
        </w:tc>
        <w:tc>
          <w:tcPr>
            <w:tcW w:w="0" w:type="auto"/>
            <w:tcBorders>
              <w:top w:val="nil"/>
              <w:left w:val="nil"/>
              <w:bottom w:val="nil"/>
              <w:right w:val="nil"/>
            </w:tcBorders>
            <w:shd w:val="clear" w:color="auto" w:fill="FFFFFF"/>
            <w:noWrap/>
            <w:vAlign w:val="center"/>
          </w:tcPr>
          <w:p w14:paraId="388278F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0.289</w:t>
            </w:r>
          </w:p>
        </w:tc>
        <w:tc>
          <w:tcPr>
            <w:tcW w:w="0" w:type="auto"/>
            <w:tcBorders>
              <w:top w:val="nil"/>
              <w:left w:val="nil"/>
              <w:bottom w:val="nil"/>
              <w:right w:val="nil"/>
            </w:tcBorders>
            <w:shd w:val="clear" w:color="auto" w:fill="FFFFFF"/>
            <w:noWrap/>
            <w:vAlign w:val="center"/>
          </w:tcPr>
          <w:p w14:paraId="62D2C3D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18.6</w:t>
            </w:r>
          </w:p>
        </w:tc>
      </w:tr>
      <w:tr w14:paraId="35736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21DFCE3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w:t>
            </w:r>
          </w:p>
        </w:tc>
        <w:tc>
          <w:tcPr>
            <w:tcW w:w="0" w:type="auto"/>
            <w:tcBorders>
              <w:top w:val="nil"/>
              <w:left w:val="nil"/>
              <w:bottom w:val="nil"/>
              <w:right w:val="nil"/>
            </w:tcBorders>
            <w:shd w:val="clear" w:color="auto" w:fill="FFFFFF"/>
            <w:noWrap/>
            <w:vAlign w:val="center"/>
          </w:tcPr>
          <w:p w14:paraId="7525622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w:t>
            </w:r>
          </w:p>
        </w:tc>
        <w:tc>
          <w:tcPr>
            <w:tcW w:w="0" w:type="auto"/>
            <w:tcBorders>
              <w:top w:val="nil"/>
              <w:left w:val="nil"/>
              <w:bottom w:val="nil"/>
              <w:right w:val="nil"/>
            </w:tcBorders>
            <w:shd w:val="clear" w:color="auto" w:fill="FFFFFF"/>
            <w:noWrap/>
            <w:vAlign w:val="center"/>
          </w:tcPr>
          <w:p w14:paraId="441E666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0.167**</w:t>
            </w:r>
          </w:p>
        </w:tc>
        <w:tc>
          <w:tcPr>
            <w:tcW w:w="0" w:type="auto"/>
            <w:tcBorders>
              <w:top w:val="nil"/>
              <w:left w:val="nil"/>
              <w:bottom w:val="nil"/>
              <w:right w:val="nil"/>
            </w:tcBorders>
            <w:shd w:val="clear" w:color="auto" w:fill="FFFFFF"/>
            <w:noWrap/>
            <w:vAlign w:val="center"/>
          </w:tcPr>
          <w:p w14:paraId="5951C8A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3B442B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0.167</w:t>
            </w:r>
          </w:p>
        </w:tc>
        <w:tc>
          <w:tcPr>
            <w:tcW w:w="0" w:type="auto"/>
            <w:tcBorders>
              <w:top w:val="nil"/>
              <w:left w:val="nil"/>
              <w:bottom w:val="nil"/>
              <w:right w:val="nil"/>
            </w:tcBorders>
            <w:shd w:val="clear" w:color="auto" w:fill="FFFFFF"/>
            <w:noWrap/>
            <w:vAlign w:val="center"/>
          </w:tcPr>
          <w:p w14:paraId="62225F4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12.4</w:t>
            </w:r>
          </w:p>
        </w:tc>
      </w:tr>
      <w:tr w14:paraId="3394D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256B94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w:t>
            </w:r>
          </w:p>
        </w:tc>
        <w:tc>
          <w:tcPr>
            <w:tcW w:w="0" w:type="auto"/>
            <w:tcBorders>
              <w:top w:val="nil"/>
              <w:left w:val="nil"/>
              <w:bottom w:val="nil"/>
              <w:right w:val="nil"/>
            </w:tcBorders>
            <w:shd w:val="clear" w:color="auto" w:fill="FFFFFF"/>
            <w:noWrap/>
            <w:vAlign w:val="center"/>
          </w:tcPr>
          <w:p w14:paraId="6072700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w:t>
            </w:r>
          </w:p>
        </w:tc>
        <w:tc>
          <w:tcPr>
            <w:tcW w:w="0" w:type="auto"/>
            <w:tcBorders>
              <w:top w:val="nil"/>
              <w:left w:val="nil"/>
              <w:bottom w:val="nil"/>
              <w:right w:val="nil"/>
            </w:tcBorders>
            <w:shd w:val="clear" w:color="auto" w:fill="FFFFFF"/>
            <w:noWrap/>
            <w:vAlign w:val="center"/>
          </w:tcPr>
          <w:p w14:paraId="2244E88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0.158**</w:t>
            </w:r>
          </w:p>
        </w:tc>
        <w:tc>
          <w:tcPr>
            <w:tcW w:w="0" w:type="auto"/>
            <w:tcBorders>
              <w:top w:val="nil"/>
              <w:left w:val="nil"/>
              <w:bottom w:val="nil"/>
              <w:right w:val="nil"/>
            </w:tcBorders>
            <w:shd w:val="clear" w:color="auto" w:fill="FFFFFF"/>
            <w:noWrap/>
            <w:vAlign w:val="center"/>
          </w:tcPr>
          <w:p w14:paraId="6321903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0C6CA9E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0.158</w:t>
            </w:r>
          </w:p>
        </w:tc>
        <w:tc>
          <w:tcPr>
            <w:tcW w:w="0" w:type="auto"/>
            <w:tcBorders>
              <w:top w:val="nil"/>
              <w:left w:val="nil"/>
              <w:bottom w:val="nil"/>
              <w:right w:val="nil"/>
            </w:tcBorders>
            <w:shd w:val="clear" w:color="auto" w:fill="FFFFFF"/>
            <w:noWrap/>
            <w:vAlign w:val="center"/>
          </w:tcPr>
          <w:p w14:paraId="7F1E950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10.8</w:t>
            </w:r>
          </w:p>
        </w:tc>
      </w:tr>
      <w:tr w14:paraId="5892D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2D9F77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w:t>
            </w:r>
          </w:p>
        </w:tc>
        <w:tc>
          <w:tcPr>
            <w:tcW w:w="0" w:type="auto"/>
            <w:tcBorders>
              <w:top w:val="nil"/>
              <w:left w:val="nil"/>
              <w:bottom w:val="nil"/>
              <w:right w:val="nil"/>
            </w:tcBorders>
            <w:shd w:val="clear" w:color="auto" w:fill="FFFFFF"/>
            <w:noWrap/>
            <w:vAlign w:val="center"/>
          </w:tcPr>
          <w:p w14:paraId="3BB01E9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w:t>
            </w:r>
          </w:p>
        </w:tc>
        <w:tc>
          <w:tcPr>
            <w:tcW w:w="0" w:type="auto"/>
            <w:tcBorders>
              <w:top w:val="nil"/>
              <w:left w:val="nil"/>
              <w:bottom w:val="nil"/>
              <w:right w:val="nil"/>
            </w:tcBorders>
            <w:shd w:val="clear" w:color="auto" w:fill="FFFFFF"/>
            <w:noWrap/>
            <w:vAlign w:val="center"/>
          </w:tcPr>
          <w:p w14:paraId="75C72FF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0.134*</w:t>
            </w:r>
          </w:p>
        </w:tc>
        <w:tc>
          <w:tcPr>
            <w:tcW w:w="0" w:type="auto"/>
            <w:tcBorders>
              <w:top w:val="nil"/>
              <w:left w:val="nil"/>
              <w:bottom w:val="nil"/>
              <w:right w:val="nil"/>
            </w:tcBorders>
            <w:shd w:val="clear" w:color="auto" w:fill="FFFFFF"/>
            <w:noWrap/>
            <w:vAlign w:val="center"/>
          </w:tcPr>
          <w:p w14:paraId="05881F2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31178FF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0.134</w:t>
            </w:r>
          </w:p>
        </w:tc>
        <w:tc>
          <w:tcPr>
            <w:tcW w:w="0" w:type="auto"/>
            <w:tcBorders>
              <w:top w:val="nil"/>
              <w:left w:val="nil"/>
              <w:bottom w:val="nil"/>
              <w:right w:val="nil"/>
            </w:tcBorders>
            <w:shd w:val="clear" w:color="auto" w:fill="FFFFFF"/>
            <w:noWrap/>
            <w:vAlign w:val="center"/>
          </w:tcPr>
          <w:p w14:paraId="5AF4AF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8.7</w:t>
            </w:r>
          </w:p>
        </w:tc>
      </w:tr>
      <w:tr w14:paraId="3A3AA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1399BA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w:t>
            </w:r>
          </w:p>
        </w:tc>
        <w:tc>
          <w:tcPr>
            <w:tcW w:w="0" w:type="auto"/>
            <w:tcBorders>
              <w:top w:val="nil"/>
              <w:left w:val="nil"/>
              <w:bottom w:val="nil"/>
              <w:right w:val="nil"/>
            </w:tcBorders>
            <w:shd w:val="clear" w:color="auto" w:fill="FFFFFF"/>
            <w:noWrap/>
            <w:vAlign w:val="center"/>
          </w:tcPr>
          <w:p w14:paraId="2758755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w:t>
            </w:r>
          </w:p>
        </w:tc>
        <w:tc>
          <w:tcPr>
            <w:tcW w:w="0" w:type="auto"/>
            <w:tcBorders>
              <w:top w:val="nil"/>
              <w:left w:val="nil"/>
              <w:bottom w:val="nil"/>
              <w:right w:val="nil"/>
            </w:tcBorders>
            <w:shd w:val="clear" w:color="auto" w:fill="FFFFFF"/>
            <w:noWrap/>
            <w:vAlign w:val="center"/>
          </w:tcPr>
          <w:p w14:paraId="598D5B4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0.072(ns)</w:t>
            </w:r>
          </w:p>
        </w:tc>
        <w:tc>
          <w:tcPr>
            <w:tcW w:w="0" w:type="auto"/>
            <w:tcBorders>
              <w:top w:val="nil"/>
              <w:left w:val="nil"/>
              <w:bottom w:val="nil"/>
              <w:right w:val="nil"/>
            </w:tcBorders>
            <w:shd w:val="clear" w:color="auto" w:fill="FFFFFF"/>
            <w:noWrap/>
            <w:vAlign w:val="center"/>
          </w:tcPr>
          <w:p w14:paraId="7928188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0.045(ns)</w:t>
            </w:r>
          </w:p>
        </w:tc>
        <w:tc>
          <w:tcPr>
            <w:tcW w:w="0" w:type="auto"/>
            <w:tcBorders>
              <w:top w:val="nil"/>
              <w:left w:val="nil"/>
              <w:bottom w:val="nil"/>
              <w:right w:val="nil"/>
            </w:tcBorders>
            <w:shd w:val="clear" w:color="auto" w:fill="FFFFFF"/>
            <w:noWrap/>
            <w:vAlign w:val="center"/>
          </w:tcPr>
          <w:p w14:paraId="4AC7DF1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0.117</w:t>
            </w:r>
          </w:p>
        </w:tc>
        <w:tc>
          <w:tcPr>
            <w:tcW w:w="0" w:type="auto"/>
            <w:tcBorders>
              <w:top w:val="nil"/>
              <w:left w:val="nil"/>
              <w:bottom w:val="nil"/>
              <w:right w:val="nil"/>
            </w:tcBorders>
            <w:shd w:val="clear" w:color="auto" w:fill="FFFFFF"/>
            <w:noWrap/>
            <w:vAlign w:val="center"/>
          </w:tcPr>
          <w:p w14:paraId="19554C2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6.5</w:t>
            </w:r>
          </w:p>
        </w:tc>
      </w:tr>
      <w:tr w14:paraId="55461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FFFFFF"/>
            <w:noWrap/>
            <w:vAlign w:val="center"/>
          </w:tcPr>
          <w:p w14:paraId="5F0BEA1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w:t>
            </w:r>
          </w:p>
        </w:tc>
        <w:tc>
          <w:tcPr>
            <w:tcW w:w="0" w:type="auto"/>
            <w:tcBorders>
              <w:top w:val="nil"/>
              <w:left w:val="nil"/>
              <w:bottom w:val="single" w:color="000000" w:sz="4" w:space="0"/>
              <w:right w:val="nil"/>
            </w:tcBorders>
            <w:shd w:val="clear" w:color="auto" w:fill="FFFFFF"/>
            <w:noWrap/>
            <w:vAlign w:val="center"/>
          </w:tcPr>
          <w:p w14:paraId="318DAD7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w:t>
            </w:r>
          </w:p>
        </w:tc>
        <w:tc>
          <w:tcPr>
            <w:tcW w:w="0" w:type="auto"/>
            <w:tcBorders>
              <w:top w:val="nil"/>
              <w:left w:val="nil"/>
              <w:bottom w:val="single" w:color="000000" w:sz="4" w:space="0"/>
              <w:right w:val="nil"/>
            </w:tcBorders>
            <w:shd w:val="clear" w:color="auto" w:fill="FFFFFF"/>
            <w:noWrap/>
            <w:vAlign w:val="center"/>
          </w:tcPr>
          <w:p w14:paraId="3580000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0" w:type="auto"/>
            <w:tcBorders>
              <w:top w:val="nil"/>
              <w:left w:val="nil"/>
              <w:bottom w:val="single" w:color="000000" w:sz="4" w:space="0"/>
              <w:right w:val="nil"/>
            </w:tcBorders>
            <w:shd w:val="clear" w:color="auto" w:fill="FFFFFF"/>
            <w:noWrap/>
            <w:vAlign w:val="center"/>
          </w:tcPr>
          <w:p w14:paraId="5C38631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0.095***</w:t>
            </w:r>
          </w:p>
        </w:tc>
        <w:tc>
          <w:tcPr>
            <w:tcW w:w="0" w:type="auto"/>
            <w:tcBorders>
              <w:top w:val="nil"/>
              <w:left w:val="nil"/>
              <w:bottom w:val="single" w:color="000000" w:sz="4" w:space="0"/>
              <w:right w:val="nil"/>
            </w:tcBorders>
            <w:shd w:val="clear" w:color="auto" w:fill="FFFFFF"/>
            <w:noWrap/>
            <w:vAlign w:val="center"/>
          </w:tcPr>
          <w:p w14:paraId="1F15DAE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0.095</w:t>
            </w:r>
          </w:p>
        </w:tc>
        <w:tc>
          <w:tcPr>
            <w:tcW w:w="0" w:type="auto"/>
            <w:tcBorders>
              <w:top w:val="nil"/>
              <w:left w:val="nil"/>
              <w:bottom w:val="single" w:color="000000" w:sz="4" w:space="0"/>
              <w:right w:val="nil"/>
            </w:tcBorders>
            <w:shd w:val="clear" w:color="auto" w:fill="FFFFFF"/>
            <w:noWrap/>
            <w:vAlign w:val="center"/>
          </w:tcPr>
          <w:p w14:paraId="227DC66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5.2</w:t>
            </w:r>
          </w:p>
        </w:tc>
      </w:tr>
    </w:tbl>
    <w:p w14:paraId="64C9022B">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ind w:firstLine="480" w:firstLineChars="200"/>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注：***p&lt;0.001,**p&lt;0.01,*p&lt;0.05,</w:t>
      </w:r>
      <w:r>
        <w:rPr>
          <w:rFonts w:hint="eastAsia" w:ascii="Times New Roman" w:hAnsi="Times New Roman" w:cs="Times New Roman"/>
          <w:lang w:val="en-US" w:eastAsia="zh-CN"/>
        </w:rPr>
        <w:t xml:space="preserve"> </w:t>
      </w:r>
      <w:r>
        <w:rPr>
          <w:rFonts w:hint="default" w:ascii="Times New Roman" w:hAnsi="Times New Roman" w:eastAsia="宋体" w:cs="Times New Roman"/>
          <w:lang w:eastAsia="zh-CN"/>
        </w:rPr>
        <w:t>ns=不显著</w:t>
      </w:r>
    </w:p>
    <w:p w14:paraId="0A9E7BD6">
      <w:pPr>
        <w:pStyle w:val="4"/>
        <w:numPr>
          <w:ilvl w:val="0"/>
          <w:numId w:val="0"/>
        </w:numPr>
        <w:ind w:firstLine="480" w:firstLineChars="200"/>
        <w:jc w:val="both"/>
        <w:rPr>
          <w:rFonts w:hint="default" w:ascii="Times New Roman" w:hAnsi="Times New Roman" w:eastAsia="宋体" w:cs="Times New Roman"/>
          <w:lang w:eastAsia="zh-CN"/>
        </w:rPr>
      </w:pPr>
    </w:p>
    <w:p w14:paraId="667595EE">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对于骑行者群体，决定性因素的重要性排序为</w:t>
      </w:r>
      <w:r>
        <w:rPr>
          <w:rFonts w:hint="eastAsia" w:ascii="Times New Roman" w:hAnsi="Times New Roman" w:cs="Times New Roman"/>
          <w:lang w:eastAsia="zh-CN"/>
        </w:rPr>
        <w:t>（</w:t>
      </w:r>
      <w:r>
        <w:rPr>
          <w:rFonts w:hint="eastAsia" w:ascii="Times New Roman" w:hAnsi="Times New Roman" w:cs="Times New Roman"/>
          <w:lang w:val="en-US" w:eastAsia="zh-CN"/>
        </w:rPr>
        <w:t>如表13所示</w:t>
      </w:r>
      <w:r>
        <w:rPr>
          <w:rFonts w:hint="eastAsia" w:ascii="Times New Roman" w:hAnsi="Times New Roman" w:cs="Times New Roman"/>
          <w:lang w:eastAsia="zh-CN"/>
        </w:rPr>
        <w:t>）</w:t>
      </w:r>
      <w:r>
        <w:rPr>
          <w:rFonts w:hint="default" w:ascii="Times New Roman" w:hAnsi="Times New Roman" w:eastAsia="宋体" w:cs="Times New Roman"/>
          <w:lang w:eastAsia="zh-CN"/>
        </w:rPr>
        <w:t>：知觉行为控制（总效应</w:t>
      </w:r>
      <w:r>
        <w:rPr>
          <w:rFonts w:hint="eastAsia" w:ascii="Times New Roman" w:hAnsi="Times New Roman" w:cs="Times New Roman"/>
          <w:lang w:val="en-US" w:eastAsia="zh-CN"/>
        </w:rPr>
        <w:t>为</w:t>
      </w:r>
      <w:r>
        <w:rPr>
          <w:rFonts w:hint="default" w:ascii="Times New Roman" w:hAnsi="Times New Roman" w:eastAsia="宋体" w:cs="Times New Roman"/>
          <w:lang w:eastAsia="zh-CN"/>
        </w:rPr>
        <w:t>0.324）、感知易用性（总效应</w:t>
      </w:r>
      <w:r>
        <w:rPr>
          <w:rFonts w:hint="eastAsia" w:ascii="Times New Roman" w:hAnsi="Times New Roman" w:cs="Times New Roman"/>
          <w:lang w:val="en-US" w:eastAsia="zh-CN"/>
        </w:rPr>
        <w:t>为</w:t>
      </w:r>
      <w:r>
        <w:rPr>
          <w:rFonts w:hint="default" w:ascii="Times New Roman" w:hAnsi="Times New Roman" w:eastAsia="宋体" w:cs="Times New Roman"/>
          <w:lang w:eastAsia="zh-CN"/>
        </w:rPr>
        <w:t>0.213，主要通过PBC的间接效应）、安全态度（总效应</w:t>
      </w:r>
      <w:r>
        <w:rPr>
          <w:rFonts w:hint="eastAsia" w:ascii="Times New Roman" w:hAnsi="Times New Roman" w:cs="Times New Roman"/>
          <w:lang w:val="en-US" w:eastAsia="zh-CN"/>
        </w:rPr>
        <w:t>为</w:t>
      </w:r>
      <w:r>
        <w:rPr>
          <w:rFonts w:hint="default" w:ascii="Times New Roman" w:hAnsi="Times New Roman" w:eastAsia="宋体" w:cs="Times New Roman"/>
          <w:lang w:eastAsia="zh-CN"/>
        </w:rPr>
        <w:t>0.196）、感知有用性（总效应</w:t>
      </w:r>
      <w:r>
        <w:rPr>
          <w:rFonts w:hint="eastAsia" w:ascii="Times New Roman" w:hAnsi="Times New Roman" w:cs="Times New Roman"/>
          <w:lang w:val="en-US" w:eastAsia="zh-CN"/>
        </w:rPr>
        <w:t>为</w:t>
      </w:r>
      <w:r>
        <w:rPr>
          <w:rFonts w:hint="default" w:ascii="Times New Roman" w:hAnsi="Times New Roman" w:eastAsia="宋体" w:cs="Times New Roman"/>
          <w:lang w:eastAsia="zh-CN"/>
        </w:rPr>
        <w:t>0.149）、主观规范（总效应</w:t>
      </w:r>
      <w:r>
        <w:rPr>
          <w:rFonts w:hint="eastAsia" w:ascii="Times New Roman" w:hAnsi="Times New Roman" w:cs="Times New Roman"/>
          <w:lang w:val="en-US" w:eastAsia="zh-CN"/>
        </w:rPr>
        <w:t>为</w:t>
      </w:r>
      <w:r>
        <w:rPr>
          <w:rFonts w:hint="default" w:ascii="Times New Roman" w:hAnsi="Times New Roman" w:eastAsia="宋体" w:cs="Times New Roman"/>
          <w:lang w:eastAsia="zh-CN"/>
        </w:rPr>
        <w:t>0.145）。感知易用性虽然对行为意图的直接效应不显著，但通过提升知觉行为控制产生了重要的间接影响（间接效应</w:t>
      </w:r>
      <w:r>
        <w:rPr>
          <w:rFonts w:hint="eastAsia" w:ascii="Times New Roman" w:hAnsi="Times New Roman" w:cs="Times New Roman"/>
          <w:lang w:val="en-US" w:eastAsia="zh-CN"/>
        </w:rPr>
        <w:t>为</w:t>
      </w:r>
      <w:r>
        <w:rPr>
          <w:rFonts w:hint="default" w:ascii="Times New Roman" w:hAnsi="Times New Roman" w:eastAsia="宋体" w:cs="Times New Roman"/>
          <w:lang w:eastAsia="zh-CN"/>
        </w:rPr>
        <w:t>0.148，p&lt;0.001）。</w:t>
      </w:r>
    </w:p>
    <w:p w14:paraId="0B1FEB15">
      <w:pPr>
        <w:pStyle w:val="4"/>
        <w:numPr>
          <w:ilvl w:val="0"/>
          <w:numId w:val="0"/>
        </w:numPr>
        <w:ind w:firstLine="480" w:firstLineChars="200"/>
        <w:jc w:val="both"/>
        <w:rPr>
          <w:rFonts w:hint="default" w:ascii="Times New Roman" w:hAnsi="Times New Roman" w:eastAsia="宋体" w:cs="Times New Roman"/>
          <w:lang w:eastAsia="zh-CN"/>
        </w:rPr>
      </w:pPr>
    </w:p>
    <w:p w14:paraId="4EEBADC2">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表13 骑行者群体决定性因素重要性排序</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98"/>
        <w:gridCol w:w="1180"/>
        <w:gridCol w:w="1180"/>
        <w:gridCol w:w="1180"/>
        <w:gridCol w:w="939"/>
        <w:gridCol w:w="1821"/>
      </w:tblGrid>
      <w:tr w14:paraId="20C67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000000" w:sz="4" w:space="0"/>
              <w:left w:val="nil"/>
              <w:bottom w:val="single" w:color="000000" w:sz="12" w:space="0"/>
              <w:right w:val="nil"/>
            </w:tcBorders>
            <w:shd w:val="clear" w:color="auto" w:fill="FFFFFF"/>
            <w:noWrap/>
            <w:vAlign w:val="center"/>
          </w:tcPr>
          <w:p w14:paraId="0D69B742">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排序</w:t>
            </w:r>
          </w:p>
        </w:tc>
        <w:tc>
          <w:tcPr>
            <w:tcW w:w="0" w:type="auto"/>
            <w:tcBorders>
              <w:top w:val="single" w:color="000000" w:sz="4" w:space="0"/>
              <w:left w:val="nil"/>
              <w:bottom w:val="single" w:color="000000" w:sz="12" w:space="0"/>
              <w:right w:val="nil"/>
            </w:tcBorders>
            <w:shd w:val="clear" w:color="auto" w:fill="FFFFFF"/>
            <w:noWrap/>
            <w:vAlign w:val="center"/>
          </w:tcPr>
          <w:p w14:paraId="1720D890">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影响因素</w:t>
            </w:r>
          </w:p>
        </w:tc>
        <w:tc>
          <w:tcPr>
            <w:tcW w:w="0" w:type="auto"/>
            <w:tcBorders>
              <w:top w:val="single" w:color="000000" w:sz="4" w:space="0"/>
              <w:left w:val="nil"/>
              <w:bottom w:val="single" w:color="000000" w:sz="12" w:space="0"/>
              <w:right w:val="nil"/>
            </w:tcBorders>
            <w:shd w:val="clear" w:color="auto" w:fill="FFFFFF"/>
            <w:noWrap/>
            <w:vAlign w:val="center"/>
          </w:tcPr>
          <w:p w14:paraId="7F2D2B81">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直接效应</w:t>
            </w:r>
          </w:p>
        </w:tc>
        <w:tc>
          <w:tcPr>
            <w:tcW w:w="0" w:type="auto"/>
            <w:tcBorders>
              <w:top w:val="single" w:color="000000" w:sz="4" w:space="0"/>
              <w:left w:val="nil"/>
              <w:bottom w:val="single" w:color="000000" w:sz="12" w:space="0"/>
              <w:right w:val="nil"/>
            </w:tcBorders>
            <w:shd w:val="clear" w:color="auto" w:fill="FFFFFF"/>
            <w:noWrap/>
            <w:vAlign w:val="center"/>
          </w:tcPr>
          <w:p w14:paraId="01154B69">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间接效应</w:t>
            </w:r>
          </w:p>
        </w:tc>
        <w:tc>
          <w:tcPr>
            <w:tcW w:w="0" w:type="auto"/>
            <w:tcBorders>
              <w:top w:val="single" w:color="000000" w:sz="4" w:space="0"/>
              <w:left w:val="nil"/>
              <w:bottom w:val="single" w:color="000000" w:sz="12" w:space="0"/>
              <w:right w:val="nil"/>
            </w:tcBorders>
            <w:shd w:val="clear" w:color="auto" w:fill="FFFFFF"/>
            <w:noWrap/>
            <w:vAlign w:val="center"/>
          </w:tcPr>
          <w:p w14:paraId="0F131E85">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总效应</w:t>
            </w:r>
          </w:p>
        </w:tc>
        <w:tc>
          <w:tcPr>
            <w:tcW w:w="0" w:type="auto"/>
            <w:tcBorders>
              <w:top w:val="single" w:color="000000" w:sz="4" w:space="0"/>
              <w:left w:val="nil"/>
              <w:bottom w:val="single" w:color="000000" w:sz="12" w:space="0"/>
              <w:right w:val="nil"/>
            </w:tcBorders>
            <w:shd w:val="clear" w:color="auto" w:fill="FFFFFF"/>
            <w:noWrap/>
            <w:vAlign w:val="center"/>
          </w:tcPr>
          <w:p w14:paraId="59A3EA28">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相对贡献率(%)</w:t>
            </w:r>
          </w:p>
        </w:tc>
      </w:tr>
      <w:tr w14:paraId="12D920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000000" w:sz="12" w:space="0"/>
              <w:left w:val="nil"/>
              <w:bottom w:val="nil"/>
              <w:right w:val="nil"/>
            </w:tcBorders>
            <w:shd w:val="clear" w:color="auto" w:fill="FFFFFF"/>
            <w:noWrap/>
            <w:vAlign w:val="center"/>
          </w:tcPr>
          <w:p w14:paraId="0DFC736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w:t>
            </w:r>
          </w:p>
        </w:tc>
        <w:tc>
          <w:tcPr>
            <w:tcW w:w="0" w:type="auto"/>
            <w:tcBorders>
              <w:top w:val="single" w:color="000000" w:sz="12" w:space="0"/>
              <w:left w:val="nil"/>
              <w:bottom w:val="nil"/>
              <w:right w:val="nil"/>
            </w:tcBorders>
            <w:shd w:val="clear" w:color="auto" w:fill="FFFFFF"/>
            <w:noWrap/>
            <w:vAlign w:val="center"/>
          </w:tcPr>
          <w:p w14:paraId="18BD4E0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PBC</w:t>
            </w:r>
          </w:p>
        </w:tc>
        <w:tc>
          <w:tcPr>
            <w:tcW w:w="0" w:type="auto"/>
            <w:tcBorders>
              <w:top w:val="single" w:color="000000" w:sz="12" w:space="0"/>
              <w:left w:val="nil"/>
              <w:bottom w:val="nil"/>
              <w:right w:val="nil"/>
            </w:tcBorders>
            <w:shd w:val="clear" w:color="auto" w:fill="FFFFFF"/>
            <w:noWrap/>
            <w:vAlign w:val="center"/>
          </w:tcPr>
          <w:p w14:paraId="332E925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0.324***</w:t>
            </w:r>
          </w:p>
        </w:tc>
        <w:tc>
          <w:tcPr>
            <w:tcW w:w="0" w:type="auto"/>
            <w:tcBorders>
              <w:top w:val="single" w:color="000000" w:sz="12" w:space="0"/>
              <w:left w:val="nil"/>
              <w:bottom w:val="nil"/>
              <w:right w:val="nil"/>
            </w:tcBorders>
            <w:shd w:val="clear" w:color="auto" w:fill="FFFFFF"/>
            <w:noWrap/>
            <w:vAlign w:val="center"/>
          </w:tcPr>
          <w:p w14:paraId="0C4CBF1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w:t>
            </w:r>
          </w:p>
        </w:tc>
        <w:tc>
          <w:tcPr>
            <w:tcW w:w="0" w:type="auto"/>
            <w:tcBorders>
              <w:top w:val="single" w:color="000000" w:sz="12" w:space="0"/>
              <w:left w:val="nil"/>
              <w:bottom w:val="nil"/>
              <w:right w:val="nil"/>
            </w:tcBorders>
            <w:shd w:val="clear" w:color="auto" w:fill="FFFFFF"/>
            <w:noWrap/>
            <w:vAlign w:val="center"/>
          </w:tcPr>
          <w:p w14:paraId="32F8831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0.324</w:t>
            </w:r>
          </w:p>
        </w:tc>
        <w:tc>
          <w:tcPr>
            <w:tcW w:w="0" w:type="auto"/>
            <w:tcBorders>
              <w:top w:val="single" w:color="000000" w:sz="12" w:space="0"/>
              <w:left w:val="nil"/>
              <w:bottom w:val="nil"/>
              <w:right w:val="nil"/>
            </w:tcBorders>
            <w:shd w:val="clear" w:color="auto" w:fill="FFFFFF"/>
            <w:noWrap/>
            <w:vAlign w:val="center"/>
          </w:tcPr>
          <w:p w14:paraId="2024E0F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24.8</w:t>
            </w:r>
          </w:p>
        </w:tc>
      </w:tr>
      <w:tr w14:paraId="447D8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02BFBA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2</w:t>
            </w:r>
          </w:p>
        </w:tc>
        <w:tc>
          <w:tcPr>
            <w:tcW w:w="0" w:type="auto"/>
            <w:tcBorders>
              <w:top w:val="nil"/>
              <w:left w:val="nil"/>
              <w:bottom w:val="nil"/>
              <w:right w:val="nil"/>
            </w:tcBorders>
            <w:shd w:val="clear" w:color="auto" w:fill="FFFFFF"/>
            <w:noWrap/>
            <w:vAlign w:val="center"/>
          </w:tcPr>
          <w:p w14:paraId="382BDF4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PEU</w:t>
            </w:r>
          </w:p>
        </w:tc>
        <w:tc>
          <w:tcPr>
            <w:tcW w:w="0" w:type="auto"/>
            <w:tcBorders>
              <w:top w:val="nil"/>
              <w:left w:val="nil"/>
              <w:bottom w:val="nil"/>
              <w:right w:val="nil"/>
            </w:tcBorders>
            <w:shd w:val="clear" w:color="auto" w:fill="FFFFFF"/>
            <w:noWrap/>
            <w:vAlign w:val="center"/>
          </w:tcPr>
          <w:p w14:paraId="3341665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0.065(ns)</w:t>
            </w:r>
          </w:p>
        </w:tc>
        <w:tc>
          <w:tcPr>
            <w:tcW w:w="0" w:type="auto"/>
            <w:tcBorders>
              <w:top w:val="nil"/>
              <w:left w:val="nil"/>
              <w:bottom w:val="nil"/>
              <w:right w:val="nil"/>
            </w:tcBorders>
            <w:shd w:val="clear" w:color="auto" w:fill="FFFFFF"/>
            <w:noWrap/>
            <w:vAlign w:val="center"/>
          </w:tcPr>
          <w:p w14:paraId="66E8F8B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0.148***</w:t>
            </w:r>
          </w:p>
        </w:tc>
        <w:tc>
          <w:tcPr>
            <w:tcW w:w="0" w:type="auto"/>
            <w:tcBorders>
              <w:top w:val="nil"/>
              <w:left w:val="nil"/>
              <w:bottom w:val="nil"/>
              <w:right w:val="nil"/>
            </w:tcBorders>
            <w:shd w:val="clear" w:color="auto" w:fill="FFFFFF"/>
            <w:noWrap/>
            <w:vAlign w:val="center"/>
          </w:tcPr>
          <w:p w14:paraId="6E599D0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0.213</w:t>
            </w:r>
          </w:p>
        </w:tc>
        <w:tc>
          <w:tcPr>
            <w:tcW w:w="0" w:type="auto"/>
            <w:tcBorders>
              <w:top w:val="nil"/>
              <w:left w:val="nil"/>
              <w:bottom w:val="nil"/>
              <w:right w:val="nil"/>
            </w:tcBorders>
            <w:shd w:val="clear" w:color="auto" w:fill="FFFFFF"/>
            <w:noWrap/>
            <w:vAlign w:val="center"/>
          </w:tcPr>
          <w:p w14:paraId="6617B0E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15.3</w:t>
            </w:r>
          </w:p>
        </w:tc>
      </w:tr>
      <w:tr w14:paraId="04DF7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02F85E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3</w:t>
            </w:r>
          </w:p>
        </w:tc>
        <w:tc>
          <w:tcPr>
            <w:tcW w:w="0" w:type="auto"/>
            <w:tcBorders>
              <w:top w:val="nil"/>
              <w:left w:val="nil"/>
              <w:bottom w:val="nil"/>
              <w:right w:val="nil"/>
            </w:tcBorders>
            <w:shd w:val="clear" w:color="auto" w:fill="FFFFFF"/>
            <w:noWrap/>
            <w:vAlign w:val="center"/>
          </w:tcPr>
          <w:p w14:paraId="6AB5518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AT</w:t>
            </w:r>
          </w:p>
        </w:tc>
        <w:tc>
          <w:tcPr>
            <w:tcW w:w="0" w:type="auto"/>
            <w:tcBorders>
              <w:top w:val="nil"/>
              <w:left w:val="nil"/>
              <w:bottom w:val="nil"/>
              <w:right w:val="nil"/>
            </w:tcBorders>
            <w:shd w:val="clear" w:color="auto" w:fill="FFFFFF"/>
            <w:noWrap/>
            <w:vAlign w:val="center"/>
          </w:tcPr>
          <w:p w14:paraId="3F5E63A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0.196***</w:t>
            </w:r>
          </w:p>
        </w:tc>
        <w:tc>
          <w:tcPr>
            <w:tcW w:w="0" w:type="auto"/>
            <w:tcBorders>
              <w:top w:val="nil"/>
              <w:left w:val="nil"/>
              <w:bottom w:val="nil"/>
              <w:right w:val="nil"/>
            </w:tcBorders>
            <w:shd w:val="clear" w:color="auto" w:fill="FFFFFF"/>
            <w:noWrap/>
            <w:vAlign w:val="center"/>
          </w:tcPr>
          <w:p w14:paraId="2AAA300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6AD110E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0.196</w:t>
            </w:r>
          </w:p>
        </w:tc>
        <w:tc>
          <w:tcPr>
            <w:tcW w:w="0" w:type="auto"/>
            <w:tcBorders>
              <w:top w:val="nil"/>
              <w:left w:val="nil"/>
              <w:bottom w:val="nil"/>
              <w:right w:val="nil"/>
            </w:tcBorders>
            <w:shd w:val="clear" w:color="auto" w:fill="FFFFFF"/>
            <w:noWrap/>
            <w:vAlign w:val="center"/>
          </w:tcPr>
          <w:p w14:paraId="6582ABB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13.6</w:t>
            </w:r>
          </w:p>
        </w:tc>
      </w:tr>
      <w:tr w14:paraId="3DF0C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9FF39A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4</w:t>
            </w:r>
          </w:p>
        </w:tc>
        <w:tc>
          <w:tcPr>
            <w:tcW w:w="0" w:type="auto"/>
            <w:tcBorders>
              <w:top w:val="nil"/>
              <w:left w:val="nil"/>
              <w:bottom w:val="nil"/>
              <w:right w:val="nil"/>
            </w:tcBorders>
            <w:shd w:val="clear" w:color="auto" w:fill="FFFFFF"/>
            <w:noWrap/>
            <w:vAlign w:val="center"/>
          </w:tcPr>
          <w:p w14:paraId="2FD3E61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PU</w:t>
            </w:r>
          </w:p>
        </w:tc>
        <w:tc>
          <w:tcPr>
            <w:tcW w:w="0" w:type="auto"/>
            <w:tcBorders>
              <w:top w:val="nil"/>
              <w:left w:val="nil"/>
              <w:bottom w:val="nil"/>
              <w:right w:val="nil"/>
            </w:tcBorders>
            <w:shd w:val="clear" w:color="auto" w:fill="FFFFFF"/>
            <w:noWrap/>
            <w:vAlign w:val="center"/>
          </w:tcPr>
          <w:p w14:paraId="59CA8D6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0.149**</w:t>
            </w:r>
          </w:p>
        </w:tc>
        <w:tc>
          <w:tcPr>
            <w:tcW w:w="0" w:type="auto"/>
            <w:tcBorders>
              <w:top w:val="nil"/>
              <w:left w:val="nil"/>
              <w:bottom w:val="nil"/>
              <w:right w:val="nil"/>
            </w:tcBorders>
            <w:shd w:val="clear" w:color="auto" w:fill="FFFFFF"/>
            <w:noWrap/>
            <w:vAlign w:val="center"/>
          </w:tcPr>
          <w:p w14:paraId="28FC93A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6FDE348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0.149</w:t>
            </w:r>
          </w:p>
        </w:tc>
        <w:tc>
          <w:tcPr>
            <w:tcW w:w="0" w:type="auto"/>
            <w:tcBorders>
              <w:top w:val="nil"/>
              <w:left w:val="nil"/>
              <w:bottom w:val="nil"/>
              <w:right w:val="nil"/>
            </w:tcBorders>
            <w:shd w:val="clear" w:color="auto" w:fill="FFFFFF"/>
            <w:noWrap/>
            <w:vAlign w:val="center"/>
          </w:tcPr>
          <w:p w14:paraId="2E222CE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11.2</w:t>
            </w:r>
          </w:p>
        </w:tc>
      </w:tr>
      <w:tr w14:paraId="4309A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3CCDB4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5</w:t>
            </w:r>
          </w:p>
        </w:tc>
        <w:tc>
          <w:tcPr>
            <w:tcW w:w="0" w:type="auto"/>
            <w:tcBorders>
              <w:top w:val="nil"/>
              <w:left w:val="nil"/>
              <w:bottom w:val="nil"/>
              <w:right w:val="nil"/>
            </w:tcBorders>
            <w:shd w:val="clear" w:color="auto" w:fill="FFFFFF"/>
            <w:noWrap/>
            <w:vAlign w:val="center"/>
          </w:tcPr>
          <w:p w14:paraId="614519A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RP</w:t>
            </w:r>
          </w:p>
        </w:tc>
        <w:tc>
          <w:tcPr>
            <w:tcW w:w="0" w:type="auto"/>
            <w:tcBorders>
              <w:top w:val="nil"/>
              <w:left w:val="nil"/>
              <w:bottom w:val="nil"/>
              <w:right w:val="nil"/>
            </w:tcBorders>
            <w:shd w:val="clear" w:color="auto" w:fill="FFFFFF"/>
            <w:noWrap/>
            <w:vAlign w:val="center"/>
          </w:tcPr>
          <w:p w14:paraId="22E6376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0.081(ns)</w:t>
            </w:r>
          </w:p>
        </w:tc>
        <w:tc>
          <w:tcPr>
            <w:tcW w:w="0" w:type="auto"/>
            <w:tcBorders>
              <w:top w:val="nil"/>
              <w:left w:val="nil"/>
              <w:bottom w:val="nil"/>
              <w:right w:val="nil"/>
            </w:tcBorders>
            <w:shd w:val="clear" w:color="auto" w:fill="FFFFFF"/>
            <w:noWrap/>
            <w:vAlign w:val="center"/>
          </w:tcPr>
          <w:p w14:paraId="1E9DA45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0.067**</w:t>
            </w:r>
          </w:p>
        </w:tc>
        <w:tc>
          <w:tcPr>
            <w:tcW w:w="0" w:type="auto"/>
            <w:tcBorders>
              <w:top w:val="nil"/>
              <w:left w:val="nil"/>
              <w:bottom w:val="nil"/>
              <w:right w:val="nil"/>
            </w:tcBorders>
            <w:shd w:val="clear" w:color="auto" w:fill="FFFFFF"/>
            <w:noWrap/>
            <w:vAlign w:val="center"/>
          </w:tcPr>
          <w:p w14:paraId="4202C7C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0.148</w:t>
            </w:r>
          </w:p>
        </w:tc>
        <w:tc>
          <w:tcPr>
            <w:tcW w:w="0" w:type="auto"/>
            <w:tcBorders>
              <w:top w:val="nil"/>
              <w:left w:val="nil"/>
              <w:bottom w:val="nil"/>
              <w:right w:val="nil"/>
            </w:tcBorders>
            <w:shd w:val="clear" w:color="auto" w:fill="FFFFFF"/>
            <w:noWrap/>
            <w:vAlign w:val="center"/>
          </w:tcPr>
          <w:p w14:paraId="20207F8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10.5</w:t>
            </w:r>
          </w:p>
        </w:tc>
      </w:tr>
      <w:tr w14:paraId="3BFF1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2E5803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6</w:t>
            </w:r>
          </w:p>
        </w:tc>
        <w:tc>
          <w:tcPr>
            <w:tcW w:w="0" w:type="auto"/>
            <w:tcBorders>
              <w:top w:val="nil"/>
              <w:left w:val="nil"/>
              <w:bottom w:val="nil"/>
              <w:right w:val="nil"/>
            </w:tcBorders>
            <w:shd w:val="clear" w:color="auto" w:fill="FFFFFF"/>
            <w:noWrap/>
            <w:vAlign w:val="center"/>
          </w:tcPr>
          <w:p w14:paraId="20849F5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SN</w:t>
            </w:r>
          </w:p>
        </w:tc>
        <w:tc>
          <w:tcPr>
            <w:tcW w:w="0" w:type="auto"/>
            <w:tcBorders>
              <w:top w:val="nil"/>
              <w:left w:val="nil"/>
              <w:bottom w:val="nil"/>
              <w:right w:val="nil"/>
            </w:tcBorders>
            <w:shd w:val="clear" w:color="auto" w:fill="FFFFFF"/>
            <w:noWrap/>
            <w:vAlign w:val="center"/>
          </w:tcPr>
          <w:p w14:paraId="6F43B93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0.145**</w:t>
            </w:r>
          </w:p>
        </w:tc>
        <w:tc>
          <w:tcPr>
            <w:tcW w:w="0" w:type="auto"/>
            <w:tcBorders>
              <w:top w:val="nil"/>
              <w:left w:val="nil"/>
              <w:bottom w:val="nil"/>
              <w:right w:val="nil"/>
            </w:tcBorders>
            <w:shd w:val="clear" w:color="auto" w:fill="FFFFFF"/>
            <w:noWrap/>
            <w:vAlign w:val="center"/>
          </w:tcPr>
          <w:p w14:paraId="1CEB42C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33E1DE0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0.145</w:t>
            </w:r>
          </w:p>
        </w:tc>
        <w:tc>
          <w:tcPr>
            <w:tcW w:w="0" w:type="auto"/>
            <w:tcBorders>
              <w:top w:val="nil"/>
              <w:left w:val="nil"/>
              <w:bottom w:val="nil"/>
              <w:right w:val="nil"/>
            </w:tcBorders>
            <w:shd w:val="clear" w:color="auto" w:fill="FFFFFF"/>
            <w:noWrap/>
            <w:vAlign w:val="center"/>
          </w:tcPr>
          <w:p w14:paraId="1BD0E7B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9.8</w:t>
            </w:r>
          </w:p>
        </w:tc>
      </w:tr>
      <w:tr w14:paraId="10188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FFFFFF"/>
            <w:noWrap/>
            <w:vAlign w:val="center"/>
          </w:tcPr>
          <w:p w14:paraId="7600351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7</w:t>
            </w:r>
          </w:p>
        </w:tc>
        <w:tc>
          <w:tcPr>
            <w:tcW w:w="0" w:type="auto"/>
            <w:tcBorders>
              <w:top w:val="nil"/>
              <w:left w:val="nil"/>
              <w:bottom w:val="single" w:color="000000" w:sz="4" w:space="0"/>
              <w:right w:val="nil"/>
            </w:tcBorders>
            <w:shd w:val="clear" w:color="auto" w:fill="FFFFFF"/>
            <w:noWrap/>
            <w:vAlign w:val="center"/>
          </w:tcPr>
          <w:p w14:paraId="72A32F9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PCE</w:t>
            </w:r>
          </w:p>
        </w:tc>
        <w:tc>
          <w:tcPr>
            <w:tcW w:w="0" w:type="auto"/>
            <w:tcBorders>
              <w:top w:val="nil"/>
              <w:left w:val="nil"/>
              <w:bottom w:val="single" w:color="000000" w:sz="4" w:space="0"/>
              <w:right w:val="nil"/>
            </w:tcBorders>
            <w:shd w:val="clear" w:color="auto" w:fill="FFFFFF"/>
            <w:noWrap/>
            <w:vAlign w:val="center"/>
          </w:tcPr>
          <w:p w14:paraId="0113EF2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w:t>
            </w:r>
          </w:p>
        </w:tc>
        <w:tc>
          <w:tcPr>
            <w:tcW w:w="0" w:type="auto"/>
            <w:tcBorders>
              <w:top w:val="nil"/>
              <w:left w:val="nil"/>
              <w:bottom w:val="single" w:color="000000" w:sz="4" w:space="0"/>
              <w:right w:val="nil"/>
            </w:tcBorders>
            <w:shd w:val="clear" w:color="auto" w:fill="FFFFFF"/>
            <w:noWrap/>
            <w:vAlign w:val="center"/>
          </w:tcPr>
          <w:p w14:paraId="5A04ED6E">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0.036*</w:t>
            </w:r>
          </w:p>
        </w:tc>
        <w:tc>
          <w:tcPr>
            <w:tcW w:w="0" w:type="auto"/>
            <w:tcBorders>
              <w:top w:val="nil"/>
              <w:left w:val="nil"/>
              <w:bottom w:val="single" w:color="000000" w:sz="4" w:space="0"/>
              <w:right w:val="nil"/>
            </w:tcBorders>
            <w:shd w:val="clear" w:color="auto" w:fill="FFFFFF"/>
            <w:noWrap/>
            <w:vAlign w:val="center"/>
          </w:tcPr>
          <w:p w14:paraId="037A0A5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0.036</w:t>
            </w:r>
          </w:p>
        </w:tc>
        <w:tc>
          <w:tcPr>
            <w:tcW w:w="0" w:type="auto"/>
            <w:tcBorders>
              <w:top w:val="nil"/>
              <w:left w:val="nil"/>
              <w:bottom w:val="single" w:color="000000" w:sz="4" w:space="0"/>
              <w:right w:val="nil"/>
            </w:tcBorders>
            <w:shd w:val="clear" w:color="auto" w:fill="FFFFFF"/>
            <w:noWrap/>
            <w:vAlign w:val="center"/>
          </w:tcPr>
          <w:p w14:paraId="525A607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3.1</w:t>
            </w:r>
          </w:p>
        </w:tc>
      </w:tr>
    </w:tbl>
    <w:p w14:paraId="5BDA9159">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ind w:firstLine="480" w:firstLineChars="200"/>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注：***p&lt;0.001,**p&lt;0.01,*p&lt;0.05,ns=不显著</w:t>
      </w:r>
    </w:p>
    <w:p w14:paraId="449BE4E7">
      <w:pPr>
        <w:pStyle w:val="4"/>
        <w:numPr>
          <w:ilvl w:val="0"/>
          <w:numId w:val="0"/>
        </w:numPr>
        <w:ind w:firstLine="480" w:firstLineChars="200"/>
        <w:jc w:val="both"/>
        <w:rPr>
          <w:rFonts w:hint="default" w:ascii="Times New Roman" w:hAnsi="Times New Roman" w:eastAsia="宋体" w:cs="Times New Roman"/>
          <w:lang w:eastAsia="zh-CN"/>
        </w:rPr>
      </w:pPr>
    </w:p>
    <w:p w14:paraId="65595021">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进一步的重要性分析采用了相对权重分析（Relative Weight Analysis）方法。结果显示，在行人模型中，安全态度解释了行为意图方差的31.2%，风险感知贡献了18.6%，两者合计近50%。而在骑行者模型中，知觉行为控制贡献了24.8%，感知易用性贡献了15.3%，这两个工具性因素占主导地位。</w:t>
      </w:r>
      <w:r>
        <w:rPr>
          <w:rFonts w:hint="eastAsia" w:ascii="Times New Roman" w:hAnsi="Times New Roman" w:cs="Times New Roman"/>
          <w:lang w:val="en-US" w:eastAsia="zh-CN"/>
        </w:rPr>
        <w:t>此类</w:t>
      </w:r>
      <w:r>
        <w:rPr>
          <w:rFonts w:hint="default" w:ascii="Times New Roman" w:hAnsi="Times New Roman" w:eastAsia="宋体" w:cs="Times New Roman"/>
          <w:lang w:eastAsia="zh-CN"/>
        </w:rPr>
        <w:t>差异清晰地展示了两个群体决策机制的本质区别。</w:t>
      </w:r>
    </w:p>
    <w:p w14:paraId="63DDAB8B">
      <w:pPr>
        <w:pStyle w:val="4"/>
        <w:ind w:left="0" w:leftChars="0" w:firstLine="0" w:firstLineChars="0"/>
        <w:rPr>
          <w:rFonts w:hint="default" w:ascii="黑体" w:hAnsi="黑体" w:eastAsia="黑体" w:cs="黑体"/>
          <w:lang w:val="en-US" w:eastAsia="zh-CN"/>
        </w:rPr>
      </w:pPr>
      <w:r>
        <w:rPr>
          <w:rFonts w:hint="eastAsia" w:ascii="黑体" w:hAnsi="黑体" w:eastAsia="黑体" w:cs="黑体"/>
          <w:lang w:val="en-US" w:eastAsia="zh-CN"/>
        </w:rPr>
        <w:t>（2）共享道路冲突主体—</w:t>
      </w:r>
      <w:r>
        <w:rPr>
          <w:rFonts w:hint="default" w:ascii="黑体" w:hAnsi="黑体" w:eastAsia="黑体" w:cs="黑体"/>
          <w:lang w:val="en-US" w:eastAsia="zh-CN"/>
        </w:rPr>
        <w:t>行人行为决策模型</w:t>
      </w:r>
    </w:p>
    <w:p w14:paraId="60678C14">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基于实证分析结果，</w:t>
      </w:r>
      <w:r>
        <w:rPr>
          <w:rFonts w:hint="eastAsia" w:ascii="Times New Roman" w:hAnsi="Times New Roman" w:cs="Times New Roman"/>
          <w:lang w:val="en-US" w:eastAsia="zh-CN"/>
        </w:rPr>
        <w:t>在校园共享交通环境中</w:t>
      </w:r>
      <w:r>
        <w:rPr>
          <w:rFonts w:hint="default" w:ascii="Times New Roman" w:hAnsi="Times New Roman" w:eastAsia="宋体" w:cs="Times New Roman"/>
          <w:lang w:eastAsia="zh-CN"/>
        </w:rPr>
        <w:t>行人的决策遵循</w:t>
      </w:r>
      <w:r>
        <w:rPr>
          <w:rFonts w:hint="eastAsia" w:ascii="Times New Roman" w:hAnsi="Times New Roman" w:cs="Times New Roman"/>
          <w:lang w:eastAsia="zh-CN"/>
        </w:rPr>
        <w:t>“</w:t>
      </w:r>
      <w:r>
        <w:rPr>
          <w:rFonts w:hint="default" w:ascii="Times New Roman" w:hAnsi="Times New Roman" w:eastAsia="宋体" w:cs="Times New Roman"/>
          <w:lang w:eastAsia="zh-CN"/>
        </w:rPr>
        <w:t>风险感知→</w:t>
      </w:r>
      <w:r>
        <w:rPr>
          <w:rFonts w:hint="eastAsia" w:ascii="Times New Roman" w:hAnsi="Times New Roman" w:cs="Times New Roman"/>
          <w:lang w:val="en-US" w:eastAsia="zh-CN"/>
        </w:rPr>
        <w:t>安全态度</w:t>
      </w:r>
      <w:r>
        <w:rPr>
          <w:rFonts w:hint="default" w:ascii="Times New Roman" w:hAnsi="Times New Roman" w:eastAsia="宋体" w:cs="Times New Roman"/>
          <w:lang w:eastAsia="zh-CN"/>
        </w:rPr>
        <w:t>→行为意图</w:t>
      </w:r>
      <w:r>
        <w:rPr>
          <w:rFonts w:hint="eastAsia" w:ascii="Times New Roman" w:hAnsi="Times New Roman" w:cs="Times New Roman"/>
          <w:lang w:eastAsia="zh-CN"/>
        </w:rPr>
        <w:t>”</w:t>
      </w:r>
      <w:r>
        <w:rPr>
          <w:rFonts w:hint="default" w:ascii="Times New Roman" w:hAnsi="Times New Roman" w:eastAsia="宋体" w:cs="Times New Roman"/>
          <w:lang w:eastAsia="zh-CN"/>
        </w:rPr>
        <w:t>的</w:t>
      </w:r>
      <w:r>
        <w:rPr>
          <w:rFonts w:hint="eastAsia" w:ascii="Times New Roman" w:hAnsi="Times New Roman" w:cs="Times New Roman"/>
          <w:lang w:val="en-US" w:eastAsia="zh-CN"/>
        </w:rPr>
        <w:t>行为机理</w:t>
      </w:r>
      <w:r>
        <w:rPr>
          <w:rFonts w:hint="default" w:ascii="Times New Roman" w:hAnsi="Times New Roman" w:eastAsia="宋体" w:cs="Times New Roman"/>
          <w:lang w:eastAsia="zh-CN"/>
        </w:rPr>
        <w:t>。</w:t>
      </w:r>
      <w:r>
        <w:rPr>
          <w:rFonts w:hint="eastAsia" w:ascii="Times New Roman" w:hAnsi="Times New Roman" w:cs="Times New Roman"/>
          <w:lang w:val="en-US" w:eastAsia="zh-CN"/>
        </w:rPr>
        <w:t>因此，</w:t>
      </w:r>
      <w:r>
        <w:rPr>
          <w:rFonts w:hint="default" w:ascii="Times New Roman" w:hAnsi="Times New Roman" w:eastAsia="宋体" w:cs="Times New Roman"/>
          <w:lang w:eastAsia="zh-CN"/>
        </w:rPr>
        <w:t>本研究构建了校园共享道路中行人的行为决策模型</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如图</w:t>
      </w:r>
      <w:r>
        <w:rPr>
          <w:rFonts w:hint="eastAsia" w:ascii="Times New Roman" w:hAnsi="Times New Roman" w:cs="Times New Roman"/>
          <w:lang w:val="en-US" w:eastAsia="zh-CN"/>
        </w:rPr>
        <w:t>5</w:t>
      </w:r>
      <w:r>
        <w:rPr>
          <w:rFonts w:hint="eastAsia" w:ascii="Times New Roman" w:hAnsi="Times New Roman" w:eastAsia="宋体" w:cs="Times New Roman"/>
          <w:lang w:val="en-US" w:eastAsia="zh-CN"/>
        </w:rPr>
        <w:t>所示</w:t>
      </w:r>
      <w:r>
        <w:rPr>
          <w:rFonts w:hint="eastAsia" w:ascii="Times New Roman" w:hAnsi="Times New Roman" w:eastAsia="宋体" w:cs="Times New Roman"/>
          <w:lang w:eastAsia="zh-CN"/>
        </w:rPr>
        <w:t>）</w:t>
      </w:r>
      <w:r>
        <w:rPr>
          <w:rFonts w:hint="default" w:ascii="Times New Roman" w:hAnsi="Times New Roman" w:eastAsia="宋体" w:cs="Times New Roman"/>
          <w:lang w:eastAsia="zh-CN"/>
        </w:rPr>
        <w:t>。该</w:t>
      </w:r>
      <w:r>
        <w:rPr>
          <w:rFonts w:hint="eastAsia" w:ascii="Times New Roman" w:hAnsi="Times New Roman" w:cs="Times New Roman"/>
          <w:lang w:eastAsia="zh-CN"/>
        </w:rPr>
        <w:t>模型</w:t>
      </w:r>
      <w:r>
        <w:rPr>
          <w:rFonts w:hint="default" w:ascii="Times New Roman" w:hAnsi="Times New Roman" w:eastAsia="宋体" w:cs="Times New Roman"/>
          <w:lang w:eastAsia="zh-CN"/>
        </w:rPr>
        <w:t>表明，行人的决策过程起始于对</w:t>
      </w:r>
      <w:r>
        <w:rPr>
          <w:rFonts w:hint="eastAsia" w:ascii="Times New Roman" w:hAnsi="Times New Roman" w:cs="Times New Roman"/>
          <w:lang w:val="en-US" w:eastAsia="zh-CN"/>
        </w:rPr>
        <w:t>共享交通</w:t>
      </w:r>
      <w:r>
        <w:rPr>
          <w:rFonts w:hint="default" w:ascii="Times New Roman" w:hAnsi="Times New Roman" w:eastAsia="宋体" w:cs="Times New Roman"/>
          <w:lang w:eastAsia="zh-CN"/>
        </w:rPr>
        <w:t>环境</w:t>
      </w:r>
      <w:r>
        <w:rPr>
          <w:rFonts w:hint="eastAsia" w:ascii="Times New Roman" w:hAnsi="Times New Roman" w:cs="Times New Roman"/>
          <w:lang w:val="en-US" w:eastAsia="zh-CN"/>
        </w:rPr>
        <w:t>的风险</w:t>
      </w:r>
      <w:r>
        <w:rPr>
          <w:rFonts w:hint="default" w:ascii="Times New Roman" w:hAnsi="Times New Roman" w:eastAsia="宋体" w:cs="Times New Roman"/>
          <w:lang w:eastAsia="zh-CN"/>
        </w:rPr>
        <w:t>感知，此感知主要源于过往的冲突经验（β=0.487）以及对当前环境危险性的评估。较高的风险感知引发了强烈的安全态度（β=0.516）</w:t>
      </w:r>
      <w:r>
        <w:rPr>
          <w:rFonts w:hint="eastAsia" w:ascii="Times New Roman" w:hAnsi="Times New Roman" w:cs="Times New Roman"/>
          <w:lang w:val="en-US" w:eastAsia="zh-CN"/>
        </w:rPr>
        <w:t>变化</w:t>
      </w:r>
      <w:r>
        <w:rPr>
          <w:rFonts w:hint="default" w:ascii="Times New Roman" w:hAnsi="Times New Roman" w:eastAsia="宋体" w:cs="Times New Roman"/>
          <w:lang w:eastAsia="zh-CN"/>
        </w:rPr>
        <w:t>，即对交通安全重要性的认知与重视。这种安全态度进一步转化为谨慎的行为意向（β=0.378），具体表现为更倾向于遵守交通规则、选择安全路线以及避让</w:t>
      </w:r>
      <w:r>
        <w:rPr>
          <w:rFonts w:hint="eastAsia" w:ascii="Times New Roman" w:hAnsi="Times New Roman" w:cs="Times New Roman"/>
          <w:lang w:val="en-US" w:eastAsia="zh-CN"/>
        </w:rPr>
        <w:t>骑行者</w:t>
      </w:r>
      <w:r>
        <w:rPr>
          <w:rFonts w:hint="default" w:ascii="Times New Roman" w:hAnsi="Times New Roman" w:eastAsia="宋体" w:cs="Times New Roman"/>
          <w:lang w:eastAsia="zh-CN"/>
        </w:rPr>
        <w:t>等。</w:t>
      </w:r>
    </w:p>
    <w:p w14:paraId="02F957C8">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行人模型中的调节机制亦值得关注。主观规范在行人群体中发挥了</w:t>
      </w:r>
      <w:r>
        <w:rPr>
          <w:rFonts w:hint="eastAsia" w:ascii="Times New Roman" w:hAnsi="Times New Roman" w:cs="Times New Roman"/>
          <w:lang w:val="en-US" w:eastAsia="zh-CN"/>
        </w:rPr>
        <w:t>“</w:t>
      </w:r>
      <w:r>
        <w:rPr>
          <w:rFonts w:hint="default" w:ascii="Times New Roman" w:hAnsi="Times New Roman" w:cs="Times New Roman"/>
          <w:lang w:val="en-US" w:eastAsia="zh-CN"/>
        </w:rPr>
        <w:t>社会强化</w:t>
      </w:r>
      <w:r>
        <w:rPr>
          <w:rFonts w:hint="eastAsia" w:ascii="Times New Roman" w:hAnsi="Times New Roman" w:cs="Times New Roman"/>
          <w:lang w:val="en-US" w:eastAsia="zh-CN"/>
        </w:rPr>
        <w:t>”</w:t>
      </w:r>
      <w:r>
        <w:rPr>
          <w:rFonts w:hint="default" w:ascii="Times New Roman" w:hAnsi="Times New Roman" w:cs="Times New Roman"/>
          <w:lang w:val="en-US" w:eastAsia="zh-CN"/>
        </w:rPr>
        <w:t>功能。当周围人群均注重安全时，个体的安全行为会得到强化；反之，若环境中存在大量违规行为，个体的安全意识可能会被削弱。知觉行为控制在行人模型中的作用相对较弱（β=0.158），这可能是由于行人的行动自由度较高，较少受到技能或条件的限制。</w:t>
      </w:r>
      <w:r>
        <w:rPr>
          <w:rFonts w:hint="eastAsia" w:ascii="Times New Roman" w:hAnsi="Times New Roman" w:cs="Times New Roman"/>
          <w:lang w:val="en-US" w:eastAsia="zh-CN"/>
        </w:rPr>
        <w:t>同时，</w:t>
      </w:r>
      <w:r>
        <w:rPr>
          <w:rFonts w:hint="default" w:ascii="Times New Roman" w:hAnsi="Times New Roman" w:cs="Times New Roman"/>
          <w:lang w:val="en-US" w:eastAsia="zh-CN"/>
        </w:rPr>
        <w:t>行人决策模型还揭示了一个“脆弱性悖论”：正是由于行人在交通系统中处于弱势地位，缺乏保护措施，反而形成了更强的风险意识和安全态度。数据显示，尽管行人实际经历的冲突事件比例低于骑行者，但其风险感知水平更高。这种高风险感知通过情感路径有效地转化为安全行为意向，形成了自我保护机制。</w:t>
      </w:r>
    </w:p>
    <w:p w14:paraId="42E3779B">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drawing>
          <wp:anchor distT="0" distB="0" distL="114300" distR="114300" simplePos="0" relativeHeight="251660288" behindDoc="0" locked="0" layoutInCell="1" allowOverlap="1">
            <wp:simplePos x="0" y="0"/>
            <wp:positionH relativeFrom="column">
              <wp:posOffset>81280</wp:posOffset>
            </wp:positionH>
            <wp:positionV relativeFrom="paragraph">
              <wp:posOffset>148590</wp:posOffset>
            </wp:positionV>
            <wp:extent cx="5088890" cy="1361440"/>
            <wp:effectExtent l="0" t="0" r="1270" b="10160"/>
            <wp:wrapTopAndBottom/>
            <wp:docPr id="1" name="图片 1" descr="2025武汉市社科联-行人和骑行者行为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5武汉市社科联-行人和骑行者行为模型"/>
                    <pic:cNvPicPr>
                      <a:picLocks noChangeAspect="1"/>
                    </pic:cNvPicPr>
                  </pic:nvPicPr>
                  <pic:blipFill>
                    <a:blip r:embed="rId12"/>
                    <a:srcRect l="6156" t="8993" r="6264" b="52218"/>
                    <a:stretch>
                      <a:fillRect/>
                    </a:stretch>
                  </pic:blipFill>
                  <pic:spPr>
                    <a:xfrm>
                      <a:off x="0" y="0"/>
                      <a:ext cx="5088890" cy="1361440"/>
                    </a:xfrm>
                    <a:prstGeom prst="rect">
                      <a:avLst/>
                    </a:prstGeom>
                  </pic:spPr>
                </pic:pic>
              </a:graphicData>
            </a:graphic>
          </wp:anchor>
        </w:drawing>
      </w:r>
      <w:r>
        <w:rPr>
          <w:rFonts w:hint="eastAsia" w:ascii="Times New Roman" w:hAnsi="Times New Roman" w:cs="Times New Roman"/>
          <w:lang w:val="en-US" w:eastAsia="zh-CN"/>
        </w:rPr>
        <w:t>图5 行人行为决策模型</w:t>
      </w:r>
    </w:p>
    <w:p w14:paraId="69C7FC11">
      <w:pPr>
        <w:pStyle w:val="4"/>
        <w:numPr>
          <w:ilvl w:val="0"/>
          <w:numId w:val="0"/>
        </w:numPr>
        <w:ind w:firstLine="480" w:firstLineChars="200"/>
        <w:jc w:val="both"/>
        <w:rPr>
          <w:rFonts w:hint="default" w:ascii="Times New Roman" w:hAnsi="Times New Roman" w:eastAsia="宋体" w:cs="Times New Roman"/>
          <w:lang w:val="en-US" w:eastAsia="zh-CN"/>
        </w:rPr>
      </w:pPr>
    </w:p>
    <w:p w14:paraId="3FFBD3B3">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（3）共享道路冲突主体</w:t>
      </w:r>
      <w:r>
        <w:rPr>
          <w:rFonts w:hint="eastAsia" w:ascii="黑体" w:hAnsi="黑体" w:eastAsia="黑体" w:cs="黑体"/>
          <w:lang w:val="en-US" w:eastAsia="zh-CN"/>
        </w:rPr>
        <w:t>—</w:t>
      </w:r>
      <w:r>
        <w:rPr>
          <w:rFonts w:hint="default" w:ascii="黑体" w:hAnsi="黑体" w:eastAsia="黑体" w:cs="黑体"/>
          <w:lang w:val="en-US" w:eastAsia="zh-CN"/>
        </w:rPr>
        <w:t>骑行者行为决策模型</w:t>
      </w:r>
    </w:p>
    <w:p w14:paraId="662D0E32">
      <w:pPr>
        <w:pStyle w:val="4"/>
        <w:numPr>
          <w:ilvl w:val="0"/>
          <w:numId w:val="0"/>
        </w:numPr>
        <w:ind w:firstLine="480" w:firstLineChars="200"/>
        <w:jc w:val="both"/>
        <w:rPr>
          <w:rFonts w:hint="default" w:ascii="Times New Roman" w:hAnsi="Times New Roman" w:eastAsia="宋体" w:cs="Times New Roman"/>
          <w:lang w:eastAsia="zh-CN"/>
        </w:rPr>
      </w:pPr>
      <w:r>
        <w:rPr>
          <w:rFonts w:hint="eastAsia" w:ascii="Times New Roman" w:hAnsi="Times New Roman" w:cs="Times New Roman"/>
          <w:lang w:val="en-US" w:eastAsia="zh-CN"/>
        </w:rPr>
        <w:t>实证研究结果</w:t>
      </w:r>
      <w:r>
        <w:rPr>
          <w:rFonts w:hint="default" w:ascii="Times New Roman" w:hAnsi="Times New Roman" w:eastAsia="宋体" w:cs="Times New Roman"/>
          <w:lang w:eastAsia="zh-CN"/>
        </w:rPr>
        <w:t>反映了骑行者更注重实际操作层面的因素，遵循</w:t>
      </w:r>
      <w:r>
        <w:rPr>
          <w:rFonts w:hint="eastAsia" w:ascii="Times New Roman" w:hAnsi="Times New Roman" w:cs="Times New Roman"/>
          <w:lang w:eastAsia="zh-CN"/>
        </w:rPr>
        <w:t>“</w:t>
      </w:r>
      <w:r>
        <w:rPr>
          <w:rFonts w:hint="eastAsia" w:ascii="Times New Roman" w:hAnsi="Times New Roman" w:cs="Times New Roman"/>
          <w:lang w:val="en-US" w:eastAsia="zh-CN"/>
        </w:rPr>
        <w:t>感知易用性</w:t>
      </w:r>
      <w:r>
        <w:rPr>
          <w:rFonts w:hint="default" w:ascii="Times New Roman" w:hAnsi="Times New Roman" w:eastAsia="宋体" w:cs="Times New Roman"/>
          <w:lang w:eastAsia="zh-CN"/>
        </w:rPr>
        <w:t>→</w:t>
      </w:r>
      <w:r>
        <w:rPr>
          <w:rFonts w:hint="eastAsia" w:ascii="Times New Roman" w:hAnsi="Times New Roman" w:cs="Times New Roman"/>
          <w:lang w:val="en-US" w:eastAsia="zh-CN"/>
        </w:rPr>
        <w:t>知觉行为控制</w:t>
      </w:r>
      <w:r>
        <w:rPr>
          <w:rFonts w:hint="default" w:ascii="Times New Roman" w:hAnsi="Times New Roman" w:eastAsia="宋体" w:cs="Times New Roman"/>
          <w:lang w:eastAsia="zh-CN"/>
        </w:rPr>
        <w:t>→行为意图</w:t>
      </w:r>
      <w:r>
        <w:rPr>
          <w:rFonts w:hint="eastAsia" w:ascii="Times New Roman" w:hAnsi="Times New Roman" w:cs="Times New Roman"/>
          <w:lang w:eastAsia="zh-CN"/>
        </w:rPr>
        <w:t>”</w:t>
      </w:r>
      <w:r>
        <w:rPr>
          <w:rFonts w:hint="default" w:ascii="Times New Roman" w:hAnsi="Times New Roman" w:eastAsia="宋体" w:cs="Times New Roman"/>
          <w:lang w:eastAsia="zh-CN"/>
        </w:rPr>
        <w:t>的</w:t>
      </w:r>
      <w:r>
        <w:rPr>
          <w:rFonts w:hint="eastAsia" w:ascii="Times New Roman" w:hAnsi="Times New Roman" w:cs="Times New Roman"/>
          <w:lang w:val="en-US" w:eastAsia="zh-CN"/>
        </w:rPr>
        <w:t>行为机理</w:t>
      </w:r>
      <w:r>
        <w:rPr>
          <w:rFonts w:hint="default" w:ascii="Times New Roman" w:hAnsi="Times New Roman" w:eastAsia="宋体" w:cs="Times New Roman"/>
          <w:lang w:eastAsia="zh-CN"/>
        </w:rPr>
        <w:t>。</w:t>
      </w:r>
      <w:r>
        <w:rPr>
          <w:rFonts w:hint="eastAsia" w:ascii="Times New Roman" w:hAnsi="Times New Roman" w:cs="Times New Roman"/>
          <w:lang w:val="en-US" w:eastAsia="zh-CN"/>
        </w:rPr>
        <w:t>因此，</w:t>
      </w:r>
      <w:r>
        <w:rPr>
          <w:rFonts w:hint="default" w:ascii="Times New Roman" w:hAnsi="Times New Roman" w:eastAsia="宋体" w:cs="Times New Roman"/>
          <w:lang w:eastAsia="zh-CN"/>
        </w:rPr>
        <w:t>骑行者的行为决策模型</w:t>
      </w:r>
      <w:r>
        <w:rPr>
          <w:rFonts w:hint="eastAsia" w:ascii="Times New Roman" w:hAnsi="Times New Roman" w:cs="Times New Roman"/>
          <w:lang w:val="en-US" w:eastAsia="zh-CN"/>
        </w:rPr>
        <w:t>以</w:t>
      </w:r>
      <w:r>
        <w:rPr>
          <w:rFonts w:hint="default" w:ascii="Times New Roman" w:hAnsi="Times New Roman" w:eastAsia="宋体" w:cs="Times New Roman"/>
          <w:lang w:eastAsia="zh-CN"/>
        </w:rPr>
        <w:t>知觉行为控制</w:t>
      </w:r>
      <w:r>
        <w:rPr>
          <w:rFonts w:hint="eastAsia" w:ascii="Times New Roman" w:hAnsi="Times New Roman" w:cs="Times New Roman"/>
          <w:lang w:val="en-US" w:eastAsia="zh-CN"/>
        </w:rPr>
        <w:t>为核心</w:t>
      </w:r>
      <w:r>
        <w:rPr>
          <w:rFonts w:hint="default" w:ascii="Times New Roman" w:hAnsi="Times New Roman" w:eastAsia="宋体" w:cs="Times New Roman"/>
          <w:lang w:eastAsia="zh-CN"/>
        </w:rPr>
        <w:t>，也就是骑行者对自身驾驭交通环境能力的评估</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如图</w:t>
      </w:r>
      <w:r>
        <w:rPr>
          <w:rFonts w:hint="eastAsia" w:ascii="Times New Roman" w:hAnsi="Times New Roman" w:cs="Times New Roman"/>
          <w:lang w:val="en-US" w:eastAsia="zh-CN"/>
        </w:rPr>
        <w:t>6</w:t>
      </w:r>
      <w:r>
        <w:rPr>
          <w:rFonts w:hint="eastAsia" w:ascii="Times New Roman" w:hAnsi="Times New Roman" w:eastAsia="宋体" w:cs="Times New Roman"/>
          <w:lang w:val="en-US" w:eastAsia="zh-CN"/>
        </w:rPr>
        <w:t>所示</w:t>
      </w:r>
      <w:r>
        <w:rPr>
          <w:rFonts w:hint="eastAsia" w:ascii="Times New Roman" w:hAnsi="Times New Roman" w:eastAsia="宋体" w:cs="Times New Roman"/>
          <w:lang w:eastAsia="zh-CN"/>
        </w:rPr>
        <w:t>）</w:t>
      </w:r>
      <w:r>
        <w:rPr>
          <w:rFonts w:hint="default" w:ascii="Times New Roman" w:hAnsi="Times New Roman" w:eastAsia="宋体" w:cs="Times New Roman"/>
          <w:lang w:eastAsia="zh-CN"/>
        </w:rPr>
        <w:t>。这种控制感主要受两个因素的影响：其一为感知易用性（β=0.456），即基础设施是否利于骑行；其二为个人的骑行技能与经验。当骑行者认为自身具备应对交通状况的能力时，更易倾向于采取积极的安全行为（β=0.324）。</w:t>
      </w:r>
    </w:p>
    <w:p w14:paraId="7CD983D6">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在骑行者模型中，</w:t>
      </w:r>
      <w:r>
        <w:rPr>
          <w:rFonts w:hint="eastAsia" w:ascii="Times New Roman" w:hAnsi="Times New Roman" w:cs="Times New Roman"/>
          <w:lang w:eastAsia="zh-CN"/>
        </w:rPr>
        <w:t>环境因素</w:t>
      </w:r>
      <w:r>
        <w:rPr>
          <w:rFonts w:hint="eastAsia" w:ascii="Times New Roman" w:hAnsi="Times New Roman" w:cs="Times New Roman"/>
          <w:lang w:val="en-US" w:eastAsia="zh-CN"/>
        </w:rPr>
        <w:t>可能发</w:t>
      </w:r>
      <w:r>
        <w:rPr>
          <w:rFonts w:hint="default" w:ascii="Times New Roman" w:hAnsi="Times New Roman" w:eastAsia="宋体" w:cs="Times New Roman"/>
          <w:lang w:eastAsia="zh-CN"/>
        </w:rPr>
        <w:t>挥着关键作用。感知易用性不仅通过知觉行为控制对行为产生间接影响，还体现了骑行者对</w:t>
      </w:r>
      <w:r>
        <w:rPr>
          <w:rFonts w:hint="eastAsia" w:ascii="Times New Roman" w:hAnsi="Times New Roman" w:cs="Times New Roman"/>
          <w:lang w:val="en-US" w:eastAsia="zh-CN"/>
        </w:rPr>
        <w:t>交通环境资源</w:t>
      </w:r>
      <w:r>
        <w:rPr>
          <w:rFonts w:hint="default" w:ascii="Times New Roman" w:hAnsi="Times New Roman" w:eastAsia="宋体" w:cs="Times New Roman"/>
          <w:lang w:eastAsia="zh-CN"/>
        </w:rPr>
        <w:t>的依赖。良好的自行车道、清晰的标识以及合理的交通设计能够显著增强骑行者的控制感。数据表明，在基础设施完善的区域，骑行者的安全行为意图提升了23.4%。</w:t>
      </w:r>
      <w:r>
        <w:rPr>
          <w:rFonts w:hint="eastAsia" w:ascii="Times New Roman" w:hAnsi="Times New Roman" w:cs="Times New Roman"/>
          <w:lang w:val="en-US" w:eastAsia="zh-CN"/>
        </w:rPr>
        <w:t>因此</w:t>
      </w:r>
      <w:r>
        <w:rPr>
          <w:rFonts w:hint="default" w:ascii="Times New Roman" w:hAnsi="Times New Roman" w:eastAsia="宋体" w:cs="Times New Roman"/>
          <w:lang w:eastAsia="zh-CN"/>
        </w:rPr>
        <w:t>，改善硬件设施或许是提升骑行者安全行为最为有效的途径。值得注意的是，在骑行者模型中，风险感知的作用相对较弱。尽管骑行者经历了较多的冲突事件，但这些经历并未转化为相应的风险意识</w:t>
      </w:r>
      <w:r>
        <w:rPr>
          <w:rFonts w:hint="eastAsia" w:ascii="Times New Roman" w:hAnsi="Times New Roman" w:cs="Times New Roman"/>
          <w:lang w:eastAsia="zh-CN"/>
        </w:rPr>
        <w:t>，</w:t>
      </w:r>
      <w:r>
        <w:rPr>
          <w:rFonts w:hint="default" w:ascii="Times New Roman" w:hAnsi="Times New Roman" w:eastAsia="宋体" w:cs="Times New Roman"/>
          <w:lang w:eastAsia="zh-CN"/>
        </w:rPr>
        <w:t>频繁的冲突经历使骑行者对风险产生了适应，或对自身的应对能力过度自信。这一现象</w:t>
      </w:r>
      <w:r>
        <w:rPr>
          <w:rFonts w:hint="eastAsia" w:ascii="Times New Roman" w:hAnsi="Times New Roman" w:cs="Times New Roman"/>
          <w:lang w:val="en-US" w:eastAsia="zh-CN"/>
        </w:rPr>
        <w:t>表明：</w:t>
      </w:r>
      <w:r>
        <w:rPr>
          <w:rFonts w:hint="default" w:ascii="Times New Roman" w:hAnsi="Times New Roman" w:eastAsia="宋体" w:cs="Times New Roman"/>
          <w:lang w:eastAsia="zh-CN"/>
        </w:rPr>
        <w:t>需要从提升实际控制能力和改善</w:t>
      </w:r>
      <w:r>
        <w:rPr>
          <w:rFonts w:hint="eastAsia" w:ascii="Times New Roman" w:hAnsi="Times New Roman" w:cs="Times New Roman"/>
          <w:lang w:val="en-US" w:eastAsia="zh-CN"/>
        </w:rPr>
        <w:t>共享道路的实际交通</w:t>
      </w:r>
      <w:r>
        <w:rPr>
          <w:rFonts w:hint="default" w:ascii="Times New Roman" w:hAnsi="Times New Roman" w:eastAsia="宋体" w:cs="Times New Roman"/>
          <w:lang w:eastAsia="zh-CN"/>
        </w:rPr>
        <w:t>环境条</w:t>
      </w:r>
      <w:r>
        <w:rPr>
          <w:rFonts w:hint="eastAsia" w:ascii="Times New Roman" w:hAnsi="Times New Roman" w:cs="Times New Roman"/>
          <w:lang w:eastAsia="zh-CN"/>
        </w:rPr>
        <w:t>件等</w:t>
      </w:r>
      <w:r>
        <w:rPr>
          <w:rFonts w:hint="default" w:ascii="Times New Roman" w:hAnsi="Times New Roman" w:eastAsia="宋体" w:cs="Times New Roman"/>
          <w:lang w:eastAsia="zh-CN"/>
        </w:rPr>
        <w:t>方面着手</w:t>
      </w:r>
      <w:r>
        <w:rPr>
          <w:rFonts w:hint="eastAsia" w:ascii="Times New Roman" w:hAnsi="Times New Roman" w:cs="Times New Roman"/>
          <w:lang w:eastAsia="zh-CN"/>
        </w:rPr>
        <w:t>，</w:t>
      </w:r>
      <w:r>
        <w:rPr>
          <w:rFonts w:hint="eastAsia" w:ascii="Times New Roman" w:hAnsi="Times New Roman" w:cs="Times New Roman"/>
          <w:lang w:val="en-US" w:eastAsia="zh-CN"/>
        </w:rPr>
        <w:t>以降低骑行者群体在共享道路环境中的危险交通行为</w:t>
      </w:r>
      <w:r>
        <w:rPr>
          <w:rFonts w:hint="default" w:ascii="Times New Roman" w:hAnsi="Times New Roman" w:eastAsia="宋体" w:cs="Times New Roman"/>
          <w:lang w:eastAsia="zh-CN"/>
        </w:rPr>
        <w:t>。</w:t>
      </w:r>
    </w:p>
    <w:p w14:paraId="76A48764">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drawing>
          <wp:anchor distT="0" distB="0" distL="114300" distR="114300" simplePos="0" relativeHeight="251661312" behindDoc="0" locked="0" layoutInCell="1" allowOverlap="1">
            <wp:simplePos x="0" y="0"/>
            <wp:positionH relativeFrom="column">
              <wp:posOffset>21590</wp:posOffset>
            </wp:positionH>
            <wp:positionV relativeFrom="paragraph">
              <wp:posOffset>158750</wp:posOffset>
            </wp:positionV>
            <wp:extent cx="5231130" cy="1557655"/>
            <wp:effectExtent l="0" t="0" r="0" b="0"/>
            <wp:wrapTopAndBottom/>
            <wp:docPr id="2" name="图片 2" descr="2025武汉市社科联-行人和骑行者行为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5武汉市社科联-行人和骑行者行为模型"/>
                    <pic:cNvPicPr>
                      <a:picLocks noChangeAspect="1"/>
                    </pic:cNvPicPr>
                  </pic:nvPicPr>
                  <pic:blipFill>
                    <a:blip r:embed="rId12"/>
                    <a:srcRect l="4757" t="52703" r="5215" b="2918"/>
                    <a:stretch>
                      <a:fillRect/>
                    </a:stretch>
                  </pic:blipFill>
                  <pic:spPr>
                    <a:xfrm>
                      <a:off x="0" y="0"/>
                      <a:ext cx="5231130" cy="1557655"/>
                    </a:xfrm>
                    <a:prstGeom prst="rect">
                      <a:avLst/>
                    </a:prstGeom>
                  </pic:spPr>
                </pic:pic>
              </a:graphicData>
            </a:graphic>
          </wp:anchor>
        </w:drawing>
      </w:r>
      <w:r>
        <w:rPr>
          <w:rFonts w:hint="eastAsia" w:ascii="Times New Roman" w:hAnsi="Times New Roman" w:cs="Times New Roman"/>
          <w:lang w:val="en-US" w:eastAsia="zh-CN"/>
        </w:rPr>
        <w:t>图6 骑行者行为决策模型</w:t>
      </w:r>
    </w:p>
    <w:p w14:paraId="55356B85">
      <w:pPr>
        <w:pStyle w:val="4"/>
        <w:numPr>
          <w:ilvl w:val="0"/>
          <w:numId w:val="0"/>
        </w:numPr>
        <w:ind w:firstLine="480" w:firstLineChars="200"/>
        <w:jc w:val="both"/>
        <w:rPr>
          <w:rFonts w:hint="default" w:ascii="Times New Roman" w:hAnsi="Times New Roman" w:eastAsia="宋体" w:cs="Times New Roman"/>
          <w:lang w:eastAsia="zh-CN"/>
        </w:rPr>
      </w:pPr>
    </w:p>
    <w:p w14:paraId="20970EA0">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3共享道路交通冲突主体认知偏差与需求分析</w:t>
      </w:r>
    </w:p>
    <w:p w14:paraId="5F7459A5">
      <w:pPr>
        <w:pStyle w:val="4"/>
        <w:jc w:val="both"/>
        <w:rPr>
          <w:rFonts w:hint="eastAsia" w:ascii="Times New Roman" w:hAnsi="Times New Roman" w:eastAsia="宋体" w:cs="Times New Roman"/>
          <w:lang w:eastAsia="zh-CN"/>
        </w:rPr>
      </w:pPr>
      <w:r>
        <w:rPr>
          <w:rFonts w:hint="default" w:ascii="Times New Roman" w:hAnsi="Times New Roman" w:cs="Times New Roman"/>
        </w:rPr>
        <w:t>高校校园作为一个独特的交通环境，其共享道路系统承载着步行、骑行等多种交通模式的混合通行需求。在</w:t>
      </w:r>
      <w:r>
        <w:rPr>
          <w:rFonts w:hint="eastAsia" w:ascii="Times New Roman" w:hAnsi="Times New Roman" w:cs="Times New Roman"/>
          <w:lang w:val="en-US" w:eastAsia="zh-CN"/>
        </w:rPr>
        <w:t>此类</w:t>
      </w:r>
      <w:r>
        <w:rPr>
          <w:rFonts w:hint="default" w:ascii="Times New Roman" w:hAnsi="Times New Roman" w:cs="Times New Roman"/>
        </w:rPr>
        <w:t>复杂的交通环境中，道路使用者的主观安全认知与道路客观安全属性之间往往存在显著偏差。</w:t>
      </w:r>
      <w:r>
        <w:rPr>
          <w:rFonts w:hint="eastAsia" w:ascii="Times New Roman" w:hAnsi="Times New Roman" w:cs="Times New Roman"/>
          <w:lang w:val="en-US" w:eastAsia="zh-CN"/>
        </w:rPr>
        <w:t>此类</w:t>
      </w:r>
      <w:r>
        <w:rPr>
          <w:rFonts w:hint="default" w:ascii="Times New Roman" w:hAnsi="Times New Roman" w:cs="Times New Roman"/>
        </w:rPr>
        <w:t>认知偏差不仅影响着</w:t>
      </w:r>
      <w:r>
        <w:rPr>
          <w:rFonts w:hint="eastAsia" w:ascii="Times New Roman" w:hAnsi="Times New Roman" w:cs="Times New Roman"/>
          <w:lang w:val="en-US" w:eastAsia="zh-CN"/>
        </w:rPr>
        <w:t>共享道路</w:t>
      </w:r>
      <w:r>
        <w:rPr>
          <w:rFonts w:hint="default" w:ascii="Times New Roman" w:hAnsi="Times New Roman" w:cs="Times New Roman"/>
        </w:rPr>
        <w:t>交通参与者的行为决策，更是导致交通冲突和事故的重要诱因。本研究旨在深入探究道路客观安全属性与使用者主观认知之间的差异，通过对主客观认知偏差进行量化分析，揭示哪些路段或道路要素被用户低估了风险或高估了安全性，以及导致认知偏差的潜在因素。本研究立足于设计学的人本主义范式</w:t>
      </w:r>
      <w:r>
        <w:rPr>
          <w:rFonts w:hint="eastAsia" w:ascii="Times New Roman" w:hAnsi="Times New Roman" w:cs="Times New Roman"/>
          <w:lang w:eastAsia="zh-CN"/>
        </w:rPr>
        <w:t>，</w:t>
      </w:r>
      <w:r>
        <w:rPr>
          <w:rFonts w:hint="default" w:ascii="Times New Roman" w:hAnsi="Times New Roman" w:cs="Times New Roman"/>
        </w:rPr>
        <w:t>将安全认知偏差作为核心研究对象</w:t>
      </w:r>
      <w:r>
        <w:rPr>
          <w:rFonts w:hint="eastAsia" w:ascii="Times New Roman" w:hAnsi="Times New Roman" w:cs="Times New Roman"/>
          <w:lang w:eastAsia="zh-CN"/>
        </w:rPr>
        <w:t>，</w:t>
      </w:r>
      <w:r>
        <w:rPr>
          <w:rFonts w:hint="default" w:ascii="Times New Roman" w:hAnsi="Times New Roman" w:cs="Times New Roman"/>
        </w:rPr>
        <w:t>旨在揭示</w:t>
      </w:r>
      <w:r>
        <w:rPr>
          <w:rFonts w:hint="eastAsia" w:ascii="Times New Roman" w:hAnsi="Times New Roman" w:cs="Times New Roman"/>
          <w:lang w:val="en-US" w:eastAsia="zh-CN"/>
        </w:rPr>
        <w:t>高校</w:t>
      </w:r>
      <w:r>
        <w:rPr>
          <w:rFonts w:hint="default" w:ascii="Times New Roman" w:hAnsi="Times New Roman" w:cs="Times New Roman"/>
        </w:rPr>
        <w:t>共享道路中主观感知与客观风险之间的系统性差异</w:t>
      </w:r>
      <w:r>
        <w:rPr>
          <w:rFonts w:hint="eastAsia" w:ascii="Times New Roman" w:hAnsi="Times New Roman" w:cs="Times New Roman"/>
          <w:lang w:eastAsia="zh-CN"/>
        </w:rPr>
        <w:t>，</w:t>
      </w:r>
      <w:r>
        <w:rPr>
          <w:rFonts w:hint="default" w:ascii="Times New Roman" w:hAnsi="Times New Roman" w:cs="Times New Roman"/>
        </w:rPr>
        <w:t>并基于这种差异</w:t>
      </w:r>
      <w:r>
        <w:rPr>
          <w:rFonts w:hint="eastAsia" w:ascii="Times New Roman" w:hAnsi="Times New Roman" w:cs="Times New Roman"/>
          <w:lang w:val="en-US" w:eastAsia="zh-CN"/>
        </w:rPr>
        <w:t>形成构建面向高校共享道路的安全引导需求清单</w:t>
      </w:r>
      <w:r>
        <w:rPr>
          <w:rFonts w:hint="default" w:ascii="Times New Roman" w:hAnsi="Times New Roman" w:cs="Times New Roman"/>
        </w:rPr>
        <w:t>。</w:t>
      </w:r>
      <w:r>
        <w:rPr>
          <w:rFonts w:hint="eastAsia" w:ascii="Times New Roman" w:hAnsi="Times New Roman" w:cs="Times New Roman"/>
          <w:lang w:val="en-US" w:eastAsia="zh-CN"/>
        </w:rPr>
        <w:t>本</w:t>
      </w:r>
      <w:r>
        <w:rPr>
          <w:rFonts w:hint="default" w:ascii="Times New Roman" w:hAnsi="Times New Roman" w:cs="Times New Roman"/>
        </w:rPr>
        <w:t>研究关注三个核心问题</w:t>
      </w:r>
      <w:r>
        <w:rPr>
          <w:rFonts w:hint="eastAsia" w:ascii="Times New Roman" w:hAnsi="Times New Roman" w:cs="Times New Roman"/>
          <w:lang w:eastAsia="zh-CN"/>
        </w:rPr>
        <w:t>：</w:t>
      </w:r>
      <w:r>
        <w:rPr>
          <w:rFonts w:hint="default" w:ascii="Times New Roman" w:hAnsi="Times New Roman" w:cs="Times New Roman"/>
        </w:rPr>
        <w:t>第一</w:t>
      </w:r>
      <w:r>
        <w:rPr>
          <w:rFonts w:hint="eastAsia" w:ascii="Times New Roman" w:hAnsi="Times New Roman" w:cs="Times New Roman"/>
          <w:lang w:eastAsia="zh-CN"/>
        </w:rPr>
        <w:t>，</w:t>
      </w:r>
      <w:r>
        <w:rPr>
          <w:rFonts w:hint="eastAsia" w:ascii="Times New Roman" w:hAnsi="Times New Roman" w:cs="Times New Roman"/>
          <w:lang w:val="en-US" w:eastAsia="zh-CN"/>
        </w:rPr>
        <w:t>高校</w:t>
      </w:r>
      <w:r>
        <w:rPr>
          <w:rFonts w:hint="default" w:ascii="Times New Roman" w:hAnsi="Times New Roman" w:cs="Times New Roman"/>
        </w:rPr>
        <w:t>共享道路中安全认知偏差的分布特征是什么</w:t>
      </w:r>
      <w:r>
        <w:rPr>
          <w:rFonts w:hint="eastAsia" w:ascii="Times New Roman" w:hAnsi="Times New Roman" w:cs="Times New Roman"/>
          <w:lang w:eastAsia="zh-CN"/>
        </w:rPr>
        <w:t>；</w:t>
      </w:r>
      <w:r>
        <w:rPr>
          <w:rFonts w:hint="default" w:ascii="Times New Roman" w:hAnsi="Times New Roman" w:cs="Times New Roman"/>
        </w:rPr>
        <w:t>第二</w:t>
      </w:r>
      <w:r>
        <w:rPr>
          <w:rFonts w:hint="eastAsia" w:ascii="Times New Roman" w:hAnsi="Times New Roman" w:cs="Times New Roman"/>
          <w:lang w:eastAsia="zh-CN"/>
        </w:rPr>
        <w:t>，</w:t>
      </w:r>
      <w:r>
        <w:rPr>
          <w:rFonts w:hint="default" w:ascii="Times New Roman" w:hAnsi="Times New Roman" w:cs="Times New Roman"/>
        </w:rPr>
        <w:t>哪些</w:t>
      </w:r>
      <w:r>
        <w:rPr>
          <w:rFonts w:hint="eastAsia" w:ascii="Times New Roman" w:hAnsi="Times New Roman" w:cs="Times New Roman"/>
          <w:lang w:val="en-US" w:eastAsia="zh-CN"/>
        </w:rPr>
        <w:t>共享道路</w:t>
      </w:r>
      <w:r>
        <w:rPr>
          <w:rFonts w:hint="default" w:ascii="Times New Roman" w:hAnsi="Times New Roman" w:cs="Times New Roman"/>
        </w:rPr>
        <w:t>环境要素对认知偏差具有显著影响</w:t>
      </w:r>
      <w:r>
        <w:rPr>
          <w:rFonts w:hint="eastAsia" w:ascii="Times New Roman" w:hAnsi="Times New Roman" w:cs="Times New Roman"/>
          <w:lang w:eastAsia="zh-CN"/>
        </w:rPr>
        <w:t>；</w:t>
      </w:r>
      <w:r>
        <w:rPr>
          <w:rFonts w:hint="default" w:ascii="Times New Roman" w:hAnsi="Times New Roman" w:cs="Times New Roman"/>
        </w:rPr>
        <w:t>第三</w:t>
      </w:r>
      <w:r>
        <w:rPr>
          <w:rFonts w:hint="eastAsia" w:ascii="Times New Roman" w:hAnsi="Times New Roman" w:cs="Times New Roman"/>
          <w:lang w:eastAsia="zh-CN"/>
        </w:rPr>
        <w:t>，</w:t>
      </w:r>
      <w:r>
        <w:rPr>
          <w:rFonts w:hint="eastAsia" w:ascii="Times New Roman" w:hAnsi="Times New Roman" w:cs="Times New Roman"/>
          <w:lang w:val="en-US" w:eastAsia="zh-CN"/>
        </w:rPr>
        <w:t>通过哪些需求能够</w:t>
      </w:r>
      <w:r>
        <w:rPr>
          <w:rFonts w:hint="default" w:ascii="Times New Roman" w:hAnsi="Times New Roman" w:cs="Times New Roman"/>
        </w:rPr>
        <w:t>引导设计干预缩小认知偏差</w:t>
      </w:r>
      <w:r>
        <w:rPr>
          <w:rFonts w:hint="eastAsia" w:ascii="Times New Roman" w:hAnsi="Times New Roman" w:cs="Times New Roman"/>
          <w:lang w:eastAsia="zh-CN"/>
        </w:rPr>
        <w:t>，</w:t>
      </w:r>
      <w:r>
        <w:rPr>
          <w:rFonts w:hint="default" w:ascii="Times New Roman" w:hAnsi="Times New Roman" w:cs="Times New Roman"/>
        </w:rPr>
        <w:t>提升道路使用的安全性与舒适性</w:t>
      </w:r>
      <w:r>
        <w:rPr>
          <w:rFonts w:hint="eastAsia" w:ascii="Times New Roman" w:hAnsi="Times New Roman" w:cs="Times New Roman"/>
          <w:lang w:eastAsia="zh-CN"/>
        </w:rPr>
        <w:t>。</w:t>
      </w:r>
    </w:p>
    <w:p w14:paraId="0BF16573">
      <w:pPr>
        <w:pStyle w:val="4"/>
        <w:jc w:val="both"/>
        <w:rPr>
          <w:rFonts w:hint="default" w:ascii="Times New Roman" w:hAnsi="Times New Roman" w:cs="Times New Roman"/>
          <w:lang w:eastAsia="zh-CN"/>
        </w:rPr>
      </w:pPr>
      <w:r>
        <w:rPr>
          <w:rFonts w:hint="default" w:ascii="Times New Roman" w:hAnsi="Times New Roman" w:cs="Times New Roman"/>
          <w:lang w:eastAsia="zh-CN"/>
        </w:rPr>
        <w:t>通过系统的实证研究，本研究预期形成四</w:t>
      </w:r>
      <w:r>
        <w:rPr>
          <w:rFonts w:hint="eastAsia" w:ascii="Times New Roman" w:hAnsi="Times New Roman" w:cs="Times New Roman"/>
          <w:lang w:val="en-US" w:eastAsia="zh-CN"/>
        </w:rPr>
        <w:t>项</w:t>
      </w:r>
      <w:r>
        <w:rPr>
          <w:rFonts w:hint="default" w:ascii="Times New Roman" w:hAnsi="Times New Roman" w:cs="Times New Roman"/>
          <w:lang w:eastAsia="zh-CN"/>
        </w:rPr>
        <w:t>核心</w:t>
      </w:r>
      <w:r>
        <w:rPr>
          <w:rFonts w:hint="eastAsia" w:ascii="Times New Roman" w:hAnsi="Times New Roman" w:cs="Times New Roman"/>
          <w:lang w:val="en-US" w:eastAsia="zh-CN"/>
        </w:rPr>
        <w:t>内容</w:t>
      </w:r>
      <w:r>
        <w:rPr>
          <w:rFonts w:hint="default" w:ascii="Times New Roman" w:hAnsi="Times New Roman" w:cs="Times New Roman"/>
          <w:lang w:eastAsia="zh-CN"/>
        </w:rPr>
        <w:t>。首先</w:t>
      </w:r>
      <w:r>
        <w:rPr>
          <w:rFonts w:hint="eastAsia" w:ascii="Times New Roman" w:hAnsi="Times New Roman" w:cs="Times New Roman"/>
          <w:lang w:eastAsia="zh-CN"/>
        </w:rPr>
        <w:t>，</w:t>
      </w:r>
      <w:r>
        <w:rPr>
          <w:rFonts w:hint="default" w:ascii="Times New Roman" w:hAnsi="Times New Roman" w:cs="Times New Roman"/>
          <w:lang w:eastAsia="zh-CN"/>
        </w:rPr>
        <w:t>建立校园共享道路主客观安全评价体系，该体系将整合道路物理特征、交通流特征、环境设施特征三个维度，形成标准化的认知偏差测量工具。其次</w:t>
      </w:r>
      <w:r>
        <w:rPr>
          <w:rFonts w:hint="eastAsia" w:ascii="Times New Roman" w:hAnsi="Times New Roman" w:cs="Times New Roman"/>
          <w:lang w:eastAsia="zh-CN"/>
        </w:rPr>
        <w:t>，</w:t>
      </w:r>
      <w:r>
        <w:rPr>
          <w:rFonts w:hint="default" w:ascii="Times New Roman" w:hAnsi="Times New Roman" w:cs="Times New Roman"/>
          <w:lang w:eastAsia="zh-CN"/>
        </w:rPr>
        <w:t>识别典型认知偏差场景类型，通过聚类分析和模式识别，归纳出具有普遍性的偏差模式及其环境特征。第三</w:t>
      </w:r>
      <w:r>
        <w:rPr>
          <w:rFonts w:hint="eastAsia" w:ascii="Times New Roman" w:hAnsi="Times New Roman" w:cs="Times New Roman"/>
          <w:lang w:eastAsia="zh-CN"/>
        </w:rPr>
        <w:t>，</w:t>
      </w:r>
      <w:r>
        <w:rPr>
          <w:rFonts w:hint="default" w:ascii="Times New Roman" w:hAnsi="Times New Roman" w:cs="Times New Roman"/>
          <w:lang w:eastAsia="zh-CN"/>
        </w:rPr>
        <w:t>构建认知偏差影响因素模型，通过多层次统计分析，量化各类因素对认知偏差的影响权重和作用机制。最后</w:t>
      </w:r>
      <w:r>
        <w:rPr>
          <w:rFonts w:hint="eastAsia" w:ascii="Times New Roman" w:hAnsi="Times New Roman" w:cs="Times New Roman"/>
          <w:lang w:eastAsia="zh-CN"/>
        </w:rPr>
        <w:t>，</w:t>
      </w:r>
      <w:r>
        <w:rPr>
          <w:rFonts w:hint="default" w:ascii="Times New Roman" w:hAnsi="Times New Roman" w:cs="Times New Roman"/>
          <w:lang w:eastAsia="zh-CN"/>
        </w:rPr>
        <w:t>形成面向行人与骑行者的道路标识系统视觉设计需求清单，并明确各需求的优先级和实施建议，为后续视觉引导系统原型设计提供科学依据。</w:t>
      </w:r>
    </w:p>
    <w:p w14:paraId="2C47A758">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.1理论</w:t>
      </w:r>
      <w:r>
        <w:rPr>
          <w:rFonts w:hint="eastAsia" w:ascii="黑体" w:hAnsi="黑体" w:eastAsia="黑体"/>
          <w:b w:val="0"/>
          <w:bCs w:val="0"/>
          <w:sz w:val="30"/>
          <w:szCs w:val="30"/>
          <w:lang w:val="en-US" w:eastAsia="zh-CN"/>
        </w:rPr>
        <w:t>研究</w:t>
      </w:r>
      <w:r>
        <w:rPr>
          <w:rFonts w:hint="default" w:ascii="黑体" w:hAnsi="黑体" w:eastAsia="黑体"/>
          <w:b w:val="0"/>
          <w:bCs w:val="0"/>
          <w:sz w:val="30"/>
          <w:szCs w:val="30"/>
          <w:lang w:val="en-US" w:eastAsia="zh-CN"/>
        </w:rPr>
        <w:t>框架</w:t>
      </w:r>
      <w:r>
        <w:rPr>
          <w:rFonts w:hint="eastAsia" w:ascii="黑体" w:hAnsi="黑体" w:eastAsia="黑体"/>
          <w:b w:val="0"/>
          <w:bCs w:val="0"/>
          <w:sz w:val="30"/>
          <w:szCs w:val="30"/>
          <w:lang w:val="en-US" w:eastAsia="zh-CN"/>
        </w:rPr>
        <w:t>及指标</w:t>
      </w:r>
      <w:r>
        <w:rPr>
          <w:rFonts w:hint="default" w:ascii="黑体" w:hAnsi="黑体" w:eastAsia="黑体"/>
          <w:b w:val="0"/>
          <w:bCs w:val="0"/>
          <w:sz w:val="30"/>
          <w:szCs w:val="30"/>
          <w:lang w:val="en-US" w:eastAsia="zh-CN"/>
        </w:rPr>
        <w:t>构建</w:t>
      </w:r>
    </w:p>
    <w:p w14:paraId="29105CE8">
      <w:pPr>
        <w:pStyle w:val="4"/>
        <w:jc w:val="both"/>
        <w:rPr>
          <w:rFonts w:hint="default" w:ascii="Times New Roman" w:hAnsi="Times New Roman" w:cs="Times New Roman"/>
          <w:lang w:val="en-US" w:eastAsia="zh-CN"/>
        </w:rPr>
      </w:pPr>
      <w:r>
        <w:rPr>
          <w:rFonts w:hint="default" w:ascii="Times New Roman" w:hAnsi="Times New Roman" w:cs="Times New Roman"/>
          <w:lang w:eastAsia="zh-CN"/>
        </w:rPr>
        <w:t>本研究采用混合方法研究范式</w:t>
      </w:r>
      <w:r>
        <w:rPr>
          <w:rFonts w:hint="eastAsia" w:ascii="Times New Roman" w:hAnsi="Times New Roman" w:cs="Times New Roman"/>
          <w:lang w:eastAsia="zh-CN"/>
        </w:rPr>
        <w:t>，</w:t>
      </w:r>
      <w:r>
        <w:rPr>
          <w:rFonts w:hint="default" w:ascii="Times New Roman" w:hAnsi="Times New Roman" w:cs="Times New Roman"/>
          <w:lang w:eastAsia="zh-CN"/>
        </w:rPr>
        <w:t>整合定量实验与定性探究的优势</w:t>
      </w:r>
      <w:r>
        <w:rPr>
          <w:rFonts w:hint="eastAsia" w:ascii="Times New Roman" w:hAnsi="Times New Roman" w:cs="Times New Roman"/>
          <w:lang w:eastAsia="zh-CN"/>
        </w:rPr>
        <w:t>，</w:t>
      </w:r>
      <w:r>
        <w:rPr>
          <w:rFonts w:hint="default" w:ascii="Times New Roman" w:hAnsi="Times New Roman" w:cs="Times New Roman"/>
          <w:lang w:eastAsia="zh-CN"/>
        </w:rPr>
        <w:t>构建</w:t>
      </w:r>
      <w:r>
        <w:rPr>
          <w:rFonts w:hint="eastAsia" w:ascii="Times New Roman" w:hAnsi="Times New Roman" w:cs="Times New Roman"/>
          <w:lang w:eastAsia="zh-CN"/>
        </w:rPr>
        <w:t>“</w:t>
      </w:r>
      <w:r>
        <w:rPr>
          <w:rFonts w:hint="default" w:ascii="Times New Roman" w:hAnsi="Times New Roman" w:cs="Times New Roman"/>
          <w:lang w:eastAsia="zh-CN"/>
        </w:rPr>
        <w:t>测量</w:t>
      </w:r>
      <w:r>
        <w:rPr>
          <w:rFonts w:hint="eastAsia" w:ascii="Times New Roman" w:hAnsi="Times New Roman" w:cs="Times New Roman"/>
          <w:lang w:eastAsia="zh-CN"/>
        </w:rPr>
        <w:t>-</w:t>
      </w:r>
      <w:r>
        <w:rPr>
          <w:rFonts w:hint="default" w:ascii="Times New Roman" w:hAnsi="Times New Roman" w:cs="Times New Roman"/>
          <w:lang w:eastAsia="zh-CN"/>
        </w:rPr>
        <w:t>解释</w:t>
      </w:r>
      <w:r>
        <w:rPr>
          <w:rFonts w:hint="eastAsia" w:ascii="Times New Roman" w:hAnsi="Times New Roman" w:cs="Times New Roman"/>
          <w:lang w:eastAsia="zh-CN"/>
        </w:rPr>
        <w:t>-</w:t>
      </w:r>
      <w:r>
        <w:rPr>
          <w:rFonts w:hint="default" w:ascii="Times New Roman" w:hAnsi="Times New Roman" w:cs="Times New Roman"/>
          <w:lang w:eastAsia="zh-CN"/>
        </w:rPr>
        <w:t>设计</w:t>
      </w:r>
      <w:r>
        <w:rPr>
          <w:rFonts w:hint="eastAsia" w:ascii="Times New Roman" w:hAnsi="Times New Roman" w:cs="Times New Roman"/>
          <w:lang w:eastAsia="zh-CN"/>
        </w:rPr>
        <w:t>”</w:t>
      </w:r>
      <w:r>
        <w:rPr>
          <w:rFonts w:hint="default" w:ascii="Times New Roman" w:hAnsi="Times New Roman" w:cs="Times New Roman"/>
          <w:lang w:eastAsia="zh-CN"/>
        </w:rPr>
        <w:t>三阶段研究路径。研究方法体系包括三个核心模块</w:t>
      </w:r>
      <w:r>
        <w:rPr>
          <w:rFonts w:hint="eastAsia" w:ascii="Times New Roman" w:hAnsi="Times New Roman" w:cs="Times New Roman"/>
          <w:lang w:eastAsia="zh-CN"/>
        </w:rPr>
        <w:t>：</w:t>
      </w:r>
      <w:r>
        <w:rPr>
          <w:rFonts w:hint="default" w:ascii="Times New Roman" w:hAnsi="Times New Roman" w:cs="Times New Roman"/>
          <w:lang w:eastAsia="zh-CN"/>
        </w:rPr>
        <w:t>基于AI生成场景的在线问卷调查、主客观数据的统计分析与偏差量化、深度访谈与参与式设计工作坊。</w:t>
      </w:r>
      <w:r>
        <w:rPr>
          <w:rFonts w:hint="eastAsia" w:ascii="Times New Roman" w:hAnsi="Times New Roman" w:cs="Times New Roman"/>
          <w:lang w:val="en-US" w:eastAsia="zh-CN"/>
        </w:rPr>
        <w:t>此类多重方法融合的</w:t>
      </w:r>
      <w:r>
        <w:rPr>
          <w:rFonts w:hint="default" w:ascii="Times New Roman" w:hAnsi="Times New Roman" w:cs="Times New Roman"/>
          <w:lang w:eastAsia="zh-CN"/>
        </w:rPr>
        <w:t>策略旨在从不同视角审视认知偏差现象</w:t>
      </w:r>
      <w:r>
        <w:rPr>
          <w:rFonts w:hint="eastAsia" w:ascii="Times New Roman" w:hAnsi="Times New Roman" w:cs="Times New Roman"/>
          <w:lang w:eastAsia="zh-CN"/>
        </w:rPr>
        <w:t>，</w:t>
      </w:r>
      <w:r>
        <w:rPr>
          <w:rFonts w:hint="default" w:ascii="Times New Roman" w:hAnsi="Times New Roman" w:cs="Times New Roman"/>
          <w:lang w:eastAsia="zh-CN"/>
        </w:rPr>
        <w:t>既获得大样本的量化证据</w:t>
      </w:r>
      <w:r>
        <w:rPr>
          <w:rFonts w:hint="eastAsia" w:ascii="Times New Roman" w:hAnsi="Times New Roman" w:cs="Times New Roman"/>
          <w:lang w:eastAsia="zh-CN"/>
        </w:rPr>
        <w:t>，</w:t>
      </w:r>
      <w:r>
        <w:rPr>
          <w:rFonts w:hint="default" w:ascii="Times New Roman" w:hAnsi="Times New Roman" w:cs="Times New Roman"/>
          <w:lang w:eastAsia="zh-CN"/>
        </w:rPr>
        <w:t>又深入挖掘个体的认知过程和需求。</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需要说明的是，本课题在申报阶段曾设想借助焦点小组同步采集受试者面对不同设计条件时的生理反应数据。在研究实施过程中，考虑到生理测量设备在真实通行情境中的佩戴干扰、校园场景下伦理审查的复杂性以及样本规模的可行性，本研究将这一部分调整为以标准化场景图片为刺激材料的主观安全评分与深度访谈相结合的方式，通过大样本的主观评分获取认知偏差的量化证据，并借助访谈还原认知过程。此项调整不改变本子任务的研究目标与研究逻辑，但生理指标的采集有待后续研究予以补充。</w:t>
      </w:r>
    </w:p>
    <w:p w14:paraId="285F3D46">
      <w:pPr>
        <w:pStyle w:val="4"/>
        <w:numPr>
          <w:ilvl w:val="0"/>
          <w:numId w:val="2"/>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基于AIGC场景模拟的主观认知指标构建</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为系统探究高校共享道路下不同环境条件下的安全认知特征，本研究采用AIGC图像生成技术（Stable Diffusion和DALL-E 3）创建标准化的道路场景实验材料。本研究共选出道路宽度、视距条件、标识系统密度、照明水平、路面质量、分割形式、交通流量、景观复杂度共八个核心变量作为高校共享道路交通环境主观认知指标。八个核心变量的选择遵循两层逻辑：第一层是客观安全核心维度，直接对应前期研究关于提取的“面向行人与骑行者的校园共享道路交通环境特征要素”中确立的道路安全评估指标体系，包括道路宽度、视距条件、标识系统、照明水平、路面质量五项；第二层是认知影响补充维度，用于探索除客观安全指标外影响主观认知的环境因素，包括分隔形式、交通流量、景观复杂度三项。各变量各选取三个不同水平，其定义与设置依据如表14所示。上述8类变量及其不同水平构成3*3*3*3*3*3*3*3的完整因子设计空间，理论上可生成6561种场景组合。考虑到问卷长度限制和参与者认知负荷</w:t>
      </w:r>
      <w:r>
        <w:rPr>
          <w:rFonts w:hint="eastAsia" w:ascii="Times New Roman" w:hAnsi="Times New Roman" w:cs="Times New Roman"/>
          <w:lang w:val="en-US" w:eastAsia="zh-CN"/>
          <w:vertAlign w:val="superscript"/>
        </w:rPr>
        <w:t xml:space="preserve">[35]</w:t>
      </w:r>
      <w:r>
        <w:rPr>
          <w:rFonts w:hint="eastAsia" w:ascii="Times New Roman" w:hAnsi="Times New Roman" w:cs="Times New Roman"/>
          <w:lang w:val="en-US" w:eastAsia="zh-CN"/>
        </w:rPr>
        <w:t xml:space="preserve">，本研究采用正交实验设计方法，通过统计优化算法筛选出96个具有代表性的场景组合，确保主效应和关键交互效应的可估计性。</w:t>
      </w:r>
    </w:p>
    <w:p w14:paraId="6C20C209">
      <w:pPr>
        <w:pStyle w:val="4"/>
        <w:jc w:val="both"/>
        <w:rPr>
          <w:rFonts w:hint="default" w:ascii="Times New Roman" w:hAnsi="Times New Roman" w:cs="Times New Roman"/>
          <w:lang w:val="en-US" w:eastAsia="zh-CN"/>
        </w:rPr>
      </w:pPr>
    </w:p>
    <w:p w14:paraId="175AB58B">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表14 高校共享道路</w:t>
      </w:r>
      <w:r>
        <w:rPr>
          <w:rFonts w:hint="eastAsia" w:ascii="Times New Roman" w:hAnsi="Times New Roman" w:eastAsia="宋体" w:cs="Times New Roman"/>
          <w:lang w:val="en-US" w:eastAsia="zh-CN"/>
        </w:rPr>
        <w:t>交通</w:t>
      </w:r>
      <w:r>
        <w:rPr>
          <w:rFonts w:hint="eastAsia" w:ascii="Times New Roman" w:hAnsi="Times New Roman" w:cs="Times New Roman"/>
          <w:lang w:val="en-US" w:eastAsia="zh-CN"/>
        </w:rPr>
        <w:t>环境主观认知指标及其水平</w:t>
      </w:r>
    </w:p>
    <w:tbl>
      <w:tblPr>
        <w:tblStyle w:val="8"/>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273"/>
        <w:gridCol w:w="2225"/>
        <w:gridCol w:w="5000"/>
      </w:tblGrid>
      <w:tr w14:paraId="774F3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12" w:space="0"/>
              <w:right w:val="nil"/>
            </w:tcBorders>
            <w:shd w:val="clear" w:color="auto" w:fill="FFFFFF"/>
            <w:noWrap/>
            <w:vAlign w:val="center"/>
          </w:tcPr>
          <w:p w14:paraId="3BF9398E">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变量类别</w:t>
            </w:r>
          </w:p>
        </w:tc>
        <w:tc>
          <w:tcPr>
            <w:tcW w:w="2225" w:type="dxa"/>
            <w:tcBorders>
              <w:top w:val="single" w:color="000000" w:sz="4" w:space="0"/>
              <w:left w:val="nil"/>
              <w:bottom w:val="single" w:color="000000" w:sz="12" w:space="0"/>
              <w:right w:val="nil"/>
            </w:tcBorders>
            <w:shd w:val="clear" w:color="auto" w:fill="FFFFFF"/>
            <w:noWrap/>
            <w:vAlign w:val="center"/>
          </w:tcPr>
          <w:p w14:paraId="3AD7FC46">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水平设置</w:t>
            </w:r>
          </w:p>
        </w:tc>
        <w:tc>
          <w:tcPr>
            <w:tcW w:w="5000" w:type="dxa"/>
            <w:tcBorders>
              <w:top w:val="single" w:color="000000" w:sz="4" w:space="0"/>
              <w:left w:val="nil"/>
              <w:bottom w:val="single" w:color="000000" w:sz="12" w:space="0"/>
              <w:right w:val="nil"/>
            </w:tcBorders>
            <w:shd w:val="clear" w:color="auto" w:fill="FFFFFF"/>
            <w:noWrap/>
            <w:vAlign w:val="center"/>
          </w:tcPr>
          <w:p w14:paraId="72E9EC0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定义与设置依据</w:t>
            </w:r>
          </w:p>
        </w:tc>
      </w:tr>
      <w:tr w14:paraId="2318B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41" w:hRule="atLeast"/>
          <w:jc w:val="center"/>
        </w:trPr>
        <w:tc>
          <w:tcPr>
            <w:tcW w:w="1273" w:type="dxa"/>
            <w:tcBorders>
              <w:top w:val="single" w:color="000000" w:sz="12" w:space="0"/>
              <w:left w:val="nil"/>
              <w:bottom w:val="single" w:color="000000" w:sz="4" w:space="0"/>
              <w:right w:val="nil"/>
            </w:tcBorders>
            <w:shd w:val="clear" w:color="auto" w:fill="FFFFFF"/>
            <w:noWrap/>
            <w:vAlign w:val="center"/>
          </w:tcPr>
          <w:p w14:paraId="26E56AD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道路宽度</w:t>
            </w:r>
          </w:p>
        </w:tc>
        <w:tc>
          <w:tcPr>
            <w:tcW w:w="2225" w:type="dxa"/>
            <w:tcBorders>
              <w:top w:val="single" w:color="000000" w:sz="12" w:space="0"/>
              <w:left w:val="nil"/>
              <w:bottom w:val="single" w:color="000000" w:sz="4" w:space="0"/>
              <w:right w:val="nil"/>
            </w:tcBorders>
            <w:shd w:val="clear" w:color="auto" w:fill="FFFFFF"/>
            <w:noWrap/>
            <w:vAlign w:val="center"/>
          </w:tcPr>
          <w:p w14:paraId="7A32092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2.5m（最小功能性）</w:t>
            </w:r>
          </w:p>
          <w:p w14:paraId="26EC50E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3.5m（常规舒适）</w:t>
            </w:r>
          </w:p>
          <w:p w14:paraId="49215FF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4.5m（通行充裕）</w:t>
            </w:r>
          </w:p>
        </w:tc>
        <w:tc>
          <w:tcPr>
            <w:tcW w:w="5000" w:type="dxa"/>
            <w:tcBorders>
              <w:top w:val="single" w:color="000000" w:sz="12" w:space="0"/>
              <w:left w:val="nil"/>
              <w:bottom w:val="single" w:color="000000" w:sz="4" w:space="0"/>
              <w:right w:val="nil"/>
            </w:tcBorders>
            <w:shd w:val="clear" w:color="auto" w:fill="FFFFFF"/>
            <w:noWrap/>
            <w:vAlign w:val="center"/>
          </w:tcPr>
          <w:p>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依据《城市道路工程设计规范》</w:t>
            </w:r>
            <w:r>
              <w:rPr>
                <w:rFonts w:hint="eastAsia" w:ascii="Times New Roman" w:hAnsi="Times New Roman" w:eastAsia="宋体" w:cs="Times New Roman"/>
                <w:b w:val="0"/>
                <w:color w:val="000000"/>
                <w:kern w:val="0"/>
                <w:sz w:val="24"/>
                <w:szCs w:val="24"/>
                <w:lang w:val="en-US" w:eastAsia="zh-CN" w:bidi="ar"/>
                <w:vertAlign w:val="superscript"/>
              </w:rPr>
              <w:t xml:space="preserve">[36]</w:t>
            </w:r>
            <w:r>
              <w:rPr>
                <w:rFonts w:hint="eastAsia" w:ascii="Times New Roman" w:hAnsi="Times New Roman" w:eastAsia="宋体" w:cs="Times New Roman"/>
                <w:b w:val="0"/>
                <w:color w:val="000000"/>
                <w:kern w:val="0"/>
                <w:sz w:val="24"/>
                <w:szCs w:val="24"/>
                <w:lang w:val="en-US" w:eastAsia="zh-CN" w:bidi="ar"/>
              </w:rPr>
              <w:t xml:space="preserve">；宽度影响拥挤感、避让空间；宽度增加降低风险但可能诱发速度提升。</w:t>
            </w:r>
          </w:p>
        </w:tc>
      </w:tr>
      <w:tr w14:paraId="72220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36"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1EB8C6B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视距条件</w:t>
            </w:r>
          </w:p>
        </w:tc>
        <w:tc>
          <w:tcPr>
            <w:tcW w:w="2225" w:type="dxa"/>
            <w:tcBorders>
              <w:top w:val="single" w:color="000000" w:sz="4" w:space="0"/>
              <w:left w:val="nil"/>
              <w:bottom w:val="single" w:color="000000" w:sz="4" w:space="0"/>
              <w:right w:val="nil"/>
            </w:tcBorders>
            <w:shd w:val="clear" w:color="auto" w:fill="FFFFFF"/>
            <w:noWrap/>
            <w:vAlign w:val="center"/>
          </w:tcPr>
          <w:p w14:paraId="792851B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无遮挡</w:t>
            </w:r>
          </w:p>
          <w:p w14:paraId="0ABC88E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部分遮挡</w:t>
            </w:r>
          </w:p>
          <w:p w14:paraId="2B68B63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严重遮挡</w:t>
            </w:r>
          </w:p>
        </w:tc>
        <w:tc>
          <w:tcPr>
            <w:tcW w:w="5000" w:type="dxa"/>
            <w:tcBorders>
              <w:top w:val="single" w:color="000000" w:sz="4" w:space="0"/>
              <w:left w:val="nil"/>
              <w:bottom w:val="single" w:color="000000" w:sz="4" w:space="0"/>
              <w:right w:val="nil"/>
            </w:tcBorders>
            <w:shd w:val="clear" w:color="auto" w:fill="FFFFFF"/>
            <w:noWrap/>
            <w:vAlign w:val="center"/>
          </w:tcPr>
          <w:p w14:paraId="69F9AB75">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遮挡源：植被、建筑转角、停放车辆；遮挡降低对潜在冲突的预判能力；基于“视线–反应时间”模型。</w:t>
            </w:r>
          </w:p>
        </w:tc>
      </w:tr>
      <w:tr w14:paraId="2D183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61B1B82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标识系统密度</w:t>
            </w:r>
          </w:p>
        </w:tc>
        <w:tc>
          <w:tcPr>
            <w:tcW w:w="2225" w:type="dxa"/>
            <w:tcBorders>
              <w:top w:val="single" w:color="000000" w:sz="4" w:space="0"/>
              <w:left w:val="nil"/>
              <w:bottom w:val="single" w:color="000000" w:sz="4" w:space="0"/>
              <w:right w:val="nil"/>
            </w:tcBorders>
            <w:shd w:val="clear" w:color="auto" w:fill="FFFFFF"/>
            <w:noWrap/>
            <w:vAlign w:val="center"/>
          </w:tcPr>
          <w:p w14:paraId="5B5FE7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低（50m/个）</w:t>
            </w:r>
          </w:p>
          <w:p w14:paraId="1E60CB9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中（25m/个）</w:t>
            </w:r>
          </w:p>
          <w:p w14:paraId="1EA07AF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高（10m/个）</w:t>
            </w:r>
          </w:p>
        </w:tc>
        <w:tc>
          <w:tcPr>
            <w:tcW w:w="5000" w:type="dxa"/>
            <w:tcBorders>
              <w:top w:val="single" w:color="000000" w:sz="4" w:space="0"/>
              <w:left w:val="nil"/>
              <w:bottom w:val="single" w:color="000000" w:sz="4" w:space="0"/>
              <w:right w:val="nil"/>
            </w:tcBorders>
            <w:shd w:val="clear" w:color="auto" w:fill="FFFFFF"/>
            <w:noWrap/>
            <w:vAlign w:val="center"/>
          </w:tcPr>
          <w:p w14:paraId="4E3A60C7">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基于认知负荷理论；低密度信息不足，高密度信息过载；标识清晰度、规范性影响信息获取。</w:t>
            </w:r>
          </w:p>
        </w:tc>
      </w:tr>
      <w:tr w14:paraId="48B52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212E0DB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照明水平</w:t>
            </w:r>
          </w:p>
        </w:tc>
        <w:tc>
          <w:tcPr>
            <w:tcW w:w="2225" w:type="dxa"/>
            <w:tcBorders>
              <w:top w:val="single" w:color="000000" w:sz="4" w:space="0"/>
              <w:left w:val="nil"/>
              <w:bottom w:val="single" w:color="000000" w:sz="4" w:space="0"/>
              <w:right w:val="nil"/>
            </w:tcBorders>
            <w:shd w:val="clear" w:color="auto" w:fill="FFFFFF"/>
            <w:noWrap/>
            <w:vAlign w:val="center"/>
          </w:tcPr>
          <w:p w14:paraId="29E33F9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日间</w:t>
            </w:r>
          </w:p>
          <w:p w14:paraId="2B9DC5C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黄昏</w:t>
            </w:r>
          </w:p>
          <w:p w14:paraId="44D8CE3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夜间</w:t>
            </w:r>
          </w:p>
        </w:tc>
        <w:tc>
          <w:tcPr>
            <w:tcW w:w="5000" w:type="dxa"/>
            <w:tcBorders>
              <w:top w:val="single" w:color="000000" w:sz="4" w:space="0"/>
              <w:left w:val="nil"/>
              <w:bottom w:val="single" w:color="000000" w:sz="4" w:space="0"/>
              <w:right w:val="nil"/>
            </w:tcBorders>
            <w:shd w:val="clear" w:color="auto" w:fill="FFFFFF"/>
            <w:noWrap/>
            <w:vAlign w:val="center"/>
          </w:tcPr>
          <w:p w14:paraId="5F762AA2">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光照影响视距、对比度、识别能力；光环境调节风险判断。</w:t>
            </w:r>
          </w:p>
        </w:tc>
      </w:tr>
      <w:tr w14:paraId="2831A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2C008C6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路面质量</w:t>
            </w:r>
          </w:p>
        </w:tc>
        <w:tc>
          <w:tcPr>
            <w:tcW w:w="2225" w:type="dxa"/>
            <w:tcBorders>
              <w:top w:val="single" w:color="000000" w:sz="4" w:space="0"/>
              <w:left w:val="nil"/>
              <w:bottom w:val="single" w:color="000000" w:sz="4" w:space="0"/>
              <w:right w:val="nil"/>
            </w:tcBorders>
            <w:shd w:val="clear" w:color="auto" w:fill="FFFFFF"/>
            <w:noWrap/>
            <w:vAlign w:val="center"/>
          </w:tcPr>
          <w:p w14:paraId="717082E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优质沥青</w:t>
            </w:r>
          </w:p>
          <w:p w14:paraId="51D0B5F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普通混凝土</w:t>
            </w:r>
          </w:p>
          <w:p w14:paraId="065489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老旧透水砖</w:t>
            </w:r>
          </w:p>
        </w:tc>
        <w:tc>
          <w:tcPr>
            <w:tcW w:w="5000" w:type="dxa"/>
            <w:tcBorders>
              <w:top w:val="single" w:color="000000" w:sz="4" w:space="0"/>
              <w:left w:val="nil"/>
              <w:bottom w:val="single" w:color="000000" w:sz="4" w:space="0"/>
              <w:right w:val="nil"/>
            </w:tcBorders>
            <w:shd w:val="clear" w:color="auto" w:fill="FFFFFF"/>
            <w:noWrap/>
            <w:vAlign w:val="center"/>
          </w:tcPr>
          <w:p w14:paraId="3823B961">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路面材质影响舒适性、摩擦提示、破损状态；关联稳定性与跌倒风险。</w:t>
            </w:r>
          </w:p>
        </w:tc>
      </w:tr>
      <w:tr w14:paraId="7EA45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3CFBF96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分隔形式</w:t>
            </w:r>
          </w:p>
        </w:tc>
        <w:tc>
          <w:tcPr>
            <w:tcW w:w="2225" w:type="dxa"/>
            <w:tcBorders>
              <w:top w:val="single" w:color="000000" w:sz="4" w:space="0"/>
              <w:left w:val="nil"/>
              <w:bottom w:val="single" w:color="000000" w:sz="4" w:space="0"/>
              <w:right w:val="nil"/>
            </w:tcBorders>
            <w:shd w:val="clear" w:color="auto" w:fill="FFFFFF"/>
            <w:noWrap/>
            <w:vAlign w:val="center"/>
          </w:tcPr>
          <w:p w14:paraId="083A088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无分隔</w:t>
            </w:r>
          </w:p>
          <w:p w14:paraId="42B912A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标线分隔</w:t>
            </w:r>
          </w:p>
          <w:p w14:paraId="75CB458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物理分隔</w:t>
            </w:r>
          </w:p>
        </w:tc>
        <w:tc>
          <w:tcPr>
            <w:tcW w:w="5000" w:type="dxa"/>
            <w:tcBorders>
              <w:top w:val="single" w:color="000000" w:sz="4" w:space="0"/>
              <w:left w:val="nil"/>
              <w:bottom w:val="single" w:color="000000" w:sz="4" w:space="0"/>
              <w:right w:val="nil"/>
            </w:tcBorders>
            <w:shd w:val="clear" w:color="auto" w:fill="FFFFFF"/>
            <w:noWrap/>
            <w:vAlign w:val="center"/>
          </w:tcPr>
          <w:p w14:paraId="31BBFEC1">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路权界定清晰程度；与边界定义理论相关；影响主观安全感与行为预期。</w:t>
            </w:r>
          </w:p>
        </w:tc>
      </w:tr>
      <w:tr w14:paraId="3CBFC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589322B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交通流量</w:t>
            </w:r>
          </w:p>
        </w:tc>
        <w:tc>
          <w:tcPr>
            <w:tcW w:w="2225" w:type="dxa"/>
            <w:tcBorders>
              <w:top w:val="single" w:color="000000" w:sz="4" w:space="0"/>
              <w:left w:val="nil"/>
              <w:bottom w:val="single" w:color="000000" w:sz="4" w:space="0"/>
              <w:right w:val="nil"/>
            </w:tcBorders>
            <w:shd w:val="clear" w:color="auto" w:fill="FFFFFF"/>
            <w:noWrap/>
            <w:vAlign w:val="center"/>
          </w:tcPr>
          <w:p w14:paraId="723F817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低峰（2-3人）</w:t>
            </w:r>
          </w:p>
          <w:p w14:paraId="3224D75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平峰（6-10人）</w:t>
            </w:r>
          </w:p>
          <w:p w14:paraId="59202FA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高峰（15-20人）</w:t>
            </w:r>
          </w:p>
        </w:tc>
        <w:tc>
          <w:tcPr>
            <w:tcW w:w="5000" w:type="dxa"/>
            <w:tcBorders>
              <w:top w:val="single" w:color="000000" w:sz="4" w:space="0"/>
              <w:left w:val="nil"/>
              <w:bottom w:val="single" w:color="000000" w:sz="4" w:space="0"/>
              <w:right w:val="nil"/>
            </w:tcBorders>
            <w:shd w:val="clear" w:color="auto" w:fill="FFFFFF"/>
            <w:noWrap/>
            <w:vAlign w:val="center"/>
          </w:tcPr>
          <w:p w14:paraId="50CF4F38">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动态交通负荷；流量变化影响复杂性、心理压力、决策时间。</w:t>
            </w:r>
          </w:p>
        </w:tc>
      </w:tr>
      <w:tr w14:paraId="06D27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096DC41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景观</w:t>
            </w:r>
          </w:p>
          <w:p w14:paraId="6AC9FFF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复杂度</w:t>
            </w:r>
          </w:p>
        </w:tc>
        <w:tc>
          <w:tcPr>
            <w:tcW w:w="2225" w:type="dxa"/>
            <w:tcBorders>
              <w:top w:val="single" w:color="000000" w:sz="4" w:space="0"/>
              <w:left w:val="nil"/>
              <w:bottom w:val="single" w:color="000000" w:sz="4" w:space="0"/>
              <w:right w:val="nil"/>
            </w:tcBorders>
            <w:shd w:val="clear" w:color="auto" w:fill="FFFFFF"/>
            <w:noWrap/>
            <w:vAlign w:val="center"/>
          </w:tcPr>
          <w:p w14:paraId="1A814C3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简单</w:t>
            </w:r>
          </w:p>
          <w:p w14:paraId="10D6C96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中等</w:t>
            </w:r>
          </w:p>
          <w:p w14:paraId="1FA5017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复杂</w:t>
            </w:r>
          </w:p>
        </w:tc>
        <w:tc>
          <w:tcPr>
            <w:tcW w:w="5000" w:type="dxa"/>
            <w:tcBorders>
              <w:top w:val="single" w:color="000000" w:sz="4" w:space="0"/>
              <w:left w:val="nil"/>
              <w:bottom w:val="single" w:color="000000" w:sz="4" w:space="0"/>
              <w:right w:val="nil"/>
            </w:tcBorders>
            <w:shd w:val="clear" w:color="auto" w:fill="FFFFFF"/>
            <w:noWrap/>
            <w:vAlign w:val="center"/>
          </w:tcPr>
          <w:p w14:paraId="65CFC863">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背景视觉信息量；复杂场景可能分散注意力；对应注意力资源分配理论。</w:t>
            </w:r>
          </w:p>
        </w:tc>
      </w:tr>
    </w:tbl>
    <w:p w14:paraId="0EDE490F">
      <w:pPr>
        <w:pStyle w:val="4"/>
        <w:numPr>
          <w:ilvl w:val="0"/>
          <w:numId w:val="0"/>
        </w:numPr>
        <w:ind w:firstLine="480" w:firstLineChars="200"/>
        <w:jc w:val="both"/>
        <w:rPr>
          <w:rFonts w:hint="eastAsia" w:ascii="宋体" w:hAnsi="宋体" w:eastAsia="宋体" w:cs="宋体"/>
          <w:sz w:val="24"/>
          <w:szCs w:val="24"/>
          <w:lang w:val="en-US" w:eastAsia="zh-CN"/>
        </w:rPr>
      </w:pPr>
    </w:p>
    <w:p w14:paraId="00E85CAE">
      <w:pPr>
        <w:pStyle w:val="4"/>
        <w:numPr>
          <w:ilvl w:val="0"/>
          <w:numId w:val="2"/>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问卷设计与实施</w:t>
      </w:r>
    </w:p>
    <w:p w14:paraId="0B068489">
      <w:pPr>
        <w:pStyle w:val="4"/>
        <w:jc w:val="both"/>
        <w:rPr>
          <w:rFonts w:hint="default" w:ascii="Times New Roman" w:hAnsi="Times New Roman" w:cs="Times New Roman"/>
          <w:lang w:eastAsia="zh-CN"/>
        </w:rPr>
      </w:pPr>
      <w:r>
        <w:rPr>
          <w:rFonts w:hint="eastAsia" w:ascii="Times New Roman" w:hAnsi="Times New Roman" w:cs="Times New Roman"/>
          <w:lang w:val="en-US" w:eastAsia="zh-CN"/>
        </w:rPr>
        <w:t>本问卷调查采用在线自</w:t>
      </w:r>
      <w:r>
        <w:rPr>
          <w:rFonts w:hint="default" w:ascii="Times New Roman" w:hAnsi="Times New Roman" w:cs="Times New Roman"/>
          <w:lang w:val="en-US" w:eastAsia="zh-CN"/>
        </w:rPr>
        <w:t>主填答的形式，问卷借助问卷星平台进行部署，参与者利用个人设备于自选的时间和地点完成问卷填答。调查问卷涵盖三个部分：第一部分收集人口统计学信息与出行特征，具体包括性别、年龄、在校年限、主要出行方式（步行或骑行）、平均每周校园出行频次；第二部分为高校共享道路交通环境主观认知指标评价核心模块，每位参与者随机分配到10张场景图片，并被要求设想自己在该场景中通行，对感知到的安全程度进行评分；第三部分为开放式补充问题，询问影响安全判断的关键因素以及改进建议。</w:t>
      </w:r>
    </w:p>
    <w:p w14:paraId="53DCD916">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安全感知评分采用4分制李克特量表（0=“不安全”，1=“比较不安全”，2=“比较安全”，3=“安全”）。此外，选择4点量表而非传统的5点或7点量表，是基于两方面考虑：一是避免选项导致的中心化倾向，迫使实验做出明确的“安全”或“不安全”的判断；二是简化认知难度，降低普通参与者的困惑感，提高问卷质量。这一量表设计曾应用于《Der Tagesspiegel》中一项针对机动车、自行车与行人的研究中得到验证，显示出良好的信度和效度。</w:t>
      </w:r>
    </w:p>
    <w:p w14:paraId="79EA9A6D">
      <w:pPr>
        <w:pStyle w:val="4"/>
        <w:jc w:val="both"/>
        <w:rPr>
          <w:rFonts w:hint="eastAsia" w:ascii="Times New Roman" w:hAnsi="Times New Roman" w:cs="Times New Roman"/>
          <w:lang w:val="en-US" w:eastAsia="zh-CN"/>
        </w:rPr>
      </w:pPr>
      <w:r>
        <w:rPr>
          <w:rFonts w:hint="default" w:ascii="Times New Roman" w:hAnsi="Times New Roman" w:cs="Times New Roman"/>
          <w:lang w:val="en-US" w:eastAsia="zh-CN"/>
        </w:rPr>
        <w:t>为确保场景呈现的一致性和真实性，所有AI生成图像经过三轮迭代优化。首先由研究团队的5名设计专家对初始生成的288张候选图像（每个场景3个版本）进行真实度和清晰度评估，采用7点量表评分。其次，选取评分最高的96张图像进入第二轮测试，邀请20名校园共享交通参与的行人及骑行者进行预试，评估图像的可理解性和场景辨识度。基于预试反馈，调整了部分场景的光照、视</w:t>
      </w:r>
      <w:r>
        <w:rPr>
          <w:rFonts w:hint="eastAsia" w:ascii="Times New Roman" w:hAnsi="Times New Roman" w:cs="Times New Roman"/>
          <w:lang w:val="en-US" w:eastAsia="zh-CN"/>
        </w:rPr>
        <w:t>角和细节元素，形成最终的实验刺激库。每张图像附带简短的情境描述文字，如“一条3.5米宽的校园道路，有标线分隔，中等密度的标识，黄昏时分，平峰交通流量”</w:t>
      </w:r>
    </w:p>
    <w:p w14:paraId="7A1DD71A">
      <w:pPr>
        <w:pStyle w:val="4"/>
        <w:jc w:val="both"/>
        <w:rPr>
          <w:rFonts w:hint="eastAsia" w:ascii="Times New Roman" w:hAnsi="Times New Roman" w:cs="Times New Roman"/>
          <w:lang w:val="en-US" w:eastAsia="zh-CN"/>
        </w:rPr>
      </w:pPr>
    </w:p>
    <w:p w14:paraId="516C447A">
      <w:pPr>
        <w:pStyle w:val="4"/>
        <w:numPr>
          <w:ilvl w:val="0"/>
          <w:numId w:val="2"/>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高校共享道路交通安全客观指标构建</w:t>
      </w:r>
    </w:p>
    <w:p w14:paraId="797046D5">
      <w:pPr>
        <w:pStyle w:val="4"/>
        <w:numPr>
          <w:ilvl w:val="0"/>
          <w:numId w:val="0"/>
        </w:numPr>
        <w:ind w:firstLine="480" w:firstLineChars="200"/>
        <w:jc w:val="both"/>
        <w:rPr>
          <w:rFonts w:hint="default" w:ascii="Times New Roman" w:hAnsi="Times New Roman" w:cs="Times New Roman"/>
          <w:lang w:val="en-US" w:eastAsia="zh-CN"/>
        </w:rPr>
      </w:pPr>
      <w:r>
        <w:rPr>
          <w:rFonts w:hint="default" w:ascii="Times New Roman" w:hAnsi="Times New Roman" w:eastAsia="宋体" w:cs="Times New Roman"/>
          <w:lang w:eastAsia="zh-CN"/>
        </w:rPr>
        <w:t>认知偏差的量化需要建立主观评价的对照基准</w:t>
      </w:r>
      <w:r>
        <w:rPr>
          <w:rFonts w:hint="eastAsia" w:ascii="Times New Roman" w:hAnsi="Times New Roman" w:cs="Times New Roman"/>
          <w:lang w:eastAsia="zh-CN"/>
        </w:rPr>
        <w:t>，</w:t>
      </w:r>
      <w:r>
        <w:rPr>
          <w:rFonts w:hint="default" w:ascii="Times New Roman" w:hAnsi="Times New Roman" w:eastAsia="宋体" w:cs="Times New Roman"/>
          <w:lang w:eastAsia="zh-CN"/>
        </w:rPr>
        <w:t>即客观安全</w:t>
      </w:r>
      <w:r>
        <w:rPr>
          <w:rFonts w:hint="default" w:ascii="Times New Roman" w:hAnsi="Times New Roman" w:cs="Times New Roman"/>
          <w:lang w:val="en-US" w:eastAsia="zh-CN"/>
        </w:rPr>
        <w:t>指标</w:t>
      </w:r>
      <w:r>
        <w:rPr>
          <w:rFonts w:hint="default" w:ascii="Times New Roman" w:hAnsi="Times New Roman" w:eastAsia="宋体" w:cs="Times New Roman"/>
          <w:lang w:eastAsia="zh-CN"/>
        </w:rPr>
        <w:t>。本研究采用</w:t>
      </w:r>
      <w:r>
        <w:rPr>
          <w:rFonts w:hint="default" w:ascii="Times New Roman" w:hAnsi="Times New Roman" w:cs="Times New Roman"/>
          <w:lang w:val="en-US" w:eastAsia="zh-CN"/>
        </w:rPr>
        <w:t>前期研究关于提取的“</w:t>
      </w:r>
      <w:r>
        <w:rPr>
          <w:rFonts w:hint="default" w:ascii="Times New Roman" w:hAnsi="Times New Roman" w:eastAsia="宋体" w:cs="Times New Roman"/>
          <w:lang w:val="en-US" w:eastAsia="zh-CN"/>
        </w:rPr>
        <w:t>面向行人与骑行者的校园共享道路交通环境特征要素</w:t>
      </w:r>
      <w:r>
        <w:rPr>
          <w:rFonts w:hint="default" w:ascii="Times New Roman" w:hAnsi="Times New Roman" w:cs="Times New Roman"/>
          <w:lang w:val="en-US" w:eastAsia="zh-CN"/>
        </w:rPr>
        <w:t>”中确立</w:t>
      </w:r>
      <w:r>
        <w:rPr>
          <w:rFonts w:hint="default" w:ascii="Times New Roman" w:hAnsi="Times New Roman" w:eastAsia="宋体" w:cs="Times New Roman"/>
          <w:lang w:eastAsia="zh-CN"/>
        </w:rPr>
        <w:t>的道路安全评估指标体系</w:t>
      </w:r>
      <w:r>
        <w:rPr>
          <w:rFonts w:hint="eastAsia" w:ascii="Times New Roman" w:hAnsi="Times New Roman" w:cs="Times New Roman"/>
          <w:lang w:eastAsia="zh-CN"/>
        </w:rPr>
        <w:t>，</w:t>
      </w:r>
      <w:r>
        <w:rPr>
          <w:rFonts w:hint="default" w:ascii="Times New Roman" w:hAnsi="Times New Roman" w:eastAsia="宋体" w:cs="Times New Roman"/>
          <w:lang w:eastAsia="zh-CN"/>
        </w:rPr>
        <w:t>基于五个核心维度构建综合客观安全</w:t>
      </w:r>
      <w:r>
        <w:rPr>
          <w:rFonts w:hint="default" w:ascii="Times New Roman" w:hAnsi="Times New Roman" w:cs="Times New Roman"/>
          <w:lang w:val="en-US" w:eastAsia="zh-CN"/>
        </w:rPr>
        <w:t>指标</w:t>
      </w:r>
      <w:r>
        <w:rPr>
          <w:rFonts w:hint="default" w:ascii="Times New Roman" w:hAnsi="Times New Roman" w:cs="Times New Roman"/>
          <w:lang w:eastAsia="zh-CN"/>
        </w:rPr>
        <w:t>。</w:t>
      </w:r>
      <w:r>
        <w:rPr>
          <w:rFonts w:hint="default" w:ascii="Times New Roman" w:hAnsi="Times New Roman" w:cs="Times New Roman"/>
          <w:lang w:val="en-US" w:eastAsia="zh-CN"/>
        </w:rPr>
        <w:t>以上</w:t>
      </w:r>
      <w:r>
        <w:rPr>
          <w:rFonts w:hint="default" w:ascii="Times New Roman" w:hAnsi="Times New Roman" w:eastAsia="宋体" w:cs="Times New Roman"/>
          <w:lang w:eastAsia="zh-CN"/>
        </w:rPr>
        <w:t>五个维度均为可客观测量的物理环境特征</w:t>
      </w:r>
      <w:r>
        <w:rPr>
          <w:rFonts w:hint="eastAsia" w:ascii="Times New Roman" w:hAnsi="Times New Roman" w:cs="Times New Roman"/>
          <w:lang w:eastAsia="zh-CN"/>
        </w:rPr>
        <w:t>，</w:t>
      </w:r>
      <w:r>
        <w:rPr>
          <w:rFonts w:hint="eastAsia" w:ascii="Times New Roman" w:hAnsi="Times New Roman" w:cs="Times New Roman"/>
          <w:lang w:val="en-US" w:eastAsia="zh-CN"/>
        </w:rPr>
        <w:t>一定程度上</w:t>
      </w:r>
      <w:r>
        <w:rPr>
          <w:rFonts w:hint="default" w:ascii="Times New Roman" w:hAnsi="Times New Roman" w:cs="Times New Roman"/>
          <w:lang w:val="en-US" w:eastAsia="zh-CN"/>
        </w:rPr>
        <w:t>确保了研究的客观性</w:t>
      </w:r>
      <w:r>
        <w:rPr>
          <w:rFonts w:hint="default" w:ascii="Times New Roman" w:hAnsi="Times New Roman" w:eastAsia="宋体" w:cs="Times New Roman"/>
          <w:lang w:eastAsia="zh-CN"/>
        </w:rPr>
        <w:t>。</w:t>
      </w:r>
      <w:r>
        <w:rPr>
          <w:rFonts w:hint="default" w:ascii="Times New Roman" w:hAnsi="Times New Roman" w:cs="Times New Roman"/>
          <w:lang w:val="en-US" w:eastAsia="zh-CN"/>
        </w:rPr>
        <w:t>此外，本研究还基于德尔菲专家访谈法为</w:t>
      </w:r>
      <w:r>
        <w:rPr>
          <w:rFonts w:hint="eastAsia" w:ascii="Times New Roman" w:hAnsi="Times New Roman" w:cs="Times New Roman"/>
          <w:lang w:val="en-US" w:eastAsia="zh-CN"/>
        </w:rPr>
        <w:t>高校共享道路交通安全</w:t>
      </w:r>
      <w:r>
        <w:rPr>
          <w:rFonts w:hint="default" w:ascii="Times New Roman" w:hAnsi="Times New Roman" w:cs="Times New Roman"/>
          <w:lang w:val="en-US" w:eastAsia="zh-CN"/>
        </w:rPr>
        <w:t>客观指标，以确保评估的有效性和科学性。其中，邀请15名交通安全领域专家</w:t>
      </w:r>
      <w:r>
        <w:rPr>
          <w:rFonts w:hint="eastAsia" w:ascii="Times New Roman" w:hAnsi="Times New Roman" w:cs="Times New Roman"/>
          <w:lang w:val="en-US" w:eastAsia="zh-CN"/>
        </w:rPr>
        <w:t>（</w:t>
      </w:r>
      <w:r>
        <w:rPr>
          <w:rFonts w:hint="default" w:ascii="Times New Roman" w:hAnsi="Times New Roman" w:cs="Times New Roman"/>
          <w:lang w:val="en-US" w:eastAsia="zh-CN"/>
        </w:rPr>
        <w:t>包括5名交通工程教授、5名设计实践专家、5名管理部门人员</w:t>
      </w:r>
      <w:r>
        <w:rPr>
          <w:rFonts w:hint="eastAsia" w:ascii="Times New Roman" w:hAnsi="Times New Roman" w:cs="Times New Roman"/>
          <w:lang w:val="en-US" w:eastAsia="zh-CN"/>
        </w:rPr>
        <w:t>）</w:t>
      </w:r>
      <w:r>
        <w:rPr>
          <w:rFonts w:hint="default" w:ascii="Times New Roman" w:hAnsi="Times New Roman" w:cs="Times New Roman"/>
          <w:lang w:val="en-US" w:eastAsia="zh-CN"/>
        </w:rPr>
        <w:t>进行两轮评估确定。视距条件获得最高权重</w:t>
      </w:r>
      <w:r>
        <w:rPr>
          <w:rFonts w:hint="eastAsia" w:ascii="Times New Roman" w:hAnsi="Times New Roman" w:cs="Times New Roman"/>
          <w:lang w:val="en-US" w:eastAsia="zh-CN"/>
        </w:rPr>
        <w:t>，</w:t>
      </w:r>
      <w:r>
        <w:rPr>
          <w:rFonts w:hint="default" w:ascii="Times New Roman" w:hAnsi="Times New Roman" w:cs="Times New Roman"/>
          <w:lang w:val="en-US" w:eastAsia="zh-CN"/>
        </w:rPr>
        <w:t>因其对事故预防的关键作用；道路宽度和标识系统次之，体现空间资源和信息支持的重要性；照明和路面质量作为辅助性因素权重相对较低。此外，</w:t>
      </w:r>
      <w:r>
        <w:rPr>
          <w:rFonts w:hint="eastAsia" w:ascii="Times New Roman" w:hAnsi="Times New Roman" w:cs="Times New Roman"/>
          <w:sz w:val="24"/>
          <w:szCs w:val="24"/>
          <w:lang w:eastAsia="zh-CN"/>
        </w:rPr>
        <w:t>高校共享道路交通安全</w:t>
      </w:r>
      <w:r>
        <w:rPr>
          <w:rFonts w:hint="default" w:ascii="Times New Roman" w:hAnsi="Times New Roman" w:cs="Times New Roman"/>
          <w:sz w:val="24"/>
          <w:szCs w:val="24"/>
          <w:lang w:eastAsia="zh-CN"/>
        </w:rPr>
        <w:t>客观</w:t>
      </w:r>
      <w:r>
        <w:rPr>
          <w:rFonts w:hint="default" w:ascii="Times New Roman" w:hAnsi="Times New Roman" w:cs="Times New Roman"/>
          <w:sz w:val="24"/>
          <w:szCs w:val="24"/>
          <w:lang w:val="en-US" w:eastAsia="zh-CN"/>
        </w:rPr>
        <w:t>指标</w:t>
      </w:r>
      <w:r>
        <w:rPr>
          <w:rFonts w:hint="default" w:ascii="Times New Roman" w:hAnsi="Times New Roman" w:eastAsia="宋体" w:cs="Times New Roman"/>
          <w:sz w:val="24"/>
          <w:szCs w:val="24"/>
        </w:rPr>
        <w:t>量程为0-3分</w:t>
      </w:r>
      <w:r>
        <w:rPr>
          <w:rFonts w:hint="eastAsia" w:ascii="Times New Roman" w:hAnsi="Times New Roman" w:cs="Times New Roman"/>
          <w:sz w:val="24"/>
          <w:szCs w:val="24"/>
          <w:lang w:eastAsia="zh-CN"/>
        </w:rPr>
        <w:t>，</w:t>
      </w:r>
      <w:r>
        <w:rPr>
          <w:rFonts w:hint="default" w:ascii="Times New Roman" w:hAnsi="Times New Roman" w:eastAsia="宋体" w:cs="Times New Roman"/>
          <w:sz w:val="24"/>
          <w:szCs w:val="24"/>
        </w:rPr>
        <w:t>与主观评分量程一致</w:t>
      </w:r>
      <w:r>
        <w:rPr>
          <w:rFonts w:hint="default" w:ascii="Times New Roman" w:hAnsi="Times New Roman" w:cs="Times New Roman"/>
          <w:sz w:val="24"/>
          <w:szCs w:val="24"/>
          <w:lang w:eastAsia="zh-CN"/>
        </w:rPr>
        <w:t>，</w:t>
      </w:r>
      <w:r>
        <w:rPr>
          <w:rFonts w:hint="default" w:ascii="Times New Roman" w:hAnsi="Times New Roman" w:eastAsia="宋体" w:cs="Times New Roman"/>
          <w:sz w:val="24"/>
          <w:szCs w:val="24"/>
        </w:rPr>
        <w:t>便于直接对比计算认知偏差系数。</w:t>
      </w:r>
      <w:r>
        <w:rPr>
          <w:rFonts w:hint="default" w:ascii="Times New Roman" w:hAnsi="Times New Roman" w:cs="Times New Roman"/>
          <w:lang w:val="en-US" w:eastAsia="zh-CN"/>
        </w:rPr>
        <w:t>具体权重数值及其评分标准如表15所示</w:t>
      </w:r>
      <w:r>
        <w:rPr>
          <w:rFonts w:hint="default" w:ascii="Times New Roman" w:hAnsi="Times New Roman" w:eastAsia="宋体" w:cs="Times New Roman"/>
          <w:lang w:eastAsia="zh-CN"/>
        </w:rPr>
        <w:t>。</w:t>
      </w:r>
      <w:r>
        <w:rPr>
          <w:rFonts w:hint="default" w:ascii="Times New Roman" w:hAnsi="Times New Roman" w:eastAsia="宋体" w:cs="Times New Roman"/>
          <w:sz w:val="24"/>
          <w:szCs w:val="24"/>
        </w:rPr>
        <w:t>研究路段的OSI实地测量完成后</w:t>
      </w:r>
      <w:r>
        <w:rPr>
          <w:rFonts w:hint="eastAsia" w:ascii="Times New Roman" w:hAnsi="Times New Roman" w:cs="Times New Roman"/>
          <w:sz w:val="24"/>
          <w:szCs w:val="24"/>
          <w:lang w:eastAsia="zh-CN"/>
        </w:rPr>
        <w:t>，</w:t>
      </w:r>
      <w:r>
        <w:rPr>
          <w:rFonts w:hint="default" w:ascii="Times New Roman" w:hAnsi="Times New Roman" w:eastAsia="宋体" w:cs="Times New Roman"/>
          <w:sz w:val="24"/>
          <w:szCs w:val="24"/>
        </w:rPr>
        <w:t>96个AI生成场景继承其对应路段的基准客观安全指数（OSI，Objective Safety Index）值</w:t>
      </w:r>
      <w:r>
        <w:rPr>
          <w:rFonts w:hint="eastAsia" w:ascii="Times New Roman" w:hAnsi="Times New Roman" w:cs="Times New Roman"/>
          <w:sz w:val="24"/>
          <w:szCs w:val="24"/>
          <w:lang w:eastAsia="zh-CN"/>
        </w:rPr>
        <w:t>，</w:t>
      </w:r>
      <w:r>
        <w:rPr>
          <w:rFonts w:hint="default" w:ascii="Times New Roman" w:hAnsi="Times New Roman" w:eastAsia="宋体" w:cs="Times New Roman"/>
          <w:sz w:val="24"/>
          <w:szCs w:val="24"/>
        </w:rPr>
        <w:t>并根据场景特定的变量设置</w:t>
      </w:r>
      <w:r>
        <w:rPr>
          <w:rFonts w:hint="eastAsia" w:ascii="Times New Roman" w:hAnsi="Times New Roman" w:cs="Times New Roman"/>
          <w:sz w:val="24"/>
          <w:szCs w:val="24"/>
          <w:lang w:eastAsia="zh-CN"/>
        </w:rPr>
        <w:t>（</w:t>
      </w:r>
      <w:r>
        <w:rPr>
          <w:rFonts w:hint="default" w:ascii="Times New Roman" w:hAnsi="Times New Roman" w:eastAsia="宋体" w:cs="Times New Roman"/>
          <w:sz w:val="24"/>
          <w:szCs w:val="24"/>
        </w:rPr>
        <w:t>如照明条件从日间变为夜间时</w:t>
      </w:r>
      <w:r>
        <w:rPr>
          <w:rFonts w:hint="eastAsia" w:ascii="Times New Roman" w:hAnsi="Times New Roman" w:cs="Times New Roman"/>
          <w:sz w:val="24"/>
          <w:szCs w:val="24"/>
          <w:lang w:eastAsia="zh-CN"/>
        </w:rPr>
        <w:t>，</w:t>
      </w:r>
      <w:r>
        <w:rPr>
          <w:rFonts w:hint="default" w:ascii="Times New Roman" w:hAnsi="Times New Roman" w:eastAsia="宋体" w:cs="Times New Roman"/>
          <w:sz w:val="24"/>
          <w:szCs w:val="24"/>
        </w:rPr>
        <w:t>照明水平得分相应调整</w:t>
      </w:r>
      <w:r>
        <w:rPr>
          <w:rFonts w:hint="eastAsia" w:ascii="Times New Roman" w:hAnsi="Times New Roman" w:cs="Times New Roman"/>
          <w:sz w:val="24"/>
          <w:szCs w:val="24"/>
          <w:lang w:eastAsia="zh-CN"/>
        </w:rPr>
        <w:t>）</w:t>
      </w:r>
      <w:r>
        <w:rPr>
          <w:rFonts w:hint="default" w:ascii="Times New Roman" w:hAnsi="Times New Roman" w:eastAsia="宋体" w:cs="Times New Roman"/>
          <w:sz w:val="24"/>
          <w:szCs w:val="24"/>
        </w:rPr>
        <w:t>进行微调</w:t>
      </w:r>
      <w:r>
        <w:rPr>
          <w:rFonts w:hint="eastAsia" w:ascii="Times New Roman" w:hAnsi="Times New Roman" w:cs="Times New Roman"/>
          <w:sz w:val="24"/>
          <w:szCs w:val="24"/>
          <w:lang w:eastAsia="zh-CN"/>
        </w:rPr>
        <w:t>，</w:t>
      </w:r>
      <w:r>
        <w:rPr>
          <w:rFonts w:hint="default" w:ascii="Times New Roman" w:hAnsi="Times New Roman" w:eastAsia="宋体" w:cs="Times New Roman"/>
          <w:sz w:val="24"/>
          <w:szCs w:val="24"/>
        </w:rPr>
        <w:t>形成每个场景各自的客观安全指数。</w:t>
      </w:r>
      <w:r>
        <w:rPr>
          <w:rFonts w:hint="default" w:ascii="Times New Roman" w:hAnsi="Times New Roman" w:cs="Times New Roman"/>
          <w:lang w:val="en-US" w:eastAsia="zh-CN"/>
        </w:rPr>
        <w:t>为此，本研究构建了</w:t>
      </w:r>
      <w:r>
        <w:rPr>
          <w:rFonts w:hint="eastAsia" w:ascii="Times New Roman" w:hAnsi="Times New Roman" w:cs="Times New Roman"/>
          <w:lang w:val="en-US" w:eastAsia="zh-CN"/>
        </w:rPr>
        <w:t>基于OSI的</w:t>
      </w:r>
      <w:r>
        <w:rPr>
          <w:rFonts w:hint="default" w:ascii="Times New Roman" w:hAnsi="Times New Roman" w:cs="Times New Roman"/>
          <w:lang w:val="en-US" w:eastAsia="zh-CN"/>
        </w:rPr>
        <w:t>加权求和计算</w:t>
      </w:r>
      <w:r>
        <w:rPr>
          <w:rFonts w:hint="eastAsia" w:ascii="Times New Roman" w:hAnsi="Times New Roman" w:cs="Times New Roman"/>
          <w:lang w:val="en-US" w:eastAsia="zh-CN"/>
        </w:rPr>
        <w:t>数学公式，具体公式如式1所示：</w:t>
      </w:r>
    </w:p>
    <w:p w14:paraId="12B27EB3">
      <w:pPr>
        <w:pStyle w:val="4"/>
        <w:numPr>
          <w:ilvl w:val="0"/>
          <w:numId w:val="0"/>
        </w:numPr>
        <w:ind w:firstLine="480" w:firstLineChars="200"/>
        <w:jc w:val="both"/>
        <w:rPr>
          <w:rFonts w:hint="default" w:ascii="Times New Roman" w:hAnsi="Times New Roman" w:cs="Times New Roman"/>
          <w:lang w:val="en-US" w:eastAsia="zh-CN"/>
        </w:rPr>
      </w:pPr>
    </w:p>
    <w:p w14:paraId="132F7EBB">
      <w:pPr>
        <w:pStyle w:val="4"/>
        <w:numPr>
          <w:ilvl w:val="0"/>
          <w:numId w:val="0"/>
        </w:numPr>
        <w:ind w:firstLine="1200" w:firstLineChars="500"/>
        <w:jc w:val="center"/>
        <w:rPr>
          <w:rFonts w:hint="default" w:ascii="Times New Roman" w:hAnsi="Times New Roman" w:cs="Times New Roman"/>
          <w:lang w:val="en-US" w:eastAsia="zh-CN"/>
        </w:rPr>
      </w:pPr>
      <m:oMath>
        <m:m>
          <m:mPr>
            <m:mcs>
              <m:mc>
                <m:mcPr>
                  <m:count m:val="1"/>
                  <m:mcJc m:val="left"/>
                </m:mcPr>
              </m:mc>
            </m:mcs>
            <m:ctrlPr>
              <w:rPr>
                <w:rFonts w:hint="default" w:ascii="Cambria Math" w:hAnsi="Cambria Math" w:eastAsia="宋体" w:cs="Times New Roman"/>
                <w:i/>
                <w:color w:val="000000"/>
                <w:sz w:val="24"/>
                <w:szCs w:val="24"/>
                <w:lang w:val="en-US" w:eastAsia="zh-CN"/>
              </w:rPr>
            </m:ctrlPr>
          </m:mPr>
          <m:mr>
            <m:e>
              <m:r>
                <m:rPr>
                  <m:nor/>
                </m:rPr>
                <w:rPr>
                  <w:rFonts w:hint="default" w:ascii="Times New Roman" w:hAnsi="Times New Roman" w:eastAsia="宋体" w:cs="Times New Roman"/>
                  <w:i/>
                  <w:color w:val="000000"/>
                  <w:sz w:val="24"/>
                  <w:szCs w:val="24"/>
                  <w:lang w:val="en-US" w:eastAsia="zh-CN"/>
                </w:rPr>
                <m:t>OSI</m:t>
              </m:r>
              <m:r>
                <m:rPr>
                  <m:nor/>
                  <m:sty m:val="p"/>
                </m:rPr>
                <w:rPr>
                  <w:rFonts w:hint="default" w:ascii="Times New Roman" w:hAnsi="Times New Roman" w:eastAsia="宋体" w:cs="Times New Roman"/>
                  <w:b w:val="0"/>
                  <w:i w:val="0"/>
                  <w:color w:val="000000"/>
                  <w:sz w:val="24"/>
                  <w:szCs w:val="24"/>
                  <w:lang w:val="en-US" w:eastAsia="zh-CN"/>
                </w:rPr>
                <m:t>=0.20</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1</m:t>
                  </m:r>
                  <m:ctrlPr>
                    <w:rPr>
                      <w:rFonts w:hint="default" w:ascii="Cambria Math" w:hAnsi="Cambria Math" w:eastAsia="宋体" w:cs="Times New Roman"/>
                      <w:i/>
                      <w:color w:val="000000"/>
                      <w:sz w:val="24"/>
                      <w:szCs w:val="24"/>
                      <w:lang w:val="en-US" w:eastAsia="zh-CN"/>
                    </w:rPr>
                  </m:ctrlPr>
                </m:sub>
              </m:sSub>
              <m:r>
                <m:rPr>
                  <m:nor/>
                  <m:sty m:val="p"/>
                </m:rPr>
                <w:rPr>
                  <w:rFonts w:hint="default" w:ascii="Times New Roman" w:hAnsi="Times New Roman" w:eastAsia="宋体" w:cs="Times New Roman"/>
                  <w:b w:val="0"/>
                  <w:i w:val="0"/>
                  <w:color w:val="000000"/>
                  <w:sz w:val="24"/>
                  <w:szCs w:val="24"/>
                  <w:lang w:val="en-US" w:eastAsia="zh-CN"/>
                </w:rPr>
                <m:t>+0.30</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2</m:t>
                  </m:r>
                  <m:ctrlPr>
                    <w:rPr>
                      <w:rFonts w:hint="default" w:ascii="Cambria Math" w:hAnsi="Cambria Math" w:eastAsia="宋体" w:cs="Times New Roman"/>
                      <w:i/>
                      <w:color w:val="000000"/>
                      <w:sz w:val="24"/>
                      <w:szCs w:val="24"/>
                      <w:lang w:val="en-US" w:eastAsia="zh-CN"/>
                    </w:rPr>
                  </m:ctrlPr>
                </m:sub>
              </m:sSub>
              <m:r>
                <m:rPr>
                  <m:nor/>
                  <m:sty m:val="p"/>
                </m:rPr>
                <w:rPr>
                  <w:rFonts w:hint="default" w:ascii="Times New Roman" w:hAnsi="Times New Roman" w:eastAsia="宋体" w:cs="Times New Roman"/>
                  <w:b w:val="0"/>
                  <w:i w:val="0"/>
                  <w:color w:val="000000"/>
                  <w:sz w:val="24"/>
                  <w:szCs w:val="24"/>
                  <w:lang w:val="en-US" w:eastAsia="zh-CN"/>
                </w:rPr>
                <m:t>+0.25</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3</m:t>
                  </m:r>
                  <m:ctrlPr>
                    <w:rPr>
                      <w:rFonts w:hint="default" w:ascii="Cambria Math" w:hAnsi="Cambria Math" w:eastAsia="宋体" w:cs="Times New Roman"/>
                      <w:i/>
                      <w:color w:val="000000"/>
                      <w:sz w:val="24"/>
                      <w:szCs w:val="24"/>
                      <w:lang w:val="en-US" w:eastAsia="zh-CN"/>
                    </w:rPr>
                  </m:ctrlPr>
                </m:sub>
              </m:sSub>
              <m:r>
                <m:rPr>
                  <m:nor/>
                  <m:sty m:val="p"/>
                </m:rPr>
                <w:rPr>
                  <w:rFonts w:hint="default" w:ascii="Times New Roman" w:hAnsi="Times New Roman" w:eastAsia="宋体" w:cs="Times New Roman"/>
                  <w:b w:val="0"/>
                  <w:i w:val="0"/>
                  <w:color w:val="000000"/>
                  <w:sz w:val="24"/>
                  <w:szCs w:val="24"/>
                  <w:lang w:val="en-US" w:eastAsia="zh-CN"/>
                </w:rPr>
                <m:t>+0.15</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4</m:t>
                  </m:r>
                  <m:ctrlPr>
                    <w:rPr>
                      <w:rFonts w:hint="default" w:ascii="Cambria Math" w:hAnsi="Cambria Math" w:eastAsia="宋体" w:cs="Times New Roman"/>
                      <w:i/>
                      <w:color w:val="000000"/>
                      <w:sz w:val="24"/>
                      <w:szCs w:val="24"/>
                      <w:lang w:val="en-US" w:eastAsia="zh-CN"/>
                    </w:rPr>
                  </m:ctrlPr>
                </m:sub>
              </m:sSub>
              <m:r>
                <m:rPr>
                  <m:nor/>
                  <m:sty m:val="p"/>
                </m:rPr>
                <w:rPr>
                  <w:rFonts w:hint="default" w:ascii="Times New Roman" w:hAnsi="Times New Roman" w:eastAsia="宋体" w:cs="Times New Roman"/>
                  <w:b w:val="0"/>
                  <w:i w:val="0"/>
                  <w:color w:val="000000"/>
                  <w:sz w:val="24"/>
                  <w:szCs w:val="24"/>
                  <w:lang w:val="en-US" w:eastAsia="zh-CN"/>
                </w:rPr>
                <m:t>+0.10</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5</m:t>
                  </m:r>
                  <m:ctrlPr>
                    <w:rPr>
                      <w:rFonts w:hint="default" w:ascii="Cambria Math" w:hAnsi="Cambria Math" w:eastAsia="宋体" w:cs="Times New Roman"/>
                      <w:i/>
                      <w:color w:val="000000"/>
                      <w:sz w:val="24"/>
                      <w:szCs w:val="24"/>
                      <w:lang w:val="en-US" w:eastAsia="zh-CN"/>
                    </w:rPr>
                  </m:ctrlPr>
                </m:sub>
              </m:sSub>
              <m:ctrlPr>
                <w:rPr>
                  <w:rFonts w:hint="default" w:ascii="Cambria Math" w:hAnsi="Cambria Math" w:eastAsia="宋体" w:cs="Times New Roman"/>
                  <w:i/>
                  <w:color w:val="000000"/>
                  <w:sz w:val="24"/>
                  <w:szCs w:val="24"/>
                  <w:lang w:val="en-US" w:eastAsia="zh-CN"/>
                </w:rPr>
              </m:ctrlPr>
            </m:e>
          </m:mr>
        </m:m>
      </m:oMath>
      <w:r>
        <w:rPr>
          <w:rFonts w:hint="eastAsia" w:hAnsi="Cambria Math" w:cs="Times New Roman"/>
          <w:i w:val="0"/>
          <w:color w:val="000000"/>
          <w:sz w:val="24"/>
          <w:szCs w:val="24"/>
          <w:lang w:val="en-US" w:eastAsia="zh-CN"/>
        </w:rPr>
        <w:t xml:space="preserve">                    </w:t>
      </w:r>
      <w:r>
        <w:rPr>
          <w:rFonts w:hint="default" w:ascii="Times New Roman" w:hAnsi="Times New Roman" w:cs="Times New Roman"/>
          <w:i w:val="0"/>
          <w:color w:val="000000"/>
          <w:sz w:val="24"/>
          <w:szCs w:val="24"/>
          <w:lang w:val="en-US" w:eastAsia="zh-CN"/>
        </w:rPr>
        <w:t>式1</w:t>
      </w:r>
    </w:p>
    <w:p w14:paraId="393C80D2">
      <w:pPr>
        <w:pStyle w:val="4"/>
        <w:numPr>
          <w:ilvl w:val="0"/>
          <w:numId w:val="0"/>
        </w:numPr>
        <w:ind w:firstLine="482" w:firstLineChars="200"/>
        <w:jc w:val="both"/>
        <w:rPr>
          <w:rFonts w:hint="eastAsia" w:ascii="Times New Roman" w:hAnsi="Times New Roman" w:cs="Times New Roman"/>
          <w:b/>
          <w:bCs/>
          <w:sz w:val="24"/>
          <w:szCs w:val="24"/>
          <w:lang w:val="en-US" w:eastAsia="zh-CN"/>
        </w:rPr>
      </w:pPr>
    </w:p>
    <w:p w14:paraId="2AB9EAE1">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表15 高校共享道路交通安全客观指标表</w:t>
      </w:r>
    </w:p>
    <w:tbl>
      <w:tblPr>
        <w:tblStyle w:val="8"/>
        <w:tblW w:w="8318" w:type="dxa"/>
        <w:jc w:val="center"/>
        <w:tblLayout w:type="fixed"/>
        <w:tblCellMar>
          <w:top w:w="0" w:type="dxa"/>
          <w:left w:w="0" w:type="dxa"/>
          <w:bottom w:w="0" w:type="dxa"/>
          <w:right w:w="0" w:type="dxa"/>
        </w:tblCellMar>
      </w:tblPr>
      <w:tblGrid>
        <w:gridCol w:w="1058"/>
        <w:gridCol w:w="736"/>
        <w:gridCol w:w="1714"/>
        <w:gridCol w:w="4810"/>
      </w:tblGrid>
      <w:tr w14:paraId="0D2322C4">
        <w:tblPrEx>
          <w:tblCellMar>
            <w:top w:w="0" w:type="dxa"/>
            <w:left w:w="0" w:type="dxa"/>
            <w:bottom w:w="0" w:type="dxa"/>
            <w:right w:w="0" w:type="dxa"/>
          </w:tblCellMar>
        </w:tblPrEx>
        <w:trPr>
          <w:trHeight w:val="122" w:hRule="atLeast"/>
          <w:jc w:val="center"/>
        </w:trPr>
        <w:tc>
          <w:tcPr>
            <w:tcW w:w="1058" w:type="dxa"/>
            <w:tcBorders>
              <w:top w:val="single" w:color="000000" w:sz="4" w:space="0"/>
              <w:left w:val="nil"/>
              <w:bottom w:val="single" w:color="000000" w:sz="12" w:space="0"/>
              <w:right w:val="nil"/>
            </w:tcBorders>
            <w:shd w:val="clear" w:color="auto" w:fill="FFFFFF"/>
            <w:vAlign w:val="center"/>
          </w:tcPr>
          <w:p w14:paraId="106CAE4D">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default"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安全指标</w:t>
            </w:r>
          </w:p>
        </w:tc>
        <w:tc>
          <w:tcPr>
            <w:tcW w:w="736" w:type="dxa"/>
            <w:tcBorders>
              <w:top w:val="single" w:color="000000" w:sz="4" w:space="0"/>
              <w:left w:val="nil"/>
              <w:bottom w:val="single" w:color="000000" w:sz="12" w:space="0"/>
              <w:right w:val="nil"/>
            </w:tcBorders>
            <w:shd w:val="clear" w:color="auto" w:fill="FFFFFF"/>
            <w:vAlign w:val="center"/>
          </w:tcPr>
          <w:p w14:paraId="3E4B4C8B">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权重</w:t>
            </w:r>
          </w:p>
        </w:tc>
        <w:tc>
          <w:tcPr>
            <w:tcW w:w="1714" w:type="dxa"/>
            <w:tcBorders>
              <w:top w:val="single" w:color="000000" w:sz="4" w:space="0"/>
              <w:left w:val="nil"/>
              <w:bottom w:val="single" w:color="000000" w:sz="12" w:space="0"/>
              <w:right w:val="nil"/>
            </w:tcBorders>
            <w:shd w:val="clear" w:color="auto" w:fill="FFFFFF"/>
            <w:vAlign w:val="center"/>
          </w:tcPr>
          <w:p w14:paraId="7A07CDF1">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评估内容</w:t>
            </w:r>
          </w:p>
        </w:tc>
        <w:tc>
          <w:tcPr>
            <w:tcW w:w="4810" w:type="dxa"/>
            <w:tcBorders>
              <w:top w:val="single" w:color="000000" w:sz="4" w:space="0"/>
              <w:left w:val="nil"/>
              <w:bottom w:val="single" w:color="000000" w:sz="12" w:space="0"/>
              <w:right w:val="nil"/>
            </w:tcBorders>
            <w:shd w:val="clear" w:color="auto" w:fill="FFFFFF"/>
            <w:vAlign w:val="center"/>
          </w:tcPr>
          <w:p w14:paraId="4C066EB3">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评分标准</w:t>
            </w:r>
          </w:p>
        </w:tc>
      </w:tr>
      <w:tr w14:paraId="7D37F527">
        <w:tblPrEx>
          <w:tblCellMar>
            <w:top w:w="0" w:type="dxa"/>
            <w:left w:w="0" w:type="dxa"/>
            <w:bottom w:w="0" w:type="dxa"/>
            <w:right w:w="0" w:type="dxa"/>
          </w:tblCellMar>
        </w:tblPrEx>
        <w:trPr>
          <w:trHeight w:val="0" w:hRule="atLeast"/>
          <w:jc w:val="center"/>
        </w:trPr>
        <w:tc>
          <w:tcPr>
            <w:tcW w:w="1058" w:type="dxa"/>
            <w:tcBorders>
              <w:top w:val="single" w:color="000000" w:sz="12" w:space="0"/>
              <w:left w:val="nil"/>
              <w:bottom w:val="single" w:color="000000" w:sz="4" w:space="0"/>
              <w:right w:val="nil"/>
            </w:tcBorders>
            <w:shd w:val="clear" w:color="auto" w:fill="FFFFFF"/>
            <w:vAlign w:val="center"/>
          </w:tcPr>
          <w:p w14:paraId="554EF9B0">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道路宽度</w:t>
            </w:r>
          </w:p>
          <w:p w14:paraId="223EA8EF">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w:t>
            </w:r>
            <w:r>
              <w:rPr>
                <w:rFonts w:hint="eastAsia" w:ascii="Times New Roman" w:hAnsi="Times New Roman" w:eastAsia="宋体" w:cs="Times New Roman"/>
                <w:b w:val="0"/>
                <w:color w:val="000000"/>
                <w:kern w:val="0"/>
                <w:sz w:val="24"/>
                <w:szCs w:val="24"/>
                <w:vertAlign w:val="subscript"/>
                <w:lang w:val="en-US" w:eastAsia="zh-CN" w:bidi="ar"/>
              </w:rPr>
              <w:t>1</w:t>
            </w:r>
          </w:p>
        </w:tc>
        <w:tc>
          <w:tcPr>
            <w:tcW w:w="736" w:type="dxa"/>
            <w:tcBorders>
              <w:top w:val="single" w:color="000000" w:sz="12" w:space="0"/>
              <w:left w:val="nil"/>
              <w:bottom w:val="single" w:color="000000" w:sz="4" w:space="0"/>
              <w:right w:val="nil"/>
            </w:tcBorders>
            <w:shd w:val="clear" w:color="auto" w:fill="FFFFFF"/>
            <w:vAlign w:val="center"/>
          </w:tcPr>
          <w:p w14:paraId="069CC22B">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0.20</w:t>
            </w:r>
          </w:p>
        </w:tc>
        <w:tc>
          <w:tcPr>
            <w:tcW w:w="1714" w:type="dxa"/>
            <w:tcBorders>
              <w:top w:val="single" w:color="000000" w:sz="12" w:space="0"/>
              <w:left w:val="nil"/>
              <w:bottom w:val="single" w:color="000000" w:sz="4" w:space="0"/>
              <w:right w:val="nil"/>
            </w:tcBorders>
            <w:shd w:val="clear" w:color="auto" w:fill="FFFFFF"/>
            <w:vAlign w:val="center"/>
          </w:tcPr>
          <w:p w14:paraId="6F216846">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有效通行宽度</w:t>
            </w:r>
          </w:p>
        </w:tc>
        <w:tc>
          <w:tcPr>
            <w:tcW w:w="4810" w:type="dxa"/>
            <w:tcBorders>
              <w:top w:val="single" w:color="000000" w:sz="12" w:space="0"/>
              <w:left w:val="nil"/>
              <w:bottom w:val="single" w:color="000000" w:sz="4" w:space="0"/>
              <w:right w:val="nil"/>
            </w:tcBorders>
            <w:shd w:val="clear" w:color="auto" w:fill="FFFFFF"/>
            <w:vAlign w:val="center"/>
          </w:tcPr>
          <w:p w14:paraId="5988D173">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≥4.0m：3分</w:t>
              <w:br w:type="textWrapping"/>
              <w:t>3.0m≤宽度&lt;4.0m：2分</w:t>
              <w:br w:type="textWrapping"/>
              <w:t>2.5m≤宽度&lt;3.0m：1分</w:t>
              <w:br w:type="textWrapping"/>
              <w:t>宽度&lt;2.5m：0分</w:t>
            </w:r>
          </w:p>
        </w:tc>
      </w:tr>
      <w:tr w14:paraId="4A9D1A57">
        <w:tblPrEx>
          <w:tblCellMar>
            <w:top w:w="0" w:type="dxa"/>
            <w:left w:w="0" w:type="dxa"/>
            <w:bottom w:w="0" w:type="dxa"/>
            <w:right w:w="0" w:type="dxa"/>
          </w:tblCellMar>
        </w:tblPrEx>
        <w:trPr>
          <w:trHeight w:val="0" w:hRule="atLeast"/>
          <w:jc w:val="center"/>
        </w:trPr>
        <w:tc>
          <w:tcPr>
            <w:tcW w:w="1058" w:type="dxa"/>
            <w:tcBorders>
              <w:top w:val="single" w:color="000000" w:sz="4" w:space="0"/>
              <w:left w:val="nil"/>
              <w:bottom w:val="single" w:color="000000" w:sz="4" w:space="0"/>
              <w:right w:val="nil"/>
            </w:tcBorders>
            <w:shd w:val="clear" w:color="auto" w:fill="FFFFFF"/>
            <w:vAlign w:val="center"/>
          </w:tcPr>
          <w:p w14:paraId="2926FE0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视距条件</w:t>
            </w:r>
          </w:p>
          <w:p w14:paraId="02A1CF5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w:t>
            </w:r>
            <w:r>
              <w:rPr>
                <w:rFonts w:hint="eastAsia" w:ascii="Times New Roman" w:hAnsi="Times New Roman" w:eastAsia="宋体" w:cs="Times New Roman"/>
                <w:b w:val="0"/>
                <w:color w:val="000000"/>
                <w:kern w:val="0"/>
                <w:sz w:val="24"/>
                <w:szCs w:val="24"/>
                <w:vertAlign w:val="subscript"/>
                <w:lang w:val="en-US" w:eastAsia="zh-CN" w:bidi="ar"/>
              </w:rPr>
              <w:t>2</w:t>
            </w:r>
          </w:p>
        </w:tc>
        <w:tc>
          <w:tcPr>
            <w:tcW w:w="736" w:type="dxa"/>
            <w:tcBorders>
              <w:top w:val="single" w:color="000000" w:sz="4" w:space="0"/>
              <w:left w:val="nil"/>
              <w:bottom w:val="single" w:color="000000" w:sz="4" w:space="0"/>
              <w:right w:val="nil"/>
            </w:tcBorders>
            <w:shd w:val="clear" w:color="auto" w:fill="FFFFFF"/>
            <w:vAlign w:val="center"/>
          </w:tcPr>
          <w:p w14:paraId="372FEB65">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0.30</w:t>
            </w:r>
          </w:p>
        </w:tc>
        <w:tc>
          <w:tcPr>
            <w:tcW w:w="1714" w:type="dxa"/>
            <w:tcBorders>
              <w:top w:val="single" w:color="000000" w:sz="4" w:space="0"/>
              <w:left w:val="nil"/>
              <w:bottom w:val="single" w:color="000000" w:sz="4" w:space="0"/>
              <w:right w:val="nil"/>
            </w:tcBorders>
            <w:shd w:val="clear" w:color="auto" w:fill="FFFFFF"/>
            <w:vAlign w:val="center"/>
          </w:tcPr>
          <w:p w14:paraId="3AB6107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无遮挡视距长度</w:t>
            </w:r>
          </w:p>
        </w:tc>
        <w:tc>
          <w:tcPr>
            <w:tcW w:w="4810" w:type="dxa"/>
            <w:tcBorders>
              <w:top w:val="single" w:color="000000" w:sz="4" w:space="0"/>
              <w:left w:val="nil"/>
              <w:bottom w:val="single" w:color="000000" w:sz="4" w:space="0"/>
              <w:right w:val="nil"/>
            </w:tcBorders>
            <w:shd w:val="clear" w:color="auto" w:fill="FFFFFF"/>
            <w:vAlign w:val="center"/>
          </w:tcPr>
          <w:p w14:paraId="252885B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≥25m：3分</w:t>
              <w:br w:type="textWrapping"/>
              <w:t>15m≤视距&lt;25m：2分</w:t>
              <w:br w:type="textWrapping"/>
              <w:t>8m≤视距&lt;15m：1分</w:t>
              <w:br w:type="textWrapping"/>
              <w:t>视距&lt;8m：0分</w:t>
            </w:r>
          </w:p>
        </w:tc>
      </w:tr>
      <w:tr w14:paraId="373B51BE">
        <w:tblPrEx>
          <w:tblCellMar>
            <w:top w:w="0" w:type="dxa"/>
            <w:left w:w="0" w:type="dxa"/>
            <w:bottom w:w="0" w:type="dxa"/>
            <w:right w:w="0" w:type="dxa"/>
          </w:tblCellMar>
        </w:tblPrEx>
        <w:trPr>
          <w:trHeight w:val="0" w:hRule="atLeast"/>
          <w:jc w:val="center"/>
        </w:trPr>
        <w:tc>
          <w:tcPr>
            <w:tcW w:w="1058" w:type="dxa"/>
            <w:tcBorders>
              <w:top w:val="single" w:color="000000" w:sz="4" w:space="0"/>
              <w:left w:val="nil"/>
              <w:bottom w:val="single" w:color="000000" w:sz="4" w:space="0"/>
              <w:right w:val="nil"/>
            </w:tcBorders>
            <w:shd w:val="clear" w:color="auto" w:fill="FFFFFF"/>
            <w:vAlign w:val="center"/>
          </w:tcPr>
          <w:p w14:paraId="566806AB">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标识系统</w:t>
            </w:r>
          </w:p>
          <w:p w14:paraId="04954E0A">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w:t>
            </w:r>
            <w:r>
              <w:rPr>
                <w:rFonts w:hint="eastAsia" w:ascii="Times New Roman" w:hAnsi="Times New Roman" w:eastAsia="宋体" w:cs="Times New Roman"/>
                <w:b w:val="0"/>
                <w:color w:val="000000"/>
                <w:kern w:val="0"/>
                <w:sz w:val="24"/>
                <w:szCs w:val="24"/>
                <w:vertAlign w:val="subscript"/>
                <w:lang w:val="en-US" w:eastAsia="zh-CN" w:bidi="ar"/>
              </w:rPr>
              <w:t>3</w:t>
            </w:r>
          </w:p>
        </w:tc>
        <w:tc>
          <w:tcPr>
            <w:tcW w:w="736" w:type="dxa"/>
            <w:tcBorders>
              <w:top w:val="single" w:color="000000" w:sz="4" w:space="0"/>
              <w:left w:val="nil"/>
              <w:bottom w:val="single" w:color="000000" w:sz="4" w:space="0"/>
              <w:right w:val="nil"/>
            </w:tcBorders>
            <w:shd w:val="clear" w:color="auto" w:fill="FFFFFF"/>
            <w:vAlign w:val="center"/>
          </w:tcPr>
          <w:p w14:paraId="2C54BE4D">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0.25</w:t>
            </w:r>
          </w:p>
        </w:tc>
        <w:tc>
          <w:tcPr>
            <w:tcW w:w="1714" w:type="dxa"/>
            <w:tcBorders>
              <w:top w:val="single" w:color="000000" w:sz="4" w:space="0"/>
              <w:left w:val="nil"/>
              <w:bottom w:val="single" w:color="000000" w:sz="4" w:space="0"/>
              <w:right w:val="nil"/>
            </w:tcBorders>
            <w:shd w:val="clear" w:color="auto" w:fill="FFFFFF"/>
            <w:vAlign w:val="center"/>
          </w:tcPr>
          <w:p w14:paraId="1885E248">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标识数量、位置、内容清晰度</w:t>
            </w:r>
          </w:p>
        </w:tc>
        <w:tc>
          <w:tcPr>
            <w:tcW w:w="4810" w:type="dxa"/>
            <w:tcBorders>
              <w:top w:val="single" w:color="000000" w:sz="4" w:space="0"/>
              <w:left w:val="nil"/>
              <w:bottom w:val="single" w:color="000000" w:sz="4" w:space="0"/>
              <w:right w:val="nil"/>
            </w:tcBorders>
            <w:shd w:val="clear" w:color="auto" w:fill="FFFFFF"/>
            <w:vAlign w:val="center"/>
          </w:tcPr>
          <w:p w14:paraId="179DEB45">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90-100分：3分</w:t>
              <w:br w:type="textWrapping"/>
              <w:t>70-89分：2分</w:t>
              <w:br w:type="textWrapping"/>
              <w:t>50-69分：1分</w:t>
              <w:br w:type="textWrapping"/>
              <w:t>&lt;50分：0分</w:t>
            </w:r>
          </w:p>
        </w:tc>
      </w:tr>
      <w:tr w14:paraId="06621270">
        <w:tblPrEx>
          <w:tblCellMar>
            <w:top w:w="0" w:type="dxa"/>
            <w:left w:w="0" w:type="dxa"/>
            <w:bottom w:w="0" w:type="dxa"/>
            <w:right w:w="0" w:type="dxa"/>
          </w:tblCellMar>
        </w:tblPrEx>
        <w:trPr>
          <w:trHeight w:val="0" w:hRule="atLeast"/>
          <w:jc w:val="center"/>
        </w:trPr>
        <w:tc>
          <w:tcPr>
            <w:tcW w:w="1058" w:type="dxa"/>
            <w:tcBorders>
              <w:top w:val="single" w:color="000000" w:sz="4" w:space="0"/>
              <w:left w:val="nil"/>
              <w:bottom w:val="single" w:color="000000" w:sz="4" w:space="0"/>
              <w:right w:val="nil"/>
            </w:tcBorders>
            <w:shd w:val="clear" w:color="auto" w:fill="FFFFFF"/>
            <w:vAlign w:val="center"/>
          </w:tcPr>
          <w:p w14:paraId="6A62B685">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照明水平</w:t>
            </w:r>
          </w:p>
          <w:p w14:paraId="07A9B7CF">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w:t>
            </w:r>
            <w:r>
              <w:rPr>
                <w:rFonts w:hint="eastAsia" w:ascii="Times New Roman" w:hAnsi="Times New Roman" w:eastAsia="宋体" w:cs="Times New Roman"/>
                <w:b w:val="0"/>
                <w:color w:val="000000"/>
                <w:kern w:val="0"/>
                <w:sz w:val="24"/>
                <w:szCs w:val="24"/>
                <w:vertAlign w:val="subscript"/>
                <w:lang w:val="en-US" w:eastAsia="zh-CN" w:bidi="ar"/>
              </w:rPr>
              <w:t>4</w:t>
            </w:r>
          </w:p>
        </w:tc>
        <w:tc>
          <w:tcPr>
            <w:tcW w:w="736" w:type="dxa"/>
            <w:tcBorders>
              <w:top w:val="single" w:color="000000" w:sz="4" w:space="0"/>
              <w:left w:val="nil"/>
              <w:bottom w:val="single" w:color="000000" w:sz="4" w:space="0"/>
              <w:right w:val="nil"/>
            </w:tcBorders>
            <w:shd w:val="clear" w:color="auto" w:fill="FFFFFF"/>
            <w:vAlign w:val="center"/>
          </w:tcPr>
          <w:p w14:paraId="43A83175">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w:t>
            </w:r>
          </w:p>
        </w:tc>
        <w:tc>
          <w:tcPr>
            <w:tcW w:w="1714" w:type="dxa"/>
            <w:tcBorders>
              <w:top w:val="single" w:color="000000" w:sz="4" w:space="0"/>
              <w:left w:val="nil"/>
              <w:bottom w:val="single" w:color="000000" w:sz="4" w:space="0"/>
              <w:right w:val="nil"/>
            </w:tcBorders>
            <w:shd w:val="clear" w:color="auto" w:fill="FFFFFF"/>
            <w:vAlign w:val="center"/>
          </w:tcPr>
          <w:p w14:paraId="79610D2D">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路面平均照度</w:t>
            </w:r>
          </w:p>
        </w:tc>
        <w:tc>
          <w:tcPr>
            <w:tcW w:w="4810" w:type="dxa"/>
            <w:tcBorders>
              <w:top w:val="single" w:color="000000" w:sz="4" w:space="0"/>
              <w:left w:val="nil"/>
              <w:bottom w:val="single" w:color="000000" w:sz="4" w:space="0"/>
              <w:right w:val="nil"/>
            </w:tcBorders>
            <w:shd w:val="clear" w:color="auto" w:fill="FFFFFF"/>
            <w:vAlign w:val="center"/>
          </w:tcPr>
          <w:p w14:paraId="1533CE3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≥50lux：3分</w:t>
              <w:br w:type="textWrapping"/>
              <w:t>30lux≤照度&lt;50lux：2分</w:t>
              <w:br w:type="textWrapping"/>
              <w:t>15lux≤照度&lt;30lux：1分</w:t>
              <w:br w:type="textWrapping"/>
              <w:t>照度&lt;15lux：0分</w:t>
            </w:r>
          </w:p>
        </w:tc>
      </w:tr>
      <w:tr w14:paraId="17A19502">
        <w:tblPrEx>
          <w:tblCellMar>
            <w:top w:w="0" w:type="dxa"/>
            <w:left w:w="0" w:type="dxa"/>
            <w:bottom w:w="0" w:type="dxa"/>
            <w:right w:w="0" w:type="dxa"/>
          </w:tblCellMar>
        </w:tblPrEx>
        <w:trPr>
          <w:trHeight w:val="0" w:hRule="atLeast"/>
          <w:jc w:val="center"/>
        </w:trPr>
        <w:tc>
          <w:tcPr>
            <w:tcW w:w="1058" w:type="dxa"/>
            <w:tcBorders>
              <w:top w:val="single" w:color="000000" w:sz="4" w:space="0"/>
              <w:left w:val="nil"/>
              <w:bottom w:val="single" w:color="000000" w:sz="4" w:space="0"/>
              <w:right w:val="nil"/>
            </w:tcBorders>
            <w:shd w:val="clear" w:color="auto" w:fill="FFFFFF"/>
            <w:vAlign w:val="center"/>
          </w:tcPr>
          <w:p w14:paraId="56004DBE">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路面质量</w:t>
            </w:r>
          </w:p>
          <w:p w14:paraId="2D9C0498">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w:t>
            </w:r>
            <w:r>
              <w:rPr>
                <w:rFonts w:hint="eastAsia" w:ascii="Times New Roman" w:hAnsi="Times New Roman" w:eastAsia="宋体" w:cs="Times New Roman"/>
                <w:b w:val="0"/>
                <w:color w:val="000000"/>
                <w:kern w:val="0"/>
                <w:sz w:val="24"/>
                <w:szCs w:val="24"/>
                <w:vertAlign w:val="subscript"/>
                <w:lang w:val="en-US" w:eastAsia="zh-CN" w:bidi="ar"/>
              </w:rPr>
              <w:t>5</w:t>
            </w:r>
          </w:p>
        </w:tc>
        <w:tc>
          <w:tcPr>
            <w:tcW w:w="736" w:type="dxa"/>
            <w:tcBorders>
              <w:top w:val="single" w:color="000000" w:sz="4" w:space="0"/>
              <w:left w:val="nil"/>
              <w:bottom w:val="single" w:color="000000" w:sz="4" w:space="0"/>
              <w:right w:val="nil"/>
            </w:tcBorders>
            <w:shd w:val="clear" w:color="auto" w:fill="FFFFFF"/>
            <w:vAlign w:val="center"/>
          </w:tcPr>
          <w:p w14:paraId="1AF92332">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0.10</w:t>
            </w:r>
          </w:p>
        </w:tc>
        <w:tc>
          <w:tcPr>
            <w:tcW w:w="1714" w:type="dxa"/>
            <w:tcBorders>
              <w:top w:val="single" w:color="000000" w:sz="4" w:space="0"/>
              <w:left w:val="nil"/>
              <w:bottom w:val="single" w:color="000000" w:sz="4" w:space="0"/>
              <w:right w:val="nil"/>
            </w:tcBorders>
            <w:shd w:val="clear" w:color="auto" w:fill="FFFFFF"/>
            <w:vAlign w:val="center"/>
          </w:tcPr>
          <w:p w14:paraId="24C2B350">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平整度、防滑性、破损率</w:t>
            </w:r>
          </w:p>
        </w:tc>
        <w:tc>
          <w:tcPr>
            <w:tcW w:w="4810" w:type="dxa"/>
            <w:tcBorders>
              <w:top w:val="single" w:color="000000" w:sz="4" w:space="0"/>
              <w:left w:val="nil"/>
              <w:bottom w:val="single" w:color="000000" w:sz="4" w:space="0"/>
              <w:right w:val="nil"/>
            </w:tcBorders>
            <w:shd w:val="clear" w:color="auto" w:fill="FFFFFF"/>
            <w:vAlign w:val="center"/>
          </w:tcPr>
          <w:p w14:paraId="0C8AD918">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平整无破损，防滑系数≥0.5:3</w:t>
              <w:br w:type="textWrapping"/>
              <w:t>基本平整，轻微破损，防滑系数0.4-0.5:2</w:t>
              <w:br w:type="textWrapping"/>
              <w:t>不平整或明显破损，防滑系数0.3-0.4:1</w:t>
              <w:br w:type="textWrapping"/>
              <w:t>严重破损或防滑系数&lt;0.3:0</w:t>
            </w:r>
          </w:p>
        </w:tc>
      </w:tr>
    </w:tbl>
    <w:p w14:paraId="443FB0EB">
      <w:pPr>
        <w:pStyle w:val="4"/>
        <w:numPr>
          <w:ilvl w:val="0"/>
          <w:numId w:val="0"/>
        </w:numPr>
        <w:ind w:firstLine="480" w:firstLineChars="200"/>
        <w:jc w:val="both"/>
        <w:rPr>
          <w:rFonts w:hint="eastAsia" w:ascii="Times New Roman" w:hAnsi="Times New Roman" w:cs="Times New Roman"/>
          <w:lang w:val="en-US" w:eastAsia="zh-CN"/>
        </w:rPr>
      </w:pPr>
    </w:p>
    <w:p w14:paraId="1AC9ECE8">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此外，在获得高校共享道路</w:t>
      </w:r>
      <w:r>
        <w:rPr>
          <w:rFonts w:hint="eastAsia" w:ascii="Times New Roman" w:hAnsi="Times New Roman" w:eastAsia="宋体" w:cs="Times New Roman"/>
          <w:lang w:val="en-US" w:eastAsia="zh-CN"/>
        </w:rPr>
        <w:t>交通</w:t>
      </w:r>
      <w:r>
        <w:rPr>
          <w:rFonts w:hint="eastAsia" w:ascii="Times New Roman" w:hAnsi="Times New Roman" w:cs="Times New Roman"/>
          <w:lang w:val="en-US" w:eastAsia="zh-CN"/>
        </w:rPr>
        <w:t>环境主观认知指标主观评分（S_subjective）和高校共享道路交通安全客观指标数据（S_objective）后，计算认知偏差系数（Cognitive Bias Coefficient，CBC）。该系数反映主观认知相对于客观基准的偏离程度（如式2所示）：</w:t>
      </w:r>
    </w:p>
    <w:p w14:paraId="37CB6241">
      <w:pPr>
        <w:pStyle w:val="4"/>
        <w:numPr>
          <w:ilvl w:val="0"/>
          <w:numId w:val="0"/>
        </w:numPr>
        <w:ind w:firstLine="480" w:firstLineChars="200"/>
        <w:jc w:val="both"/>
        <w:rPr>
          <w:rFonts w:hint="eastAsia" w:ascii="Times New Roman" w:hAnsi="Times New Roman" w:cs="Times New Roman"/>
          <w:lang w:val="en-US" w:eastAsia="zh-CN"/>
        </w:rPr>
      </w:pPr>
    </w:p>
    <w:p w14:paraId="784A31C6">
      <w:pPr>
        <w:pStyle w:val="4"/>
        <w:numPr>
          <w:ilvl w:val="0"/>
          <w:numId w:val="0"/>
        </w:numPr>
        <w:ind w:firstLine="480" w:firstLineChars="200"/>
        <w:jc w:val="right"/>
        <w:rPr>
          <w:rFonts w:hint="default" w:ascii="Times New Roman" w:hAnsi="Times New Roman" w:cs="Times New Roman"/>
          <w:i w:val="0"/>
          <w:color w:val="000000"/>
          <w:sz w:val="24"/>
          <w:szCs w:val="24"/>
          <w:lang w:val="en-US" w:eastAsia="zh-CN"/>
        </w:rPr>
      </w:pPr>
      <m:oMath>
        <m:m>
          <m:mPr>
            <m:mcs>
              <m:mc>
                <m:mcPr>
                  <m:count m:val="1"/>
                  <m:mcJc m:val="left"/>
                </m:mcPr>
              </m:mc>
            </m:mcs>
            <m:ctrlPr>
              <w:rPr>
                <w:rFonts w:hint="default" w:ascii="Cambria Math" w:hAnsi="Cambria Math" w:eastAsia="宋体" w:cs="Times New Roman"/>
                <w:i/>
                <w:color w:val="000000"/>
                <w:sz w:val="24"/>
                <w:szCs w:val="24"/>
                <w:lang w:val="en-US" w:eastAsia="zh-CN"/>
              </w:rPr>
            </m:ctrlPr>
          </m:mPr>
          <m:mr>
            <m:e>
              <m:r>
                <m:rPr>
                  <m:nor/>
                </m:rPr>
                <w:rPr>
                  <w:rFonts w:hint="default" w:ascii="Times New Roman" w:hAnsi="Times New Roman" w:eastAsia="宋体" w:cs="Times New Roman"/>
                  <w:i/>
                  <w:color w:val="000000"/>
                  <w:sz w:val="24"/>
                  <w:szCs w:val="24"/>
                  <w:lang w:val="en-US" w:eastAsia="zh-CN"/>
                </w:rPr>
                <m:t>CBC</m:t>
              </m:r>
              <m:r>
                <m:rPr>
                  <m:nor/>
                  <m:sty m:val="p"/>
                </m:rPr>
                <w:rPr>
                  <w:rFonts w:hint="default" w:ascii="Times New Roman" w:hAnsi="Times New Roman" w:eastAsia="宋体" w:cs="Times New Roman"/>
                  <w:b w:val="0"/>
                  <w:i w:val="0"/>
                  <w:color w:val="000000"/>
                  <w:sz w:val="24"/>
                  <w:szCs w:val="24"/>
                  <w:lang w:val="en-US" w:eastAsia="zh-CN"/>
                </w:rPr>
                <m:t>=(</m:t>
              </m:r>
              <m:r>
                <m:rPr>
                  <m:nor/>
                </m:rPr>
                <w:rPr>
                  <w:rFonts w:hint="default" w:ascii="Times New Roman" w:hAnsi="Times New Roman" w:eastAsia="宋体" w:cs="Times New Roman"/>
                  <w:i/>
                  <w:color w:val="000000"/>
                  <w:sz w:val="24"/>
                  <w:szCs w:val="24"/>
                  <w:lang w:val="en-US" w:eastAsia="zh-CN"/>
                </w:rPr>
                <m:t>S</m:t>
              </m:r>
              <m:r>
                <m:rPr>
                  <m:nor/>
                  <m:sty m:val="p"/>
                </m:rPr>
                <w:rPr>
                  <w:rFonts w:hint="default" w:ascii="Times New Roman" w:hAnsi="Times New Roman" w:eastAsia="宋体" w:cs="Times New Roman"/>
                  <w:b w:val="0"/>
                  <w:i w:val="0"/>
                  <w:color w:val="000000"/>
                  <w:sz w:val="24"/>
                  <w:szCs w:val="24"/>
                  <w:lang w:val="en-US" w:eastAsia="zh-CN"/>
                </w:rPr>
                <m:t>_</m:t>
              </m:r>
              <m:r>
                <m:rPr>
                  <m:nor/>
                </m:rPr>
                <w:rPr>
                  <w:rFonts w:hint="default" w:ascii="Times New Roman" w:hAnsi="Times New Roman" w:eastAsia="宋体" w:cs="Times New Roman"/>
                  <w:i/>
                  <w:color w:val="000000"/>
                  <w:sz w:val="24"/>
                  <w:szCs w:val="24"/>
                  <w:lang w:val="en-US" w:eastAsia="zh-CN"/>
                </w:rPr>
                <m:t>subjective</m:t>
              </m:r>
              <m:r>
                <m:rPr>
                  <m:nor/>
                  <m:sty m:val="p"/>
                </m:rPr>
                <w:rPr>
                  <w:rFonts w:hint="default" w:ascii="Times New Roman" w:hAnsi="Times New Roman" w:eastAsia="宋体" w:cs="Times New Roman"/>
                  <w:b w:val="0"/>
                  <w:i w:val="0"/>
                  <w:color w:val="000000"/>
                  <w:sz w:val="24"/>
                  <w:szCs w:val="24"/>
                  <w:lang w:val="en-US" w:eastAsia="zh-CN"/>
                </w:rPr>
                <m:t>-</m:t>
              </m:r>
              <m:r>
                <m:rPr>
                  <m:nor/>
                </m:rPr>
                <w:rPr>
                  <w:rFonts w:hint="default" w:ascii="Times New Roman" w:hAnsi="Times New Roman" w:eastAsia="宋体" w:cs="Times New Roman"/>
                  <w:i/>
                  <w:color w:val="000000"/>
                  <w:sz w:val="24"/>
                  <w:szCs w:val="24"/>
                  <w:lang w:val="en-US" w:eastAsia="zh-CN"/>
                </w:rPr>
                <m:t>S</m:t>
              </m:r>
              <m:r>
                <m:rPr>
                  <m:nor/>
                  <m:sty m:val="p"/>
                </m:rPr>
                <w:rPr>
                  <w:rFonts w:hint="default" w:ascii="Times New Roman" w:hAnsi="Times New Roman" w:eastAsia="宋体" w:cs="Times New Roman"/>
                  <w:b w:val="0"/>
                  <w:i w:val="0"/>
                  <w:color w:val="000000"/>
                  <w:sz w:val="24"/>
                  <w:szCs w:val="24"/>
                  <w:lang w:val="en-US" w:eastAsia="zh-CN"/>
                </w:rPr>
                <m:t>_</m:t>
              </m:r>
              <m:r>
                <m:rPr>
                  <m:nor/>
                </m:rPr>
                <w:rPr>
                  <w:rFonts w:hint="default" w:ascii="Times New Roman" w:hAnsi="Times New Roman" w:eastAsia="宋体" w:cs="Times New Roman"/>
                  <w:i/>
                  <w:color w:val="000000"/>
                  <w:sz w:val="24"/>
                  <w:szCs w:val="24"/>
                  <w:lang w:val="en-US" w:eastAsia="zh-CN"/>
                </w:rPr>
                <m:t>objective</m:t>
              </m:r>
              <m:r>
                <m:rPr>
                  <m:nor/>
                  <m:sty m:val="p"/>
                </m:rPr>
                <w:rPr>
                  <w:rFonts w:hint="default" w:ascii="Times New Roman" w:hAnsi="Times New Roman" w:eastAsia="宋体" w:cs="Times New Roman"/>
                  <w:b w:val="0"/>
                  <w:i w:val="0"/>
                  <w:color w:val="000000"/>
                  <w:sz w:val="24"/>
                  <w:szCs w:val="24"/>
                  <w:lang w:val="en-US" w:eastAsia="zh-CN"/>
                </w:rPr>
                <m:t>)/</m:t>
              </m:r>
              <m:r>
                <m:rPr>
                  <m:nor/>
                </m:rPr>
                <w:rPr>
                  <w:rFonts w:hint="default" w:ascii="Times New Roman" w:hAnsi="Times New Roman" w:eastAsia="宋体" w:cs="Times New Roman"/>
                  <w:i/>
                  <w:color w:val="000000"/>
                  <w:sz w:val="24"/>
                  <w:szCs w:val="24"/>
                  <w:lang w:val="en-US" w:eastAsia="zh-CN"/>
                </w:rPr>
                <m:t>S</m:t>
              </m:r>
              <m:r>
                <m:rPr>
                  <m:nor/>
                  <m:sty m:val="p"/>
                </m:rPr>
                <w:rPr>
                  <w:rFonts w:hint="default" w:ascii="Times New Roman" w:hAnsi="Times New Roman" w:eastAsia="宋体" w:cs="Times New Roman"/>
                  <w:b w:val="0"/>
                  <w:i w:val="0"/>
                  <w:color w:val="000000"/>
                  <w:sz w:val="24"/>
                  <w:szCs w:val="24"/>
                  <w:lang w:val="en-US" w:eastAsia="zh-CN"/>
                </w:rPr>
                <m:t>_</m:t>
              </m:r>
              <m:r>
                <m:rPr>
                  <m:nor/>
                </m:rPr>
                <w:rPr>
                  <w:rFonts w:hint="default" w:ascii="Times New Roman" w:hAnsi="Times New Roman" w:eastAsia="宋体" w:cs="Times New Roman"/>
                  <w:i/>
                  <w:color w:val="000000"/>
                  <w:sz w:val="24"/>
                  <w:szCs w:val="24"/>
                  <w:lang w:val="en-US" w:eastAsia="zh-CN"/>
                </w:rPr>
                <m:t>objective</m:t>
              </m:r>
              <m:r>
                <m:rPr>
                  <m:nor/>
                  <m:sty m:val="p"/>
                </m:rPr>
                <w:rPr>
                  <w:rFonts w:hint="default" w:ascii="Times New Roman" w:hAnsi="Times New Roman" w:eastAsia="宋体" w:cs="Times New Roman"/>
                  <w:b w:val="0"/>
                  <w:i w:val="0"/>
                  <w:color w:val="000000"/>
                  <w:sz w:val="24"/>
                  <w:szCs w:val="24"/>
                  <w:lang w:val="en-US" w:eastAsia="zh-CN"/>
                </w:rPr>
                <m:t>×100%</m:t>
              </m:r>
              <m:ctrlPr>
                <w:rPr>
                  <w:rFonts w:hint="default" w:ascii="Cambria Math" w:hAnsi="Cambria Math" w:eastAsia="宋体" w:cs="Times New Roman"/>
                  <w:i/>
                  <w:color w:val="000000"/>
                  <w:sz w:val="24"/>
                  <w:szCs w:val="24"/>
                  <w:lang w:val="en-US" w:eastAsia="zh-CN"/>
                </w:rPr>
              </m:ctrlPr>
            </m:e>
          </m:mr>
        </m:m>
      </m:oMath>
      <w:r>
        <w:rPr>
          <w:rFonts w:hint="eastAsia" w:hAnsi="Cambria Math" w:cs="Times New Roman"/>
          <w:i w:val="0"/>
          <w:color w:val="000000"/>
          <w:sz w:val="24"/>
          <w:szCs w:val="24"/>
          <w:lang w:val="en-US" w:eastAsia="zh-CN"/>
        </w:rPr>
        <w:t xml:space="preserve">             </w:t>
      </w:r>
      <w:r>
        <w:rPr>
          <w:rFonts w:hint="default" w:ascii="Times New Roman" w:hAnsi="Times New Roman" w:cs="Times New Roman"/>
          <w:i w:val="0"/>
          <w:color w:val="000000"/>
          <w:sz w:val="24"/>
          <w:szCs w:val="24"/>
          <w:lang w:val="en-US" w:eastAsia="zh-CN"/>
        </w:rPr>
        <w:t>式2</w:t>
      </w:r>
    </w:p>
    <w:p w14:paraId="47BCFB3C">
      <w:pPr>
        <w:pStyle w:val="4"/>
        <w:numPr>
          <w:ilvl w:val="0"/>
          <w:numId w:val="0"/>
        </w:numPr>
        <w:ind w:firstLine="480" w:firstLineChars="200"/>
        <w:jc w:val="right"/>
        <w:rPr>
          <w:rFonts w:hint="default" w:ascii="Times New Roman" w:hAnsi="Times New Roman" w:cs="Times New Roman"/>
          <w:i w:val="0"/>
          <w:color w:val="000000"/>
          <w:sz w:val="24"/>
          <w:szCs w:val="24"/>
          <w:lang w:val="en-US" w:eastAsia="zh-CN"/>
        </w:rPr>
      </w:pPr>
    </w:p>
    <w:p w14:paraId="212F0995">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正值表示正偏差（高估安全性，风险低估），负值表示负偏差（低估安全性，过度谨慎）。根据文献综述和预试结果，本研究设定±20%为显著偏差阈值（如表16所示）。</w:t>
      </w:r>
    </w:p>
    <w:p w14:paraId="468DD5E6">
      <w:pPr>
        <w:pStyle w:val="4"/>
        <w:numPr>
          <w:ilvl w:val="0"/>
          <w:numId w:val="0"/>
        </w:numPr>
        <w:ind w:firstLine="480" w:firstLineChars="200"/>
        <w:jc w:val="both"/>
        <w:rPr>
          <w:rFonts w:hint="eastAsia" w:ascii="Times New Roman" w:hAnsi="Times New Roman" w:cs="Times New Roman"/>
          <w:lang w:val="en-US" w:eastAsia="zh-CN"/>
        </w:rPr>
      </w:pPr>
    </w:p>
    <w:p w14:paraId="507D10F1">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表16  CBC认知偏差系数表</w:t>
      </w:r>
    </w:p>
    <w:tbl>
      <w:tblPr>
        <w:tblStyle w:val="8"/>
        <w:tblW w:w="5000" w:type="pct"/>
        <w:jc w:val="center"/>
        <w:tblLayout w:type="autofit"/>
        <w:tblCellMar>
          <w:top w:w="0" w:type="dxa"/>
          <w:left w:w="0" w:type="dxa"/>
          <w:bottom w:w="0" w:type="dxa"/>
          <w:right w:w="0" w:type="dxa"/>
        </w:tblCellMar>
      </w:tblPr>
      <w:tblGrid>
        <w:gridCol w:w="2658"/>
        <w:gridCol w:w="1993"/>
        <w:gridCol w:w="3655"/>
      </w:tblGrid>
      <w:tr w14:paraId="7FC5C9BC">
        <w:tblPrEx>
          <w:tblCellMar>
            <w:top w:w="0" w:type="dxa"/>
            <w:left w:w="0" w:type="dxa"/>
            <w:bottom w:w="0" w:type="dxa"/>
            <w:right w:w="0" w:type="dxa"/>
          </w:tblCellMar>
        </w:tblPrEx>
        <w:trPr>
          <w:trHeight w:val="90" w:hRule="atLeast"/>
          <w:jc w:val="center"/>
        </w:trPr>
        <w:tc>
          <w:tcPr>
            <w:tcW w:w="0" w:type="auto"/>
            <w:tcBorders>
              <w:top w:val="single" w:color="000000" w:sz="4" w:space="0"/>
              <w:left w:val="nil"/>
              <w:bottom w:val="single" w:color="000000" w:sz="12" w:space="0"/>
              <w:right w:val="nil"/>
            </w:tcBorders>
            <w:shd w:val="clear" w:color="auto" w:fill="FFFFFF"/>
            <w:vAlign w:val="center"/>
          </w:tcPr>
          <w:p w14:paraId="7544006E">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CBC偏差范围</w:t>
            </w:r>
          </w:p>
        </w:tc>
        <w:tc>
          <w:tcPr>
            <w:tcW w:w="0" w:type="auto"/>
            <w:tcBorders>
              <w:top w:val="single" w:color="000000" w:sz="4" w:space="0"/>
              <w:left w:val="nil"/>
              <w:bottom w:val="single" w:color="000000" w:sz="12" w:space="0"/>
              <w:right w:val="nil"/>
            </w:tcBorders>
            <w:shd w:val="clear" w:color="auto" w:fill="FFFFFF"/>
            <w:vAlign w:val="center"/>
          </w:tcPr>
          <w:p w14:paraId="25619B7C">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偏差描述</w:t>
            </w:r>
          </w:p>
        </w:tc>
        <w:tc>
          <w:tcPr>
            <w:tcW w:w="0" w:type="auto"/>
            <w:tcBorders>
              <w:top w:val="single" w:color="000000" w:sz="4" w:space="0"/>
              <w:left w:val="nil"/>
              <w:bottom w:val="single" w:color="000000" w:sz="12" w:space="0"/>
              <w:right w:val="nil"/>
            </w:tcBorders>
            <w:shd w:val="clear" w:color="auto" w:fill="FFFFFF"/>
            <w:vAlign w:val="center"/>
          </w:tcPr>
          <w:p w14:paraId="2830B9D3">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安全认知提示</w:t>
            </w:r>
          </w:p>
        </w:tc>
      </w:tr>
      <w:tr w14:paraId="24934859">
        <w:tblPrEx>
          <w:tblCellMar>
            <w:top w:w="0" w:type="dxa"/>
            <w:left w:w="0" w:type="dxa"/>
            <w:bottom w:w="0" w:type="dxa"/>
            <w:right w:w="0" w:type="dxa"/>
          </w:tblCellMar>
        </w:tblPrEx>
        <w:trPr>
          <w:jc w:val="center"/>
        </w:trPr>
        <w:tc>
          <w:tcPr>
            <w:tcW w:w="0" w:type="auto"/>
            <w:tcBorders>
              <w:top w:val="single" w:color="000000" w:sz="12" w:space="0"/>
              <w:left w:val="nil"/>
              <w:bottom w:val="nil"/>
              <w:right w:val="nil"/>
            </w:tcBorders>
            <w:shd w:val="clear" w:color="auto" w:fill="FFFFFF"/>
            <w:vAlign w:val="center"/>
          </w:tcPr>
          <w:p w14:paraId="429F256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CBC&gt;20%</w:t>
            </w:r>
          </w:p>
        </w:tc>
        <w:tc>
          <w:tcPr>
            <w:tcW w:w="0" w:type="auto"/>
            <w:tcBorders>
              <w:top w:val="single" w:color="000000" w:sz="12" w:space="0"/>
              <w:left w:val="nil"/>
              <w:bottom w:val="nil"/>
              <w:right w:val="nil"/>
            </w:tcBorders>
            <w:shd w:val="clear" w:color="auto" w:fill="FFFFFF"/>
            <w:vAlign w:val="center"/>
          </w:tcPr>
          <w:p w14:paraId="026A27E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显著正偏差</w:t>
            </w:r>
          </w:p>
        </w:tc>
        <w:tc>
          <w:tcPr>
            <w:tcW w:w="0" w:type="auto"/>
            <w:tcBorders>
              <w:top w:val="single" w:color="000000" w:sz="12" w:space="0"/>
              <w:left w:val="nil"/>
              <w:bottom w:val="nil"/>
              <w:right w:val="nil"/>
            </w:tcBorders>
            <w:shd w:val="clear" w:color="auto" w:fill="FFFFFF"/>
            <w:vAlign w:val="center"/>
          </w:tcPr>
          <w:p w14:paraId="0B745E4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存在安全隐患认知不足</w:t>
            </w:r>
          </w:p>
        </w:tc>
      </w:tr>
      <w:tr w14:paraId="03B4FA6C">
        <w:tblPrEx>
          <w:tblCellMar>
            <w:top w:w="0" w:type="dxa"/>
            <w:left w:w="0" w:type="dxa"/>
            <w:bottom w:w="0" w:type="dxa"/>
            <w:right w:w="0" w:type="dxa"/>
          </w:tblCellMar>
        </w:tblPrEx>
        <w:trPr>
          <w:jc w:val="center"/>
        </w:trPr>
        <w:tc>
          <w:tcPr>
            <w:tcW w:w="0" w:type="auto"/>
            <w:tcBorders>
              <w:top w:val="nil"/>
              <w:left w:val="nil"/>
              <w:bottom w:val="nil"/>
              <w:right w:val="nil"/>
            </w:tcBorders>
            <w:shd w:val="clear" w:color="auto" w:fill="FFFFFF"/>
            <w:vAlign w:val="center"/>
          </w:tcPr>
          <w:p w14:paraId="0F00E64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-20%≤CBC≤20%</w:t>
            </w:r>
          </w:p>
        </w:tc>
        <w:tc>
          <w:tcPr>
            <w:tcW w:w="0" w:type="auto"/>
            <w:tcBorders>
              <w:top w:val="nil"/>
              <w:left w:val="nil"/>
              <w:bottom w:val="nil"/>
              <w:right w:val="nil"/>
            </w:tcBorders>
            <w:shd w:val="clear" w:color="auto" w:fill="FFFFFF"/>
            <w:vAlign w:val="center"/>
          </w:tcPr>
          <w:p w14:paraId="0910642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认知基本准确</w:t>
            </w:r>
          </w:p>
        </w:tc>
        <w:tc>
          <w:tcPr>
            <w:tcW w:w="0" w:type="auto"/>
            <w:tcBorders>
              <w:top w:val="nil"/>
              <w:left w:val="nil"/>
              <w:bottom w:val="nil"/>
              <w:right w:val="nil"/>
            </w:tcBorders>
            <w:shd w:val="clear" w:color="auto" w:fill="FFFFFF"/>
            <w:vAlign w:val="center"/>
          </w:tcPr>
          <w:p w14:paraId="4327358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主客观匹配良好</w:t>
            </w:r>
          </w:p>
        </w:tc>
      </w:tr>
      <w:tr w14:paraId="1A37F51A">
        <w:tblPrEx>
          <w:tblCellMar>
            <w:top w:w="0" w:type="dxa"/>
            <w:left w:w="0" w:type="dxa"/>
            <w:bottom w:w="0" w:type="dxa"/>
            <w:right w:w="0" w:type="dxa"/>
          </w:tblCellMar>
        </w:tblPrEx>
        <w:trPr>
          <w:jc w:val="center"/>
        </w:trPr>
        <w:tc>
          <w:tcPr>
            <w:tcW w:w="0" w:type="auto"/>
            <w:tcBorders>
              <w:top w:val="nil"/>
              <w:left w:val="nil"/>
              <w:bottom w:val="single" w:color="000000" w:sz="4" w:space="0"/>
              <w:right w:val="nil"/>
            </w:tcBorders>
            <w:shd w:val="clear" w:color="auto" w:fill="FFFFFF"/>
            <w:vAlign w:val="center"/>
          </w:tcPr>
          <w:p w14:paraId="37A57B5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CBC&lt;-20%</w:t>
            </w:r>
          </w:p>
        </w:tc>
        <w:tc>
          <w:tcPr>
            <w:tcW w:w="0" w:type="auto"/>
            <w:tcBorders>
              <w:top w:val="nil"/>
              <w:left w:val="nil"/>
              <w:bottom w:val="single" w:color="000000" w:sz="4" w:space="0"/>
              <w:right w:val="nil"/>
            </w:tcBorders>
            <w:shd w:val="clear" w:color="auto" w:fill="FFFFFF"/>
            <w:vAlign w:val="center"/>
          </w:tcPr>
          <w:p w14:paraId="7F25079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显著负偏差</w:t>
            </w:r>
          </w:p>
        </w:tc>
        <w:tc>
          <w:tcPr>
            <w:tcW w:w="0" w:type="auto"/>
            <w:tcBorders>
              <w:top w:val="nil"/>
              <w:left w:val="nil"/>
              <w:bottom w:val="single" w:color="000000" w:sz="4" w:space="0"/>
              <w:right w:val="nil"/>
            </w:tcBorders>
            <w:shd w:val="clear" w:color="auto" w:fill="FFFFFF"/>
            <w:vAlign w:val="center"/>
          </w:tcPr>
          <w:p w14:paraId="32F05DE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过度谨慎或环境信任不足</w:t>
            </w:r>
          </w:p>
        </w:tc>
      </w:tr>
    </w:tbl>
    <w:p w14:paraId="2A173646">
      <w:pPr>
        <w:pStyle w:val="4"/>
        <w:numPr>
          <w:ilvl w:val="0"/>
          <w:numId w:val="0"/>
        </w:numPr>
        <w:ind w:firstLine="480" w:firstLineChars="200"/>
        <w:jc w:val="both"/>
        <w:rPr>
          <w:rFonts w:hint="eastAsia" w:ascii="Times New Roman" w:hAnsi="Times New Roman" w:cs="Times New Roman"/>
          <w:lang w:val="en-US" w:eastAsia="zh-CN"/>
        </w:rPr>
      </w:pPr>
    </w:p>
    <w:p w14:paraId="7A766BC8">
      <w:pPr>
        <w:pStyle w:val="4"/>
        <w:numPr>
          <w:ilvl w:val="0"/>
          <w:numId w:val="2"/>
        </w:numPr>
        <w:ind w:left="0" w:leftChars="0" w:firstLine="0" w:firstLineChars="0"/>
        <w:rPr>
          <w:rFonts w:hint="eastAsia" w:ascii="Times New Roman" w:hAnsi="Times New Roman" w:eastAsia="黑体" w:cs="Times New Roman"/>
          <w:lang w:val="en-US" w:eastAsia="zh-CN"/>
        </w:rPr>
      </w:pPr>
      <w:r>
        <w:rPr>
          <w:rFonts w:hint="eastAsia" w:ascii="Times New Roman" w:hAnsi="Times New Roman" w:eastAsia="黑体" w:cs="Times New Roman"/>
          <w:lang w:val="en-US" w:eastAsia="zh-CN"/>
        </w:rPr>
        <w:t>深度访谈设计与参与式设计</w:t>
      </w:r>
    </w:p>
    <w:p w14:paraId="1FB7E3A6">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深度访谈作为质性研究的核心方法，旨在深入挖掘认知偏差背后的心理机制和设计需求的本质内涵。研究采用半结构化访谈形式，对30名校园共享道路交通冲突者进行一对一访谈。访谈对象通过目的性抽样选取，其筛选标准包括：在校时间超过2年、平均每日出行次数超过4次、愿意分享详细体验且表达能力良好。为确保样本多样性，访谈对象涵盖不同年级、不同学科背景。访谈过程全程录音并逐字转录，并使用AI工具进行系统整理和分析。访谈提纲围绕四个核心主题展开：</w:t>
      </w:r>
    </w:p>
    <w:p w14:paraId="34B84E8F">
      <w:pPr>
        <w:pStyle w:val="4"/>
        <w:numPr>
          <w:ilvl w:val="0"/>
          <w:numId w:val="0"/>
        </w:numPr>
        <w:ind w:firstLine="480" w:firstLineChars="200"/>
        <w:jc w:val="both"/>
        <w:rPr>
          <w:rFonts w:hint="eastAsia" w:eastAsia="宋体"/>
          <w:lang w:eastAsia="zh-CN"/>
        </w:rPr>
      </w:pPr>
      <w:r>
        <w:rPr>
          <w:rFonts w:hint="eastAsia" w:ascii="Times New Roman" w:hAnsi="Times New Roman" w:cs="Times New Roman"/>
          <w:lang w:val="en-US" w:eastAsia="zh-CN"/>
        </w:rPr>
        <w:t>①主题一：日常路径选择的认知逻辑。探究参与者选择特定通行路径的考量因素，例如“从宿舍前往图书馆，您通常会选择哪条路线？原因是什么？”通过深入追问，引导参与者对安全因素在路径决策中的权重进行反思。</w:t>
      </w:r>
    </w:p>
    <w:p w14:paraId="78B3D629">
      <w:pPr>
        <w:pStyle w:val="4"/>
        <w:numPr>
          <w:ilvl w:val="0"/>
          <w:numId w:val="0"/>
        </w:numPr>
        <w:ind w:firstLine="480" w:firstLineChars="200"/>
        <w:jc w:val="both"/>
        <w:rPr>
          <w:rFonts w:hint="eastAsia" w:eastAsia="宋体"/>
          <w:lang w:eastAsia="zh-CN"/>
        </w:rPr>
      </w:pPr>
      <w:r>
        <w:rPr>
          <w:rFonts w:hint="eastAsia" w:ascii="Times New Roman" w:hAnsi="Times New Roman" w:cs="Times New Roman"/>
          <w:lang w:val="en-US" w:eastAsia="zh-CN"/>
        </w:rPr>
        <w:t>②主题二：危险情境的识别与归因。本研究要求参与者详细阐述最近一次“险些发生事故”或“感觉极为危险”的经历，涵盖具体情境、当时的认知判断、行为反应以及事后反思。借助这些生动的叙事素材，识别认知偏差的触发情境。</w:t>
      </w:r>
    </w:p>
    <w:p w14:paraId="55540469">
      <w:pPr>
        <w:pStyle w:val="4"/>
        <w:numPr>
          <w:ilvl w:val="0"/>
          <w:numId w:val="0"/>
        </w:numPr>
        <w:ind w:firstLine="480" w:firstLineChars="200"/>
        <w:jc w:val="both"/>
        <w:rPr>
          <w:rFonts w:hint="eastAsia" w:eastAsia="宋体"/>
          <w:lang w:eastAsia="zh-CN"/>
        </w:rPr>
      </w:pPr>
      <w:r>
        <w:rPr>
          <w:rFonts w:hint="eastAsia" w:ascii="Times New Roman" w:hAnsi="Times New Roman" w:cs="Times New Roman"/>
          <w:lang w:val="en-US" w:eastAsia="zh-CN"/>
        </w:rPr>
        <w:t>③主题三：现有标识系统的认知评价。展示实际路段的标识系统照片，询问参与者对其有效性、清晰度和合理性的评价，以识别现有系统存在的不足之处。</w:t>
      </w:r>
    </w:p>
    <w:p w14:paraId="447650FB">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④主题四：理想安全环境的想象建构。邀请参与者描绘“最能让您感到安全的校园道路应呈现何种样貌”，鼓励从物理环境、信息系统、管理策略等多个维度进行构想。这一开放性问题旨在挖掘未被满足的潜在需求。</w:t>
      </w:r>
    </w:p>
    <w:p w14:paraId="63004155">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此外，参与式设计强调设计过程中的利益相关方协同创造，是用户中心设计理念的深化实践。本研究组织了3场参与式设计工作坊，每场历时2小时，邀请8-10名参与者，成员构成包括：行人代表、骑行者代表、校园交通管理人员、环境设计师及交通工程专家。工作坊采用设计思维五阶段法，简化为四个环节，包括：体验地图绘制、需求优先级排序、创意构思与原型与方案展示与评估。</w:t>
      </w:r>
    </w:p>
    <w:p w14:paraId="23FFDE90">
      <w:pPr>
        <w:pStyle w:val="2"/>
        <w:spacing w:before="100" w:after="480" w:line="400" w:lineRule="exact"/>
        <w:rPr>
          <w:rFonts w:hint="eastAsia"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2研究流程</w:t>
      </w:r>
    </w:p>
    <w:p w14:paraId="587F5E5A">
      <w:pPr>
        <w:pStyle w:val="4"/>
        <w:numPr>
          <w:ilvl w:val="0"/>
          <w:numId w:val="3"/>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研究准备阶段</w:t>
      </w:r>
    </w:p>
    <w:p w14:paraId="38232B6B">
      <w:pPr>
        <w:pStyle w:val="4"/>
        <w:numPr>
          <w:ilvl w:val="0"/>
          <w:numId w:val="0"/>
        </w:numPr>
        <w:ind w:firstLine="480" w:firstLineChars="200"/>
        <w:jc w:val="both"/>
        <w:rPr>
          <w:rFonts w:hint="default" w:ascii="Times New Roman" w:hAnsi="Times New Roman" w:cs="Times New Roman"/>
          <w:lang w:val="en-US" w:eastAsia="zh-CN"/>
        </w:rPr>
      </w:pPr>
      <w:r>
        <w:rPr>
          <w:rFonts w:hint="eastAsia" w:ascii="Times New Roman" w:hAnsi="Times New Roman" w:cs="Times New Roman"/>
          <w:lang w:val="en-US" w:eastAsia="zh-CN"/>
        </w:rPr>
        <w:t xml:space="preserve">在研究准备阶段，首要任务为确定研究场地并构建场景特征数据库。以前期子任务所识别出的5个校园道路冲突热点区域为核心，并补充4个场景类型互补的路段，共选取9个路段作为研究对象。路段选择遵循类型多样性原则，涵盖T型交叉口、弯道路段、广场边缘、坡道路段、建筑出入口、直行路段，共计六种典型场景类型。此外，本研究运用手持式激光测距仪，精准测量各路段的几何参数，涵盖道路宽度、曲率半径、纵坡坡度、视距三角区尺寸等。同时，采用鱼眼相机拍摄360度全景照片，记录周边建筑、植被、地面铺装等环境特征。将这些数据整合为场景特征数据库，作为AI图像生成的参数输入。</w:t>
      </w:r>
    </w:p>
    <w:p w14:paraId="57CC0274">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AI场景生成采用Stable Diffusion模型并基于Liblibai平台，通过迭代优化提示词工程，保障生成图像的真实性与可控性。提示词模板包含五个维度：场景类型（例如“一条校园共享道路，T型交叉口”）、道路参数（例如“宽度3.5米，沥青路面”）、标识配置（例如“设有中等密度的地面标识和标志牌”）、环境条件（例如“黄昏时分，开启路灯照明，中等交通流量”）、视角设定（例如“从行人/骑行者的第一视角观察，视线高度1.6米”）。针对每个场景组合，生成3个版本的候选图像，由5名环境设计专家进行盲评，评估维度包括真实度、清晰度及一致性。选取综合评分最高的版本纳入实验刺激库。经过三轮筛选，最终形成96张高质量的以行人与骑行者第一人称视角测试场景图（例图如图7所示）。</w:t>
      </w:r>
    </w:p>
    <w:p w14:paraId="1944A016">
      <w:pPr>
        <w:pStyle w:val="4"/>
        <w:numPr>
          <w:ilvl w:val="0"/>
          <w:numId w:val="0"/>
        </w:numPr>
        <w:ind w:firstLine="480" w:firstLineChars="200"/>
        <w:jc w:val="both"/>
        <w:rPr>
          <w:rFonts w:hint="eastAsia" w:ascii="Times New Roman" w:hAnsi="Times New Roman" w:cs="Times New Roman"/>
          <w:lang w:val="en-US" w:eastAsia="zh-CN"/>
        </w:rPr>
      </w:pPr>
      <w:r>
        <w:rPr>
          <w:rFonts w:hint="default" w:ascii="Times New Roman" w:hAnsi="Times New Roman" w:cs="Times New Roman"/>
          <w:lang w:val="en-US" w:eastAsia="zh-CN"/>
        </w:rPr>
        <w:t>同步开展参与者招募工作</w:t>
      </w:r>
      <w:r>
        <w:rPr>
          <w:rFonts w:hint="eastAsia" w:ascii="Times New Roman" w:hAnsi="Times New Roman" w:cs="Times New Roman"/>
          <w:lang w:val="en-US" w:eastAsia="zh-CN"/>
        </w:rPr>
        <w:t>，基于滚雪球抽样法</w:t>
      </w:r>
      <w:r>
        <w:rPr>
          <w:rFonts w:hint="default" w:ascii="Times New Roman" w:hAnsi="Times New Roman" w:cs="Times New Roman"/>
          <w:lang w:val="en-US" w:eastAsia="zh-CN"/>
        </w:rPr>
        <w:t>初步招募了138名志愿者。通过在线筛选问卷</w:t>
      </w:r>
      <w:r>
        <w:rPr>
          <w:rFonts w:hint="eastAsia" w:ascii="Times New Roman" w:hAnsi="Times New Roman" w:cs="Times New Roman"/>
          <w:lang w:val="en-US" w:eastAsia="zh-CN"/>
        </w:rPr>
        <w:t>，</w:t>
      </w:r>
      <w:r>
        <w:rPr>
          <w:rFonts w:hint="default" w:ascii="Times New Roman" w:hAnsi="Times New Roman" w:cs="Times New Roman"/>
          <w:lang w:val="en-US" w:eastAsia="zh-CN"/>
        </w:rPr>
        <w:t>排除在校时间不足1年、视力异常、色盲色弱等不符合条件者</w:t>
      </w:r>
      <w:r>
        <w:rPr>
          <w:rFonts w:hint="eastAsia" w:ascii="Times New Roman" w:hAnsi="Times New Roman" w:cs="Times New Roman"/>
          <w:lang w:val="en-US" w:eastAsia="zh-CN"/>
        </w:rPr>
        <w:t>，</w:t>
      </w:r>
      <w:r>
        <w:rPr>
          <w:rFonts w:hint="default" w:ascii="Times New Roman" w:hAnsi="Times New Roman" w:cs="Times New Roman"/>
          <w:lang w:val="en-US" w:eastAsia="zh-CN"/>
        </w:rPr>
        <w:t>最终确定90名参与者。</w:t>
      </w:r>
      <w:r>
        <w:rPr>
          <w:rFonts w:hint="eastAsia" w:ascii="Times New Roman" w:hAnsi="Times New Roman" w:cs="Times New Roman"/>
          <w:lang w:val="en-US" w:eastAsia="zh-CN"/>
        </w:rPr>
        <w:t>将参与者按照主要出行方式分为行人组（45人）和骑行者组（45人），两组在性别、年龄、学科背景上保持均衡分布。</w:t>
      </w:r>
      <w:r>
        <w:rPr>
          <w:rFonts w:hint="default" w:ascii="Times New Roman" w:hAnsi="Times New Roman" w:cs="Times New Roman"/>
          <w:lang w:val="en-US" w:eastAsia="zh-CN"/>
        </w:rPr>
        <w:t>所有参与者签署知情同意书</w:t>
      </w:r>
      <w:r>
        <w:rPr>
          <w:rFonts w:hint="eastAsia" w:ascii="Times New Roman" w:hAnsi="Times New Roman" w:cs="Times New Roman"/>
          <w:lang w:val="en-US" w:eastAsia="zh-CN"/>
        </w:rPr>
        <w:t>，</w:t>
      </w:r>
      <w:r>
        <w:rPr>
          <w:rFonts w:hint="default" w:ascii="Times New Roman" w:hAnsi="Times New Roman" w:cs="Times New Roman"/>
          <w:lang w:val="en-US" w:eastAsia="zh-CN"/>
        </w:rPr>
        <w:t>明确数据用途和隐私保护措施。</w:t>
      </w:r>
    </w:p>
    <w:p w14:paraId="41403959">
      <w:pPr>
        <w:pStyle w:val="4"/>
        <w:numPr>
          <w:ilvl w:val="0"/>
          <w:numId w:val="0"/>
        </w:numPr>
        <w:ind w:firstLine="480" w:firstLineChars="200"/>
        <w:jc w:val="both"/>
        <w:rPr>
          <w:rFonts w:hint="eastAsia" w:ascii="Times New Roman" w:hAnsi="Times New Roman" w:cs="Times New Roman"/>
          <w:lang w:val="en-US" w:eastAsia="zh-CN"/>
        </w:rPr>
      </w:pPr>
      <w:r>
        <w:rPr>
          <w:rFonts w:ascii="宋体" w:hAnsi="宋体" w:eastAsia="宋体" w:cs="宋体"/>
          <w:sz w:val="24"/>
          <w:szCs w:val="24"/>
        </w:rPr>
        <w:drawing>
          <wp:anchor distT="0" distB="0" distL="114300" distR="114300" simplePos="0" relativeHeight="251664384" behindDoc="0" locked="0" layoutInCell="1" allowOverlap="1">
            <wp:simplePos x="0" y="0"/>
            <wp:positionH relativeFrom="column">
              <wp:posOffset>50800</wp:posOffset>
            </wp:positionH>
            <wp:positionV relativeFrom="paragraph">
              <wp:posOffset>388620</wp:posOffset>
            </wp:positionV>
            <wp:extent cx="5285740" cy="2973705"/>
            <wp:effectExtent l="0" t="0" r="2540" b="13335"/>
            <wp:wrapTopAndBottom/>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13"/>
                    <a:stretch>
                      <a:fillRect/>
                    </a:stretch>
                  </pic:blipFill>
                  <pic:spPr>
                    <a:xfrm>
                      <a:off x="0" y="0"/>
                      <a:ext cx="5285740" cy="2973705"/>
                    </a:xfrm>
                    <a:prstGeom prst="rect">
                      <a:avLst/>
                    </a:prstGeom>
                    <a:noFill/>
                    <a:ln w="9525">
                      <a:noFill/>
                    </a:ln>
                  </pic:spPr>
                </pic:pic>
              </a:graphicData>
            </a:graphic>
          </wp:anchor>
        </w:drawing>
      </w:r>
    </w:p>
    <w:p w14:paraId="71E34018">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图7 基于AI生成的共享道路交通参与者第一人称视角测试场景图（部分）</w:t>
      </w:r>
    </w:p>
    <w:p w14:paraId="045FD39E">
      <w:pPr>
        <w:pStyle w:val="4"/>
        <w:numPr>
          <w:ilvl w:val="0"/>
          <w:numId w:val="0"/>
        </w:numPr>
        <w:ind w:firstLine="480" w:firstLineChars="200"/>
        <w:jc w:val="both"/>
        <w:rPr>
          <w:rFonts w:hint="eastAsia" w:ascii="Times New Roman" w:hAnsi="Times New Roman" w:cs="Times New Roman"/>
          <w:lang w:val="en-US" w:eastAsia="zh-CN"/>
        </w:rPr>
      </w:pPr>
    </w:p>
    <w:p w14:paraId="6151270B">
      <w:pPr>
        <w:pStyle w:val="4"/>
        <w:numPr>
          <w:ilvl w:val="0"/>
          <w:numId w:val="3"/>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数据收集阶段</w:t>
      </w:r>
    </w:p>
    <w:p w14:paraId="0E4AA272">
      <w:pPr>
        <w:pStyle w:val="4"/>
        <w:numPr>
          <w:ilvl w:val="0"/>
          <w:numId w:val="0"/>
        </w:numPr>
        <w:ind w:firstLine="480" w:firstLineChars="200"/>
        <w:jc w:val="both"/>
        <w:rPr>
          <w:rFonts w:hint="default" w:ascii="Times New Roman" w:hAnsi="Times New Roman" w:eastAsia="宋体" w:cs="Times New Roman"/>
          <w:lang w:eastAsia="zh-CN"/>
        </w:rPr>
      </w:pPr>
      <w:r>
        <w:rPr>
          <w:rFonts w:hint="eastAsia" w:ascii="Times New Roman" w:hAnsi="Times New Roman" w:cs="Times New Roman"/>
          <w:lang w:val="en-US" w:eastAsia="zh-CN"/>
        </w:rPr>
        <w:t xml:space="preserve">问卷调查借助问卷星平台予以发布，研究团队将问卷链接向90名参与者进行定向推送。为保障答题质量，设置了完成时间区间（自收到链接起3天内完成）以及最短作答时长限制（不少于15分钟），对于完成速度过快的问卷标记为可疑数据。问卷采用部分随机化设计，每位参与者所看到的10张场景图片从96张图片库中随机抽取，以此确保每张场景图片获得8至11人评价，平均为9.1人，进而实现样本分布的均衡性。参与者首先需完成基本信息的填写，涵盖性别、年龄、在校年限、院系专业、主要出行方式、每周校园出行频次以及是否经历过交通事故或险情等内容。随后进入场景评价环节，每张场景图片呈现在屏幕中央，并配有简要的情境描述。参与者会受到引导语提示：“请设想你正在图片所示的道路上行走/骑行，依据你的直观感受，对该场景中的通行安全程度进行评价。”下方呈现4个评分选项，参与者点选后自动进入下一场景。在完成全部10张场景的评价后，问卷设置了两个开放式问题，分别为“当你判定一条道路是否安全时，主要关注哪些因素？”以及“你认为现有的校园道路标识系统存在哪些缺陷？有何改进建议？”，开放性回答为后续访谈提纲的设计提供了重要参考依据。数据收集工作历时两周，共回收问卷90份，其中有效问卷87份（有效率为96.7%），3份问卷因完成时间过短（少于8分钟）或答案呈现明显规律性而被剔除。有效问卷生成了870个场景-评分数据点（87人*10场景），为后续的统计分析提供了充足的样本量。</w:t>
      </w:r>
    </w:p>
    <w:p w14:paraId="7FB88091">
      <w:pPr>
        <w:pStyle w:val="4"/>
        <w:numPr>
          <w:ilvl w:val="0"/>
          <w:numId w:val="0"/>
        </w:numPr>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cs="Times New Roman"/>
          <w:lang w:val="en-US" w:eastAsia="zh-CN"/>
        </w:rPr>
        <w:t>此外，</w:t>
      </w:r>
      <w:r>
        <w:rPr>
          <w:rFonts w:hint="eastAsia" w:ascii="Times New Roman" w:hAnsi="Times New Roman" w:cs="Times New Roman"/>
          <w:sz w:val="24"/>
          <w:szCs w:val="24"/>
          <w:lang w:eastAsia="zh-CN"/>
        </w:rPr>
        <w:t>高校共享道路交通安全</w:t>
      </w:r>
      <w:r>
        <w:rPr>
          <w:rFonts w:hint="default" w:ascii="Times New Roman" w:hAnsi="Times New Roman" w:eastAsia="宋体" w:cs="Times New Roman"/>
          <w:sz w:val="24"/>
          <w:szCs w:val="24"/>
        </w:rPr>
        <w:t>客观指标需要对</w:t>
      </w:r>
      <w:r>
        <w:rPr>
          <w:rFonts w:hint="default" w:ascii="Times New Roman" w:hAnsi="Times New Roman" w:cs="Times New Roman"/>
          <w:sz w:val="24"/>
          <w:szCs w:val="24"/>
          <w:lang w:val="en-US" w:eastAsia="zh-CN"/>
        </w:rPr>
        <w:t>9</w:t>
      </w:r>
      <w:r>
        <w:rPr>
          <w:rFonts w:hint="default" w:ascii="Times New Roman" w:hAnsi="Times New Roman" w:eastAsia="宋体" w:cs="Times New Roman"/>
          <w:sz w:val="24"/>
          <w:szCs w:val="24"/>
        </w:rPr>
        <w:t>个研究路段进行系统性的实地测量和专业评估。数据采集由跨学科团队完成</w:t>
      </w:r>
      <w:r>
        <w:rPr>
          <w:rFonts w:hint="eastAsia" w:ascii="Times New Roman" w:hAnsi="Times New Roman" w:cs="Times New Roman"/>
          <w:sz w:val="24"/>
          <w:szCs w:val="24"/>
          <w:lang w:eastAsia="zh-CN"/>
        </w:rPr>
        <w:t>，</w:t>
      </w:r>
      <w:r>
        <w:rPr>
          <w:rFonts w:hint="default" w:ascii="Times New Roman" w:hAnsi="Times New Roman" w:eastAsia="宋体" w:cs="Times New Roman"/>
          <w:sz w:val="24"/>
          <w:szCs w:val="24"/>
        </w:rPr>
        <w:t>包括2名交通工程师、1名环境设计师和3名经过培训的研究助理</w:t>
      </w:r>
      <w:r>
        <w:rPr>
          <w:rFonts w:hint="eastAsia" w:ascii="Times New Roman" w:hAnsi="Times New Roman" w:cs="Times New Roman"/>
          <w:sz w:val="24"/>
          <w:szCs w:val="24"/>
          <w:lang w:eastAsia="zh-CN"/>
        </w:rPr>
        <w:t>，</w:t>
      </w:r>
      <w:r>
        <w:rPr>
          <w:rFonts w:hint="default" w:ascii="Times New Roman" w:hAnsi="Times New Roman" w:eastAsia="宋体" w:cs="Times New Roman"/>
          <w:sz w:val="24"/>
          <w:szCs w:val="24"/>
        </w:rPr>
        <w:t>历时两周完成全部测量工作。</w:t>
      </w:r>
      <w:r>
        <w:rPr>
          <w:rFonts w:hint="default" w:ascii="Times New Roman" w:hAnsi="Times New Roman" w:cs="Times New Roman"/>
          <w:sz w:val="24"/>
          <w:szCs w:val="24"/>
          <w:lang w:val="en-US" w:eastAsia="zh-CN"/>
        </w:rPr>
        <w:t>其中，各部分的客观数据均取5次测量中的均值，以减少测试中的数据误差。</w:t>
      </w:r>
    </w:p>
    <w:p w14:paraId="212A45C4">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3研究结果</w:t>
      </w:r>
    </w:p>
    <w:p w14:paraId="0EBF113C">
      <w:pPr>
        <w:pStyle w:val="4"/>
        <w:numPr>
          <w:ilvl w:val="0"/>
          <w:numId w:val="4"/>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受试样本特征</w:t>
      </w:r>
    </w:p>
    <w:p w14:paraId="04FDCFAD">
      <w:pPr>
        <w:pStyle w:val="4"/>
        <w:numPr>
          <w:ilvl w:val="0"/>
          <w:numId w:val="0"/>
        </w:numPr>
        <w:ind w:firstLine="480" w:firstLineChars="200"/>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本研究共获得87份有效问卷，参与者基本特征如下：性别分布均衡，男性42人（48.3%），女性45人（51.7%）；年龄范围18-28岁，平均年龄22.3岁（SD=2.4)；在校年限1-7年，平均3.5年（SD=1.9)；主要出行方式中，步行为主者44人（50.6%），骑行为主者43人（49.4%）；平均每周校园出行频次14.5次（SD=4.8）。受试参与者学科背景涵盖理工科、人文社科及艺术类，样本代表性良好。</w:t>
      </w:r>
    </w:p>
    <w:p w14:paraId="6244F94F">
      <w:pPr>
        <w:pStyle w:val="4"/>
        <w:numPr>
          <w:ilvl w:val="0"/>
          <w:numId w:val="0"/>
        </w:numPr>
        <w:ind w:firstLine="480" w:firstLineChars="200"/>
        <w:jc w:val="both"/>
        <w:rPr>
          <w:rFonts w:hint="default" w:ascii="Times New Roman" w:hAnsi="Times New Roman" w:cs="Times New Roman"/>
          <w:lang w:val="en-US" w:eastAsia="zh-CN"/>
        </w:rPr>
      </w:pPr>
      <w:r>
        <w:rPr>
          <w:rFonts w:hint="default" w:ascii="Times New Roman" w:hAnsi="Times New Roman" w:cs="Times New Roman"/>
          <w:lang w:val="en-US" w:eastAsia="zh-CN"/>
        </w:rPr>
        <w:t>深度访谈的30名参与者中，本科生12人，研究生13人，博士生5人；15名行人代表中，女性9人，男性6人；15名骑行者代表中，女性6人，男性9人。参与式设计工作坊共28人次参与（3场，部分人员重复参与）。</w:t>
      </w:r>
    </w:p>
    <w:p w14:paraId="586F7198">
      <w:pPr>
        <w:pStyle w:val="4"/>
        <w:numPr>
          <w:ilvl w:val="0"/>
          <w:numId w:val="4"/>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认知偏差的总体分布特征</w:t>
      </w:r>
    </w:p>
    <w:p>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96个模拟场景的主观安全评分均值为1.98（标准差SD=0.50），客观安全指数均值为1.85（标准差SD=0.42）。总体而言，主观评分略高于客观指数，呈现出轻度正偏差倾向。配对样本t检验结果表明，主观评分显著高于客观指数，t(95)=3.04，p=0.003，Cohen's d=0.31，效应量为中等水平</w:t>
      </w:r>
      <w:r>
        <w:rPr>
          <w:rFonts w:hint="eastAsia" w:ascii="Times New Roman" w:hAnsi="Times New Roman" w:cs="Times New Roman"/>
          <w:i w:val="0"/>
          <w:color w:val="000000"/>
          <w:sz w:val="24"/>
          <w:szCs w:val="24"/>
          <w:lang w:val="en-US" w:eastAsia="zh-CN"/>
          <w:vertAlign w:val="superscript"/>
        </w:rPr>
        <w:t xml:space="preserve">[37]</w:t>
      </w:r>
      <w:r>
        <w:rPr>
          <w:rFonts w:hint="eastAsia" w:ascii="Times New Roman" w:hAnsi="Times New Roman" w:cs="Times New Roman"/>
          <w:i w:val="0"/>
          <w:color w:val="000000"/>
          <w:sz w:val="24"/>
          <w:szCs w:val="24"/>
          <w:lang w:val="en-US" w:eastAsia="zh-CN"/>
        </w:rPr>
        <w:t xml:space="preserve">。然而，偏差分布表现出显著的异质性。认知偏差系数CBC的均值为8.3%（标准差SD=31.1%），取值范围从-52.1%至+71.3%。分布直方图呈现出明显的双峰特征，一个峰值位于CBC≈-16%（过度谨慎），另一个峰值位于CBC≈+27%（过度自信），这提示存在两种不同的认知模式并存的情况。按照既定阈值划分，96个场景中：共有33个（34.4%）场景呈显著正偏差，40个（41.7%）场景呈准确认知，23个（24.0%）场景呈显著负偏差。这一结果表明，超过半数的场景存在显著认知偏差，其中正偏差明显多于负偏差，验证了认知偏差问题的普遍性和严重性。相比准确认知场景，偏差场景的占比超过一半，提示现有的校园共享交通环境在支持准确风险判断方面存在系统性不足。</w:t>
      </w:r>
    </w:p>
    <w:p>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此外，表17呈现了不同道路类型场景的认知偏差特征。研究结果显示，不同场景类型在风险认知偏差方面呈现显著差异。在高校共享道路情境下，弯道路段表现出最明显的正偏差，平均CBC达到32.8%，超过60%的场景被显著低估风险。进一步分析发现，视觉遮挡是导致偏差的关键因素。弯道的几何特征限制了可视距离，但交通参与者往往依据路面的平整度与宽度进行安全判断，从而忽略潜在的隐性危险。访谈结果亦支持这一发现，一位骑行者提到：“弯道看起来挺宽敞的，路面也很好，我一般都会保持速度，没想到会有人突然出现。”与此相反，建筑出入口场景呈现显著负偏差，平均CBC为-19.3%，约半数场景存在风险高估。该现象可能与“可得性启发式”有关</w:t>
      </w:r>
      <w:r>
        <w:rPr>
          <w:rFonts w:hint="eastAsia" w:ascii="Times New Roman" w:hAnsi="Times New Roman" w:cs="Times New Roman"/>
          <w:i w:val="0"/>
          <w:color w:val="000000"/>
          <w:sz w:val="24"/>
          <w:szCs w:val="24"/>
          <w:lang w:val="en-US" w:eastAsia="zh-CN"/>
          <w:vertAlign w:val="superscript"/>
        </w:rPr>
        <w:t xml:space="preserve">[38]</w:t>
      </w:r>
      <w:r>
        <w:rPr>
          <w:rFonts w:hint="eastAsia" w:ascii="Times New Roman" w:hAnsi="Times New Roman" w:cs="Times New Roman"/>
          <w:i w:val="0"/>
          <w:color w:val="000000"/>
          <w:sz w:val="24"/>
          <w:szCs w:val="24"/>
          <w:lang w:val="en-US" w:eastAsia="zh-CN"/>
        </w:rPr>
        <w:t xml:space="preserve">：出入口的突发性情境更易在记忆中留下印象，导致使用者倾向于高估风险。然而，客观数据表明，出入口的实际事故率低于T型交叉口和弯道，这可能归因于行人在出门前通常会观察环境，并受到出入口视觉标志的提醒。相比之下，直行路段的风险认知最为准确，准确认知比例达到55.5%，平均偏差接近零（-3.6%）。这一结果表明，在环境简洁、信息明确的情境下，使用者能够作出更接近客观状况的判断，因而直行路段为其他复杂场景的安全设计改进提供了可参考的基准。</w:t>
      </w:r>
    </w:p>
    <w:p w14:paraId="0DE5D53A">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p>
    <w:p w14:paraId="1467A003">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p>
    <w:p w14:paraId="36AB3461">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p>
    <w:p w14:paraId="1C585482">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表17 高校共享道路情境下不同场景类型的认知偏差统计</w:t>
      </w:r>
    </w:p>
    <w:tbl>
      <w:tblPr>
        <w:tblStyle w:val="8"/>
        <w:tblW w:w="8724"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2"/>
        <w:gridCol w:w="775"/>
        <w:gridCol w:w="913"/>
        <w:gridCol w:w="1074"/>
        <w:gridCol w:w="1550"/>
        <w:gridCol w:w="1550"/>
        <w:gridCol w:w="1360"/>
      </w:tblGrid>
      <w:tr w14:paraId="08DFA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rPr>
        <w:tc>
          <w:tcPr>
            <w:tcW w:w="1502" w:type="dxa"/>
            <w:tcBorders>
              <w:top w:val="single" w:color="000000" w:sz="4" w:space="0"/>
              <w:left w:val="nil"/>
              <w:bottom w:val="single" w:color="000000" w:sz="12" w:space="0"/>
              <w:right w:val="nil"/>
            </w:tcBorders>
            <w:shd w:val="clear" w:color="auto" w:fill="FFFFFF"/>
            <w:noWrap/>
            <w:vAlign w:val="center"/>
          </w:tcPr>
          <w:p w14:paraId="2CCB2F8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场景类型</w:t>
            </w:r>
          </w:p>
        </w:tc>
        <w:tc>
          <w:tcPr>
            <w:tcW w:w="775" w:type="dxa"/>
            <w:tcBorders>
              <w:top w:val="single" w:color="000000" w:sz="4" w:space="0"/>
              <w:left w:val="nil"/>
              <w:bottom w:val="single" w:color="000000" w:sz="12" w:space="0"/>
              <w:right w:val="nil"/>
            </w:tcBorders>
            <w:shd w:val="clear" w:color="auto" w:fill="FFFFFF"/>
            <w:noWrap/>
            <w:vAlign w:val="center"/>
          </w:tcPr>
          <w:p w14:paraId="611833F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场景数</w:t>
            </w:r>
          </w:p>
        </w:tc>
        <w:tc>
          <w:tcPr>
            <w:tcW w:w="913" w:type="dxa"/>
            <w:tcBorders>
              <w:top w:val="single" w:color="000000" w:sz="4" w:space="0"/>
              <w:left w:val="nil"/>
              <w:bottom w:val="single" w:color="000000" w:sz="12" w:space="0"/>
              <w:right w:val="nil"/>
            </w:tcBorders>
            <w:shd w:val="clear" w:color="auto" w:fill="FFFFFF"/>
            <w:noWrap/>
            <w:vAlign w:val="center"/>
          </w:tcPr>
          <w:p w14:paraId="70FD76E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平均CBC</w:t>
            </w:r>
          </w:p>
          <w:p w14:paraId="61F363AA">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w:t>
            </w:r>
          </w:p>
        </w:tc>
        <w:tc>
          <w:tcPr>
            <w:tcW w:w="1074" w:type="dxa"/>
            <w:tcBorders>
              <w:top w:val="single" w:color="000000" w:sz="4" w:space="0"/>
              <w:left w:val="nil"/>
              <w:bottom w:val="single" w:color="000000" w:sz="12" w:space="0"/>
              <w:right w:val="nil"/>
            </w:tcBorders>
            <w:shd w:val="clear" w:color="auto" w:fill="FFFFFF"/>
            <w:noWrap/>
            <w:vAlign w:val="center"/>
          </w:tcPr>
          <w:p w14:paraId="3E636D6C">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标准差（%）</w:t>
            </w:r>
          </w:p>
        </w:tc>
        <w:tc>
          <w:tcPr>
            <w:tcW w:w="1550" w:type="dxa"/>
            <w:tcBorders>
              <w:top w:val="single" w:color="000000" w:sz="4" w:space="0"/>
              <w:left w:val="nil"/>
              <w:bottom w:val="single" w:color="000000" w:sz="12" w:space="0"/>
              <w:right w:val="nil"/>
            </w:tcBorders>
            <w:shd w:val="clear" w:color="auto" w:fill="FFFFFF"/>
            <w:noWrap/>
            <w:vAlign w:val="center"/>
          </w:tcPr>
          <w:p w14:paraId="3D00752A">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显著正偏差比例</w:t>
            </w:r>
          </w:p>
        </w:tc>
        <w:tc>
          <w:tcPr>
            <w:tcW w:w="1550" w:type="dxa"/>
            <w:tcBorders>
              <w:top w:val="single" w:color="000000" w:sz="4" w:space="0"/>
              <w:left w:val="nil"/>
              <w:bottom w:val="single" w:color="000000" w:sz="12" w:space="0"/>
              <w:right w:val="nil"/>
            </w:tcBorders>
            <w:shd w:val="clear" w:color="auto" w:fill="FFFFFF"/>
            <w:noWrap/>
            <w:vAlign w:val="center"/>
          </w:tcPr>
          <w:p w14:paraId="41DFFF9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显著负偏差比例</w:t>
            </w:r>
          </w:p>
        </w:tc>
        <w:tc>
          <w:tcPr>
            <w:tcW w:w="1360" w:type="dxa"/>
            <w:tcBorders>
              <w:top w:val="single" w:color="000000" w:sz="4" w:space="0"/>
              <w:left w:val="nil"/>
              <w:bottom w:val="single" w:color="000000" w:sz="12" w:space="0"/>
              <w:right w:val="nil"/>
            </w:tcBorders>
            <w:shd w:val="clear" w:color="auto" w:fill="FFFFFF"/>
            <w:noWrap/>
            <w:vAlign w:val="center"/>
          </w:tcPr>
          <w:p w14:paraId="1AA70DA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准确认知比例</w:t>
            </w:r>
          </w:p>
        </w:tc>
      </w:tr>
      <w:tr w14:paraId="74D96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single" w:color="000000" w:sz="4" w:space="0"/>
              <w:left w:val="nil"/>
              <w:bottom w:val="nil"/>
              <w:right w:val="nil"/>
              <w:tl2br w:val="nil"/>
            </w:tcBorders>
            <w:shd w:val="clear" w:color="auto" w:fill="FFFFFF"/>
            <w:noWrap/>
            <w:vAlign w:val="center"/>
          </w:tcPr>
          <w:p w14:paraId="05FB213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T型交叉口</w:t>
            </w:r>
          </w:p>
        </w:tc>
        <w:tc>
          <w:tcPr>
            <w:tcW w:w="775" w:type="dxa"/>
            <w:tcBorders>
              <w:top w:val="single" w:color="000000" w:sz="4" w:space="0"/>
              <w:left w:val="nil"/>
              <w:bottom w:val="nil"/>
              <w:right w:val="nil"/>
            </w:tcBorders>
            <w:shd w:val="clear" w:color="auto" w:fill="FFFFFF"/>
            <w:noWrap/>
            <w:vAlign w:val="center"/>
          </w:tcPr>
          <w:p w14:paraId="1EE2B2C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w:t>
            </w:r>
          </w:p>
        </w:tc>
        <w:tc>
          <w:tcPr>
            <w:tcW w:w="913" w:type="dxa"/>
            <w:tcBorders>
              <w:top w:val="single" w:color="000000" w:sz="4" w:space="0"/>
              <w:left w:val="nil"/>
              <w:bottom w:val="nil"/>
              <w:right w:val="nil"/>
            </w:tcBorders>
            <w:shd w:val="clear" w:color="auto" w:fill="FFFFFF"/>
            <w:noWrap/>
            <w:vAlign w:val="center"/>
          </w:tcPr>
          <w:p w14:paraId="54DB3DD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26.4</w:t>
            </w:r>
          </w:p>
        </w:tc>
        <w:tc>
          <w:tcPr>
            <w:tcW w:w="1074" w:type="dxa"/>
            <w:tcBorders>
              <w:top w:val="single" w:color="000000" w:sz="4" w:space="0"/>
              <w:left w:val="nil"/>
              <w:bottom w:val="nil"/>
              <w:right w:val="nil"/>
            </w:tcBorders>
            <w:shd w:val="clear" w:color="auto" w:fill="FFFFFF"/>
            <w:noWrap/>
            <w:vAlign w:val="center"/>
          </w:tcPr>
          <w:p w14:paraId="26F66EA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22.1</w:t>
            </w:r>
          </w:p>
        </w:tc>
        <w:tc>
          <w:tcPr>
            <w:tcW w:w="1550" w:type="dxa"/>
            <w:tcBorders>
              <w:top w:val="single" w:color="000000" w:sz="4" w:space="0"/>
              <w:left w:val="nil"/>
              <w:bottom w:val="nil"/>
              <w:right w:val="nil"/>
            </w:tcBorders>
            <w:shd w:val="clear" w:color="auto" w:fill="FFFFFF"/>
            <w:noWrap/>
            <w:vAlign w:val="center"/>
          </w:tcPr>
          <w:p w14:paraId="4014F04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0.556</w:t>
            </w:r>
          </w:p>
        </w:tc>
        <w:tc>
          <w:tcPr>
            <w:tcW w:w="1550" w:type="dxa"/>
            <w:tcBorders>
              <w:top w:val="single" w:color="000000" w:sz="4" w:space="0"/>
              <w:left w:val="nil"/>
              <w:bottom w:val="nil"/>
              <w:right w:val="nil"/>
            </w:tcBorders>
            <w:shd w:val="clear" w:color="auto" w:fill="FFFFFF"/>
            <w:noWrap/>
            <w:vAlign w:val="center"/>
          </w:tcPr>
          <w:p w14:paraId="24708C0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0.111</w:t>
            </w:r>
          </w:p>
        </w:tc>
        <w:tc>
          <w:tcPr>
            <w:tcW w:w="1360" w:type="dxa"/>
            <w:tcBorders>
              <w:top w:val="single" w:color="000000" w:sz="4" w:space="0"/>
              <w:left w:val="nil"/>
              <w:bottom w:val="nil"/>
              <w:right w:val="nil"/>
            </w:tcBorders>
            <w:shd w:val="clear" w:color="auto" w:fill="FFFFFF"/>
            <w:noWrap/>
            <w:vAlign w:val="center"/>
          </w:tcPr>
          <w:p w14:paraId="4608D2A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0.333</w:t>
            </w:r>
          </w:p>
        </w:tc>
      </w:tr>
      <w:tr w14:paraId="69E1E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08E1830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弯道路段</w:t>
            </w:r>
          </w:p>
        </w:tc>
        <w:tc>
          <w:tcPr>
            <w:tcW w:w="775" w:type="dxa"/>
            <w:tcBorders>
              <w:top w:val="nil"/>
              <w:left w:val="nil"/>
              <w:bottom w:val="nil"/>
              <w:right w:val="nil"/>
            </w:tcBorders>
            <w:shd w:val="clear" w:color="auto" w:fill="FFFFFF"/>
            <w:noWrap/>
            <w:vAlign w:val="center"/>
          </w:tcPr>
          <w:p w14:paraId="23872CD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16</w:t>
            </w:r>
          </w:p>
        </w:tc>
        <w:tc>
          <w:tcPr>
            <w:tcW w:w="913" w:type="dxa"/>
            <w:tcBorders>
              <w:top w:val="nil"/>
              <w:left w:val="nil"/>
              <w:bottom w:val="nil"/>
              <w:right w:val="nil"/>
            </w:tcBorders>
            <w:shd w:val="clear" w:color="auto" w:fill="FFFFFF"/>
            <w:noWrap/>
            <w:vAlign w:val="center"/>
          </w:tcPr>
          <w:p w14:paraId="1BE0B40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32.8</w:t>
            </w:r>
          </w:p>
        </w:tc>
        <w:tc>
          <w:tcPr>
            <w:tcW w:w="1074" w:type="dxa"/>
            <w:tcBorders>
              <w:top w:val="nil"/>
              <w:left w:val="nil"/>
              <w:bottom w:val="nil"/>
              <w:right w:val="nil"/>
            </w:tcBorders>
            <w:shd w:val="clear" w:color="auto" w:fill="FFFFFF"/>
            <w:noWrap/>
            <w:vAlign w:val="center"/>
          </w:tcPr>
          <w:p w14:paraId="5A2B31A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26.3</w:t>
            </w:r>
          </w:p>
        </w:tc>
        <w:tc>
          <w:tcPr>
            <w:tcW w:w="1550" w:type="dxa"/>
            <w:tcBorders>
              <w:top w:val="nil"/>
              <w:left w:val="nil"/>
              <w:bottom w:val="nil"/>
              <w:right w:val="nil"/>
            </w:tcBorders>
            <w:shd w:val="clear" w:color="auto" w:fill="FFFFFF"/>
            <w:noWrap/>
            <w:vAlign w:val="center"/>
          </w:tcPr>
          <w:p w14:paraId="04EFEEC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0.625</w:t>
            </w:r>
          </w:p>
        </w:tc>
        <w:tc>
          <w:tcPr>
            <w:tcW w:w="1550" w:type="dxa"/>
            <w:tcBorders>
              <w:top w:val="nil"/>
              <w:left w:val="nil"/>
              <w:bottom w:val="nil"/>
              <w:right w:val="nil"/>
            </w:tcBorders>
            <w:shd w:val="clear" w:color="auto" w:fill="FFFFFF"/>
            <w:noWrap/>
            <w:vAlign w:val="center"/>
          </w:tcPr>
          <w:p w14:paraId="067A37F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0.063</w:t>
            </w:r>
          </w:p>
        </w:tc>
        <w:tc>
          <w:tcPr>
            <w:tcW w:w="1360" w:type="dxa"/>
            <w:tcBorders>
              <w:top w:val="nil"/>
              <w:left w:val="nil"/>
              <w:bottom w:val="nil"/>
              <w:right w:val="nil"/>
            </w:tcBorders>
            <w:shd w:val="clear" w:color="auto" w:fill="FFFFFF"/>
            <w:noWrap/>
            <w:vAlign w:val="center"/>
          </w:tcPr>
          <w:p w14:paraId="272D1EC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0.312</w:t>
            </w:r>
          </w:p>
        </w:tc>
      </w:tr>
      <w:tr w14:paraId="33044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6120708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坡道路段</w:t>
            </w:r>
          </w:p>
        </w:tc>
        <w:tc>
          <w:tcPr>
            <w:tcW w:w="775" w:type="dxa"/>
            <w:tcBorders>
              <w:top w:val="nil"/>
              <w:left w:val="nil"/>
              <w:bottom w:val="nil"/>
              <w:right w:val="nil"/>
            </w:tcBorders>
            <w:shd w:val="clear" w:color="auto" w:fill="FFFFFF"/>
            <w:noWrap/>
            <w:vAlign w:val="center"/>
          </w:tcPr>
          <w:p w14:paraId="38D0001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14</w:t>
            </w:r>
          </w:p>
        </w:tc>
        <w:tc>
          <w:tcPr>
            <w:tcW w:w="913" w:type="dxa"/>
            <w:tcBorders>
              <w:top w:val="nil"/>
              <w:left w:val="nil"/>
              <w:bottom w:val="nil"/>
              <w:right w:val="nil"/>
            </w:tcBorders>
            <w:shd w:val="clear" w:color="auto" w:fill="FFFFFF"/>
            <w:noWrap/>
            <w:vAlign w:val="center"/>
          </w:tcPr>
          <w:p w14:paraId="6EC837C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-12.7</w:t>
            </w:r>
          </w:p>
        </w:tc>
        <w:tc>
          <w:tcPr>
            <w:tcW w:w="1074" w:type="dxa"/>
            <w:tcBorders>
              <w:top w:val="nil"/>
              <w:left w:val="nil"/>
              <w:bottom w:val="nil"/>
              <w:right w:val="nil"/>
            </w:tcBorders>
            <w:shd w:val="clear" w:color="auto" w:fill="FFFFFF"/>
            <w:noWrap/>
            <w:vAlign w:val="center"/>
          </w:tcPr>
          <w:p w14:paraId="3670FBB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24.5</w:t>
            </w:r>
          </w:p>
        </w:tc>
        <w:tc>
          <w:tcPr>
            <w:tcW w:w="1550" w:type="dxa"/>
            <w:tcBorders>
              <w:top w:val="nil"/>
              <w:left w:val="nil"/>
              <w:bottom w:val="nil"/>
              <w:right w:val="nil"/>
            </w:tcBorders>
            <w:shd w:val="clear" w:color="auto" w:fill="FFFFFF"/>
            <w:noWrap/>
            <w:vAlign w:val="center"/>
          </w:tcPr>
          <w:p w14:paraId="4F0084B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0.143</w:t>
            </w:r>
          </w:p>
        </w:tc>
        <w:tc>
          <w:tcPr>
            <w:tcW w:w="1550" w:type="dxa"/>
            <w:tcBorders>
              <w:top w:val="nil"/>
              <w:left w:val="nil"/>
              <w:bottom w:val="nil"/>
              <w:right w:val="nil"/>
            </w:tcBorders>
            <w:shd w:val="clear" w:color="auto" w:fill="FFFFFF"/>
            <w:noWrap/>
            <w:vAlign w:val="center"/>
          </w:tcPr>
          <w:p w14:paraId="009CB9C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0.429</w:t>
            </w:r>
          </w:p>
        </w:tc>
        <w:tc>
          <w:tcPr>
            <w:tcW w:w="1360" w:type="dxa"/>
            <w:tcBorders>
              <w:top w:val="nil"/>
              <w:left w:val="nil"/>
              <w:bottom w:val="nil"/>
              <w:right w:val="nil"/>
            </w:tcBorders>
            <w:shd w:val="clear" w:color="auto" w:fill="FFFFFF"/>
            <w:noWrap/>
            <w:vAlign w:val="center"/>
          </w:tcPr>
          <w:p w14:paraId="433BB0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0.428</w:t>
            </w:r>
          </w:p>
        </w:tc>
      </w:tr>
      <w:tr w14:paraId="26460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3D3BC0C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建筑出入口</w:t>
            </w:r>
          </w:p>
        </w:tc>
        <w:tc>
          <w:tcPr>
            <w:tcW w:w="775" w:type="dxa"/>
            <w:tcBorders>
              <w:top w:val="nil"/>
              <w:left w:val="nil"/>
              <w:bottom w:val="nil"/>
              <w:right w:val="nil"/>
            </w:tcBorders>
            <w:shd w:val="clear" w:color="auto" w:fill="FFFFFF"/>
            <w:noWrap/>
            <w:vAlign w:val="center"/>
          </w:tcPr>
          <w:p w14:paraId="61BB0BDE">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w:t>
            </w:r>
          </w:p>
        </w:tc>
        <w:tc>
          <w:tcPr>
            <w:tcW w:w="913" w:type="dxa"/>
            <w:tcBorders>
              <w:top w:val="nil"/>
              <w:left w:val="nil"/>
              <w:bottom w:val="nil"/>
              <w:right w:val="nil"/>
            </w:tcBorders>
            <w:shd w:val="clear" w:color="auto" w:fill="FFFFFF"/>
            <w:noWrap/>
            <w:vAlign w:val="center"/>
          </w:tcPr>
          <w:p w14:paraId="41032E5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-19.3</w:t>
            </w:r>
          </w:p>
        </w:tc>
        <w:tc>
          <w:tcPr>
            <w:tcW w:w="1074" w:type="dxa"/>
            <w:tcBorders>
              <w:top w:val="nil"/>
              <w:left w:val="nil"/>
              <w:bottom w:val="nil"/>
              <w:right w:val="nil"/>
            </w:tcBorders>
            <w:shd w:val="clear" w:color="auto" w:fill="FFFFFF"/>
            <w:noWrap/>
            <w:vAlign w:val="center"/>
          </w:tcPr>
          <w:p w14:paraId="6A92125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28.9</w:t>
            </w:r>
          </w:p>
        </w:tc>
        <w:tc>
          <w:tcPr>
            <w:tcW w:w="1550" w:type="dxa"/>
            <w:tcBorders>
              <w:top w:val="nil"/>
              <w:left w:val="nil"/>
              <w:bottom w:val="nil"/>
              <w:right w:val="nil"/>
            </w:tcBorders>
            <w:shd w:val="clear" w:color="auto" w:fill="FFFFFF"/>
            <w:noWrap/>
            <w:vAlign w:val="center"/>
          </w:tcPr>
          <w:p w14:paraId="281312D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0.083</w:t>
            </w:r>
          </w:p>
        </w:tc>
        <w:tc>
          <w:tcPr>
            <w:tcW w:w="1550" w:type="dxa"/>
            <w:tcBorders>
              <w:top w:val="nil"/>
              <w:left w:val="nil"/>
              <w:bottom w:val="nil"/>
              <w:right w:val="nil"/>
            </w:tcBorders>
            <w:shd w:val="clear" w:color="auto" w:fill="FFFFFF"/>
            <w:noWrap/>
            <w:vAlign w:val="center"/>
          </w:tcPr>
          <w:p w14:paraId="0252589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w:t>
            </w:r>
          </w:p>
        </w:tc>
        <w:tc>
          <w:tcPr>
            <w:tcW w:w="1360" w:type="dxa"/>
            <w:tcBorders>
              <w:top w:val="nil"/>
              <w:left w:val="nil"/>
              <w:bottom w:val="nil"/>
              <w:right w:val="nil"/>
            </w:tcBorders>
            <w:shd w:val="clear" w:color="auto" w:fill="FFFFFF"/>
            <w:noWrap/>
            <w:vAlign w:val="center"/>
          </w:tcPr>
          <w:p w14:paraId="66F6EBC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0.417</w:t>
            </w:r>
          </w:p>
        </w:tc>
      </w:tr>
      <w:tr w14:paraId="7B63B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692984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广场边缘</w:t>
            </w:r>
          </w:p>
        </w:tc>
        <w:tc>
          <w:tcPr>
            <w:tcW w:w="775" w:type="dxa"/>
            <w:tcBorders>
              <w:top w:val="nil"/>
              <w:left w:val="nil"/>
              <w:bottom w:val="nil"/>
              <w:right w:val="nil"/>
            </w:tcBorders>
            <w:shd w:val="clear" w:color="auto" w:fill="FFFFFF"/>
            <w:noWrap/>
            <w:vAlign w:val="center"/>
          </w:tcPr>
          <w:p w14:paraId="21A4247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w:t>
            </w:r>
          </w:p>
        </w:tc>
        <w:tc>
          <w:tcPr>
            <w:tcW w:w="913" w:type="dxa"/>
            <w:tcBorders>
              <w:top w:val="nil"/>
              <w:left w:val="nil"/>
              <w:bottom w:val="nil"/>
              <w:right w:val="nil"/>
            </w:tcBorders>
            <w:shd w:val="clear" w:color="auto" w:fill="FFFFFF"/>
            <w:noWrap/>
            <w:vAlign w:val="center"/>
          </w:tcPr>
          <w:p w14:paraId="634D810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15.2</w:t>
            </w:r>
          </w:p>
        </w:tc>
        <w:tc>
          <w:tcPr>
            <w:tcW w:w="1074" w:type="dxa"/>
            <w:tcBorders>
              <w:top w:val="nil"/>
              <w:left w:val="nil"/>
              <w:bottom w:val="nil"/>
              <w:right w:val="nil"/>
            </w:tcBorders>
            <w:shd w:val="clear" w:color="auto" w:fill="FFFFFF"/>
            <w:noWrap/>
            <w:vAlign w:val="center"/>
          </w:tcPr>
          <w:p w14:paraId="40B1969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27.4</w:t>
            </w:r>
          </w:p>
        </w:tc>
        <w:tc>
          <w:tcPr>
            <w:tcW w:w="1550" w:type="dxa"/>
            <w:tcBorders>
              <w:top w:val="nil"/>
              <w:left w:val="nil"/>
              <w:bottom w:val="nil"/>
              <w:right w:val="nil"/>
            </w:tcBorders>
            <w:shd w:val="clear" w:color="auto" w:fill="FFFFFF"/>
            <w:noWrap/>
            <w:vAlign w:val="center"/>
          </w:tcPr>
          <w:p w14:paraId="04380E2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0.389</w:t>
            </w:r>
          </w:p>
        </w:tc>
        <w:tc>
          <w:tcPr>
            <w:tcW w:w="1550" w:type="dxa"/>
            <w:tcBorders>
              <w:top w:val="nil"/>
              <w:left w:val="nil"/>
              <w:bottom w:val="nil"/>
              <w:right w:val="nil"/>
            </w:tcBorders>
            <w:shd w:val="clear" w:color="auto" w:fill="FFFFFF"/>
            <w:noWrap/>
            <w:vAlign w:val="center"/>
          </w:tcPr>
          <w:p w14:paraId="7550E6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0.167</w:t>
            </w:r>
          </w:p>
        </w:tc>
        <w:tc>
          <w:tcPr>
            <w:tcW w:w="1360" w:type="dxa"/>
            <w:tcBorders>
              <w:top w:val="nil"/>
              <w:left w:val="nil"/>
              <w:bottom w:val="nil"/>
              <w:right w:val="nil"/>
            </w:tcBorders>
            <w:shd w:val="clear" w:color="auto" w:fill="FFFFFF"/>
            <w:noWrap/>
            <w:vAlign w:val="center"/>
          </w:tcPr>
          <w:p w14:paraId="0E3B9A5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0.444</w:t>
            </w:r>
          </w:p>
        </w:tc>
      </w:tr>
      <w:tr w14:paraId="26B72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4C59C77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直行路段</w:t>
            </w:r>
          </w:p>
        </w:tc>
        <w:tc>
          <w:tcPr>
            <w:tcW w:w="775" w:type="dxa"/>
            <w:tcBorders>
              <w:top w:val="nil"/>
              <w:left w:val="nil"/>
              <w:bottom w:val="nil"/>
              <w:right w:val="nil"/>
            </w:tcBorders>
            <w:shd w:val="clear" w:color="auto" w:fill="FFFFFF"/>
            <w:noWrap/>
            <w:vAlign w:val="center"/>
          </w:tcPr>
          <w:p w14:paraId="06B85A8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w:t>
            </w:r>
          </w:p>
        </w:tc>
        <w:tc>
          <w:tcPr>
            <w:tcW w:w="913" w:type="dxa"/>
            <w:tcBorders>
              <w:top w:val="nil"/>
              <w:left w:val="nil"/>
              <w:bottom w:val="nil"/>
              <w:right w:val="nil"/>
            </w:tcBorders>
            <w:shd w:val="clear" w:color="auto" w:fill="FFFFFF"/>
            <w:noWrap/>
            <w:vAlign w:val="center"/>
          </w:tcPr>
          <w:p w14:paraId="05F6061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-3.6</w:t>
            </w:r>
          </w:p>
        </w:tc>
        <w:tc>
          <w:tcPr>
            <w:tcW w:w="1074" w:type="dxa"/>
            <w:tcBorders>
              <w:top w:val="nil"/>
              <w:left w:val="nil"/>
              <w:bottom w:val="nil"/>
              <w:right w:val="nil"/>
            </w:tcBorders>
            <w:shd w:val="clear" w:color="auto" w:fill="FFFFFF"/>
            <w:noWrap/>
            <w:vAlign w:val="center"/>
          </w:tcPr>
          <w:p w14:paraId="1A7CF60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19.8</w:t>
            </w:r>
          </w:p>
        </w:tc>
        <w:tc>
          <w:tcPr>
            <w:tcW w:w="1550" w:type="dxa"/>
            <w:tcBorders>
              <w:top w:val="nil"/>
              <w:left w:val="nil"/>
              <w:bottom w:val="nil"/>
              <w:right w:val="nil"/>
            </w:tcBorders>
            <w:shd w:val="clear" w:color="auto" w:fill="FFFFFF"/>
            <w:noWrap/>
            <w:vAlign w:val="center"/>
          </w:tcPr>
          <w:p w14:paraId="530E1DE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0.167</w:t>
            </w:r>
          </w:p>
        </w:tc>
        <w:tc>
          <w:tcPr>
            <w:tcW w:w="1550" w:type="dxa"/>
            <w:tcBorders>
              <w:top w:val="nil"/>
              <w:left w:val="nil"/>
              <w:bottom w:val="nil"/>
              <w:right w:val="nil"/>
            </w:tcBorders>
            <w:shd w:val="clear" w:color="auto" w:fill="FFFFFF"/>
            <w:noWrap/>
            <w:vAlign w:val="center"/>
          </w:tcPr>
          <w:p w14:paraId="617D3A6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0.278</w:t>
            </w:r>
          </w:p>
        </w:tc>
        <w:tc>
          <w:tcPr>
            <w:tcW w:w="1360" w:type="dxa"/>
            <w:tcBorders>
              <w:top w:val="nil"/>
              <w:left w:val="nil"/>
              <w:bottom w:val="nil"/>
              <w:right w:val="nil"/>
            </w:tcBorders>
            <w:shd w:val="clear" w:color="auto" w:fill="FFFFFF"/>
            <w:noWrap/>
            <w:vAlign w:val="center"/>
          </w:tcPr>
          <w:p w14:paraId="2F8E577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0.555</w:t>
            </w:r>
          </w:p>
        </w:tc>
      </w:tr>
      <w:tr w14:paraId="6E6DA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single" w:color="000000" w:sz="4" w:space="0"/>
              <w:right w:val="nil"/>
            </w:tcBorders>
            <w:shd w:val="clear" w:color="auto" w:fill="FFFFFF"/>
            <w:noWrap/>
            <w:vAlign w:val="center"/>
          </w:tcPr>
          <w:p w14:paraId="52DD831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总体</w:t>
            </w:r>
          </w:p>
        </w:tc>
        <w:tc>
          <w:tcPr>
            <w:tcW w:w="775" w:type="dxa"/>
            <w:tcBorders>
              <w:top w:val="nil"/>
              <w:left w:val="nil"/>
              <w:bottom w:val="single" w:color="000000" w:sz="4" w:space="0"/>
              <w:right w:val="nil"/>
            </w:tcBorders>
            <w:shd w:val="clear" w:color="auto" w:fill="FFFFFF"/>
            <w:noWrap/>
            <w:vAlign w:val="center"/>
          </w:tcPr>
          <w:p w14:paraId="3C8C952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96</w:t>
            </w:r>
          </w:p>
        </w:tc>
        <w:tc>
          <w:tcPr>
            <w:tcW w:w="913" w:type="dxa"/>
            <w:tcBorders>
              <w:top w:val="nil"/>
              <w:left w:val="nil"/>
              <w:bottom w:val="single" w:color="000000" w:sz="4" w:space="0"/>
              <w:right w:val="nil"/>
            </w:tcBorders>
            <w:shd w:val="clear" w:color="auto" w:fill="FFFFFF"/>
            <w:noWrap/>
            <w:vAlign w:val="center"/>
          </w:tcPr>
          <w:p w14:paraId="2BF4556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8.3</w:t>
            </w:r>
          </w:p>
        </w:tc>
        <w:tc>
          <w:tcPr>
            <w:tcW w:w="1074" w:type="dxa"/>
            <w:tcBorders>
              <w:top w:val="nil"/>
              <w:left w:val="nil"/>
              <w:bottom w:val="single" w:color="000000" w:sz="4" w:space="0"/>
              <w:right w:val="nil"/>
            </w:tcBorders>
            <w:shd w:val="clear" w:color="auto" w:fill="FFFFFF"/>
            <w:noWrap/>
            <w:vAlign w:val="center"/>
          </w:tcPr>
          <w:p w14:paraId="61030AF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31.1</w:t>
            </w:r>
          </w:p>
        </w:tc>
        <w:tc>
          <w:tcPr>
            <w:tcW w:w="1550" w:type="dxa"/>
            <w:tcBorders>
              <w:top w:val="nil"/>
              <w:left w:val="nil"/>
              <w:bottom w:val="single" w:color="000000" w:sz="4" w:space="0"/>
              <w:right w:val="nil"/>
            </w:tcBorders>
            <w:shd w:val="clear" w:color="auto" w:fill="FFFFFF"/>
            <w:noWrap/>
            <w:vAlign w:val="center"/>
          </w:tcPr>
          <w:p w14:paraId="36E5F9F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0.344</w:t>
            </w:r>
          </w:p>
        </w:tc>
        <w:tc>
          <w:tcPr>
            <w:tcW w:w="1550" w:type="dxa"/>
            <w:tcBorders>
              <w:top w:val="nil"/>
              <w:left w:val="nil"/>
              <w:bottom w:val="single" w:color="000000" w:sz="4" w:space="0"/>
              <w:right w:val="nil"/>
            </w:tcBorders>
            <w:shd w:val="clear" w:color="auto" w:fill="FFFFFF"/>
            <w:noWrap/>
            <w:vAlign w:val="center"/>
          </w:tcPr>
          <w:p w14:paraId="2C1E5FB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0.240</w:t>
            </w:r>
          </w:p>
        </w:tc>
        <w:tc>
          <w:tcPr>
            <w:tcW w:w="1360" w:type="dxa"/>
            <w:tcBorders>
              <w:top w:val="nil"/>
              <w:left w:val="nil"/>
              <w:bottom w:val="single" w:color="000000" w:sz="4" w:space="0"/>
              <w:right w:val="nil"/>
            </w:tcBorders>
            <w:shd w:val="clear" w:color="auto" w:fill="FFFFFF"/>
            <w:noWrap/>
            <w:vAlign w:val="center"/>
          </w:tcPr>
          <w:p w14:paraId="4F02A60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0.417</w:t>
            </w:r>
          </w:p>
        </w:tc>
      </w:tr>
    </w:tbl>
    <w:p w14:paraId="352B098A">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p>
    <w:p w14:paraId="183209AA">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同时，基于深度访谈结果，</w:t>
      </w:r>
      <w:r>
        <w:rPr>
          <w:rFonts w:hint="default" w:ascii="Times New Roman" w:hAnsi="Times New Roman" w:cs="Times New Roman"/>
          <w:i w:val="0"/>
          <w:color w:val="000000"/>
          <w:sz w:val="24"/>
          <w:szCs w:val="24"/>
          <w:lang w:val="en-US" w:eastAsia="zh-CN"/>
        </w:rPr>
        <w:t>通过扎根理论的编码分析，本研究提炼出认知偏差形成的五大</w:t>
      </w:r>
      <w:r>
        <w:rPr>
          <w:rFonts w:hint="eastAsia" w:ascii="Times New Roman" w:hAnsi="Times New Roman" w:cs="Times New Roman"/>
          <w:i w:val="0"/>
          <w:color w:val="000000"/>
          <w:sz w:val="24"/>
          <w:szCs w:val="24"/>
          <w:lang w:val="en-US" w:eastAsia="zh-CN"/>
        </w:rPr>
        <w:t>主题</w:t>
      </w:r>
      <w:r>
        <w:rPr>
          <w:rFonts w:hint="default" w:ascii="Times New Roman" w:hAnsi="Times New Roman" w:cs="Times New Roman"/>
          <w:i w:val="0"/>
          <w:color w:val="000000"/>
          <w:sz w:val="24"/>
          <w:szCs w:val="24"/>
          <w:lang w:val="en-US" w:eastAsia="zh-CN"/>
        </w:rPr>
        <w:t>。</w:t>
      </w:r>
    </w:p>
    <w:p w14:paraId="1BE21EAD">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第一</w:t>
      </w:r>
      <w:r>
        <w:rPr>
          <w:rFonts w:hint="default" w:ascii="Times New Roman" w:hAnsi="Times New Roman" w:cs="Times New Roman"/>
          <w:i w:val="0"/>
          <w:color w:val="000000"/>
          <w:sz w:val="24"/>
          <w:szCs w:val="24"/>
          <w:lang w:val="en-US" w:eastAsia="zh-CN"/>
        </w:rPr>
        <w:t>，环境可读性不足是最主要的</w:t>
      </w:r>
      <w:r>
        <w:rPr>
          <w:rFonts w:hint="eastAsia" w:ascii="Times New Roman" w:hAnsi="Times New Roman" w:cs="Times New Roman"/>
          <w:i w:val="0"/>
          <w:color w:val="000000"/>
          <w:sz w:val="24"/>
          <w:szCs w:val="24"/>
          <w:lang w:val="en-US" w:eastAsia="zh-CN"/>
        </w:rPr>
        <w:t>内容</w:t>
      </w:r>
      <w:r>
        <w:rPr>
          <w:rFonts w:hint="default" w:ascii="Times New Roman" w:hAnsi="Times New Roman" w:cs="Times New Roman"/>
          <w:i w:val="0"/>
          <w:color w:val="000000"/>
          <w:sz w:val="24"/>
          <w:szCs w:val="24"/>
          <w:lang w:val="en-US" w:eastAsia="zh-CN"/>
        </w:rPr>
        <w:t>之一。</w:t>
      </w:r>
      <w:r>
        <w:rPr>
          <w:rFonts w:hint="eastAsia" w:ascii="Times New Roman" w:hAnsi="Times New Roman" w:cs="Times New Roman"/>
          <w:i w:val="0"/>
          <w:color w:val="000000"/>
          <w:sz w:val="24"/>
          <w:szCs w:val="24"/>
          <w:lang w:val="en-US" w:eastAsia="zh-CN"/>
        </w:rPr>
        <w:t>高校共享道路交通参与者</w:t>
      </w:r>
      <w:r>
        <w:rPr>
          <w:rFonts w:hint="default" w:ascii="Times New Roman" w:hAnsi="Times New Roman" w:cs="Times New Roman"/>
          <w:i w:val="0"/>
          <w:color w:val="000000"/>
          <w:sz w:val="24"/>
          <w:szCs w:val="24"/>
          <w:lang w:val="en-US" w:eastAsia="zh-CN"/>
        </w:rPr>
        <w:t>频繁表达“看不清楚”“不确定”等感受，体现了信息模糊性带来的安全判断困难。</w:t>
      </w:r>
      <w:r>
        <w:rPr>
          <w:rFonts w:hint="eastAsia" w:ascii="Times New Roman" w:hAnsi="Times New Roman" w:cs="Times New Roman"/>
          <w:i w:val="0"/>
          <w:color w:val="000000"/>
          <w:sz w:val="24"/>
          <w:szCs w:val="24"/>
          <w:lang w:val="en-US" w:eastAsia="zh-CN"/>
        </w:rPr>
        <w:t>此外，</w:t>
      </w:r>
      <w:r>
        <w:rPr>
          <w:rFonts w:hint="default" w:ascii="Times New Roman" w:hAnsi="Times New Roman" w:cs="Times New Roman"/>
          <w:i w:val="0"/>
          <w:color w:val="000000"/>
          <w:sz w:val="24"/>
          <w:szCs w:val="24"/>
          <w:lang w:val="en-US" w:eastAsia="zh-CN"/>
        </w:rPr>
        <w:t>路权边界不明确、标识缺失或难以理解、动态风险信息不足等因素，使个体不得不依赖经验或模仿他人行为，从而导致主观判断偏离客观风险。</w:t>
      </w:r>
    </w:p>
    <w:p w14:paraId="7FE5E4E1">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第二</w:t>
      </w:r>
      <w:r>
        <w:rPr>
          <w:rFonts w:hint="default" w:ascii="Times New Roman" w:hAnsi="Times New Roman" w:cs="Times New Roman"/>
          <w:i w:val="0"/>
          <w:color w:val="000000"/>
          <w:sz w:val="24"/>
          <w:szCs w:val="24"/>
          <w:lang w:val="en-US" w:eastAsia="zh-CN"/>
        </w:rPr>
        <w:t>，风险感知阈值偏移</w:t>
      </w:r>
      <w:r>
        <w:rPr>
          <w:rFonts w:hint="eastAsia" w:ascii="Times New Roman" w:hAnsi="Times New Roman" w:cs="Times New Roman"/>
          <w:i w:val="0"/>
          <w:color w:val="000000"/>
          <w:sz w:val="24"/>
          <w:szCs w:val="24"/>
          <w:lang w:val="en-US" w:eastAsia="zh-CN"/>
        </w:rPr>
        <w:t>。该主题</w:t>
      </w:r>
      <w:r>
        <w:rPr>
          <w:rFonts w:hint="default" w:ascii="Times New Roman" w:hAnsi="Times New Roman" w:cs="Times New Roman"/>
          <w:i w:val="0"/>
          <w:color w:val="000000"/>
          <w:sz w:val="24"/>
          <w:szCs w:val="24"/>
          <w:lang w:val="en-US" w:eastAsia="zh-CN"/>
        </w:rPr>
        <w:t>反映了个体在速度、距离与拥挤度判断上的主观差异。不同</w:t>
      </w:r>
      <w:r>
        <w:rPr>
          <w:rFonts w:hint="eastAsia" w:ascii="Times New Roman" w:hAnsi="Times New Roman" w:cs="Times New Roman"/>
          <w:i w:val="0"/>
          <w:color w:val="000000"/>
          <w:sz w:val="24"/>
          <w:szCs w:val="24"/>
          <w:lang w:val="en-US" w:eastAsia="zh-CN"/>
        </w:rPr>
        <w:t>校园共享道路交通参与者</w:t>
      </w:r>
      <w:r>
        <w:rPr>
          <w:rFonts w:hint="default" w:ascii="Times New Roman" w:hAnsi="Times New Roman" w:cs="Times New Roman"/>
          <w:i w:val="0"/>
          <w:color w:val="000000"/>
          <w:sz w:val="24"/>
          <w:szCs w:val="24"/>
          <w:lang w:val="en-US" w:eastAsia="zh-CN"/>
        </w:rPr>
        <w:t>对“快”“近”“挤”等判断标准不一致，部分受性格、风险倾向、焦虑水平等个体因素影响，也受情境因素调节，例如赶时间会降低风险阈值，而放松状态则提高警觉性。</w:t>
      </w:r>
    </w:p>
    <w:p w14:paraId="143A177A">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default" w:ascii="Times New Roman" w:hAnsi="Times New Roman" w:cs="Times New Roman"/>
          <w:i w:val="0"/>
          <w:color w:val="000000"/>
          <w:sz w:val="24"/>
          <w:szCs w:val="24"/>
          <w:lang w:val="en-US" w:eastAsia="zh-CN"/>
        </w:rPr>
        <w:t>第三，社会规范模糊与执行不力</w:t>
      </w:r>
      <w:r>
        <w:rPr>
          <w:rFonts w:hint="eastAsia" w:ascii="Times New Roman" w:hAnsi="Times New Roman" w:cs="Times New Roman"/>
          <w:i w:val="0"/>
          <w:color w:val="000000"/>
          <w:sz w:val="24"/>
          <w:szCs w:val="24"/>
          <w:lang w:val="en-US" w:eastAsia="zh-CN"/>
        </w:rPr>
        <w:t>。该主题可能源于</w:t>
      </w:r>
      <w:r>
        <w:rPr>
          <w:rFonts w:hint="default" w:ascii="Times New Roman" w:hAnsi="Times New Roman" w:cs="Times New Roman"/>
          <w:i w:val="0"/>
          <w:color w:val="000000"/>
          <w:sz w:val="24"/>
          <w:szCs w:val="24"/>
          <w:lang w:val="en-US" w:eastAsia="zh-CN"/>
        </w:rPr>
        <w:t>校园道路规则意识的整体弱化。由于管理方式偏软，规则缺乏明确传达，加之从众心理和违规无成本的环境，</w:t>
      </w:r>
      <w:r>
        <w:rPr>
          <w:rFonts w:hint="eastAsia" w:ascii="Times New Roman" w:hAnsi="Times New Roman" w:cs="Times New Roman"/>
          <w:i w:val="0"/>
          <w:color w:val="000000"/>
          <w:sz w:val="24"/>
          <w:szCs w:val="24"/>
          <w:lang w:val="en-US" w:eastAsia="zh-CN"/>
        </w:rPr>
        <w:t>校园共享道路交通参与者</w:t>
      </w:r>
      <w:r>
        <w:rPr>
          <w:rFonts w:hint="default" w:ascii="Times New Roman" w:hAnsi="Times New Roman" w:cs="Times New Roman"/>
          <w:i w:val="0"/>
          <w:color w:val="000000"/>
          <w:sz w:val="24"/>
          <w:szCs w:val="24"/>
          <w:lang w:val="en-US" w:eastAsia="zh-CN"/>
        </w:rPr>
        <w:t>往往依据个人风险感知而非制度规范进行行为决策，进一步加剧与客观安全之间的偏差。</w:t>
      </w:r>
    </w:p>
    <w:p>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default" w:ascii="Times New Roman" w:hAnsi="Times New Roman" w:cs="Times New Roman"/>
          <w:i w:val="0"/>
          <w:color w:val="000000"/>
          <w:sz w:val="24"/>
          <w:szCs w:val="24"/>
          <w:lang w:val="en-US" w:eastAsia="zh-CN"/>
        </w:rPr>
        <w:t xml:space="preserve">第四，注意力资源分配失衡</w:t>
      </w:r>
      <w:r>
        <w:rPr>
          <w:rFonts w:hint="default" w:ascii="Times New Roman" w:hAnsi="Times New Roman" w:cs="Times New Roman"/>
          <w:i w:val="0"/>
          <w:color w:val="000000"/>
          <w:sz w:val="24"/>
          <w:szCs w:val="24"/>
          <w:lang w:val="en-US" w:eastAsia="zh-CN"/>
          <w:vertAlign w:val="superscript"/>
        </w:rPr>
        <w:t xml:space="preserve">[39]</w:t>
      </w:r>
      <w:r>
        <w:rPr>
          <w:rFonts w:hint="default" w:ascii="Times New Roman" w:hAnsi="Times New Roman" w:cs="Times New Roman"/>
          <w:i w:val="0"/>
          <w:color w:val="000000"/>
          <w:sz w:val="24"/>
          <w:szCs w:val="24"/>
          <w:lang w:val="en-US" w:eastAsia="zh-CN"/>
        </w:rPr>
        <w:t xml:space="preserve">。这一主题体现了多任务行为与环境干扰对风险探测的削弱作用。具体而言，边走边看手机、聊天等分心行为，以及复杂视觉景观带来的注意力转移，使校园共享道路交通参与者在关键时刻无法充分关注安全相关信息，导致潜在风险被忽略。</w:t>
      </w:r>
    </w:p>
    <w:p w14:paraId="14638CEB">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第五</w:t>
      </w:r>
      <w:r>
        <w:rPr>
          <w:rFonts w:hint="default" w:ascii="Times New Roman" w:hAnsi="Times New Roman" w:cs="Times New Roman"/>
          <w:i w:val="0"/>
          <w:color w:val="000000"/>
          <w:sz w:val="24"/>
          <w:szCs w:val="24"/>
          <w:lang w:val="en-US" w:eastAsia="zh-CN"/>
        </w:rPr>
        <w:t>，情感与动机因素</w:t>
      </w:r>
      <w:r>
        <w:rPr>
          <w:rFonts w:hint="eastAsia" w:ascii="Times New Roman" w:hAnsi="Times New Roman" w:cs="Times New Roman"/>
          <w:i w:val="0"/>
          <w:color w:val="000000"/>
          <w:sz w:val="24"/>
          <w:szCs w:val="24"/>
          <w:lang w:val="en-US" w:eastAsia="zh-CN"/>
        </w:rPr>
        <w:t>。该内容</w:t>
      </w:r>
      <w:r>
        <w:rPr>
          <w:rFonts w:hint="default" w:ascii="Times New Roman" w:hAnsi="Times New Roman" w:cs="Times New Roman"/>
          <w:i w:val="0"/>
          <w:color w:val="000000"/>
          <w:sz w:val="24"/>
          <w:szCs w:val="24"/>
          <w:lang w:val="en-US" w:eastAsia="zh-CN"/>
        </w:rPr>
        <w:t>表明情绪状态与动机压力对风险感知具有显著调节作用。时间紧迫、情绪波动、社交互动等都会影响个体的警觉水平：积极情绪可能降低对危险的敏感度，而负面情绪则提升警觉性；赶时间的动机则促使个体容忍更高的风险。</w:t>
      </w:r>
    </w:p>
    <w:p w14:paraId="7351D9C4">
      <w:pPr>
        <w:pStyle w:val="4"/>
        <w:numPr>
          <w:ilvl w:val="0"/>
          <w:numId w:val="4"/>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高校共享道路交通安全客观指标对主观安全感知的影响</w:t>
      </w:r>
    </w:p>
    <w:p w14:paraId="17F70226">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为深入探究高校共享道路交通环境要素对交通冲突者安全认知的塑造机制，本研究以主观安全评分作为因变量，选取8个高校共享道路交通安全客观指标作为预测因子，开展逐步多元线性回归分析。选择主观评分而非认知偏差系数作为因变量，原因在于认知偏差系数本身已涵盖客观安全指数信息，若直接进行回归分析，将引发多重共线性问题。通过深入剖析高校共享道路交通安全客观指标对主观认知的影响，可识别出哪些要素受到使用者的高度重视，哪些要素相对被忽略，从而深入理解认知偏差的形成机理。最终构建的模型包含6个具有显著意义的预测因子，模型整体具有统计学显著性，F=26.48，p&lt;0.001，调整后R²=0.68，这表明该模型中的6个变量能够解释主观安全评分总变异的68%。</w:t>
      </w:r>
    </w:p>
    <w:p w14:paraId="38015DB4">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本研究的回归分析揭示了环境要素对主观安全感知的差异化影响（如表18所示），其中道路宽度是最强的正向预测因子（β=0.37），宽度每提升一个等级均可显著提高使用者的安全评分，说明充裕的通行与避让空间是安全感的核心来源。照明水平同样具有显著正向作用（β=0.34），良好的光环境不仅提升可见性，也强化了秩序感与共享交通环境被维护的印象。标识密度的正向影响（β=0.28）进一步表明，信息清晰度有助于减少共享交通环境的模糊性，从而增强行为确定性与心理安全感。空间分隔形式（β=0.22）也显著影响安全感，明确的路权边界降低了共享交通参与者对潜在冲突的预期，凸显秩序感在安全认知中的重要性。交通流量则是唯一的负向预测因子（β=-0.19），拥挤与混行情境增加决策压力和碰撞感知，从而显著削弱安全体验。此外，路面质量虽影响力较弱（β=0.16），但其作为基础设施状态的可见信号，能在一定程度上提升共享道路交通环境信任度。值得关注的是，视距条件未进入显著模型，表明使用者对视觉遮挡这一客观上的关键风险因素感知不足，这一认知缺口正是主客观偏差的重要来源。</w:t>
      </w:r>
    </w:p>
    <w:p w14:paraId="0954AB89">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p>
    <w:p w14:paraId="1868A562">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表18</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客观因素对主观安全感知的回归分析结果</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6"/>
        <w:gridCol w:w="917"/>
        <w:gridCol w:w="936"/>
        <w:gridCol w:w="819"/>
        <w:gridCol w:w="636"/>
        <w:gridCol w:w="892"/>
        <w:gridCol w:w="636"/>
      </w:tblGrid>
      <w:tr w14:paraId="12633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000000" w:sz="4" w:space="0"/>
              <w:left w:val="nil"/>
              <w:bottom w:val="single" w:color="000000" w:sz="12" w:space="0"/>
              <w:right w:val="nil"/>
            </w:tcBorders>
            <w:shd w:val="clear" w:color="auto" w:fill="FFFFFF"/>
            <w:noWrap/>
            <w:vAlign w:val="center"/>
          </w:tcPr>
          <w:p w14:paraId="5431EFA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指标</w:t>
            </w:r>
          </w:p>
        </w:tc>
        <w:tc>
          <w:tcPr>
            <w:tcW w:w="0" w:type="auto"/>
            <w:tcBorders>
              <w:top w:val="single" w:color="000000" w:sz="4" w:space="0"/>
              <w:left w:val="nil"/>
              <w:bottom w:val="single" w:color="000000" w:sz="12" w:space="0"/>
              <w:right w:val="nil"/>
            </w:tcBorders>
            <w:shd w:val="clear" w:color="auto" w:fill="FFFFFF"/>
            <w:noWrap/>
            <w:vAlign w:val="center"/>
          </w:tcPr>
          <w:p w14:paraId="289DCC6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B系数</w:t>
            </w:r>
          </w:p>
        </w:tc>
        <w:tc>
          <w:tcPr>
            <w:tcW w:w="0" w:type="auto"/>
            <w:tcBorders>
              <w:top w:val="single" w:color="000000" w:sz="4" w:space="0"/>
              <w:left w:val="nil"/>
              <w:bottom w:val="single" w:color="000000" w:sz="12" w:space="0"/>
              <w:right w:val="nil"/>
            </w:tcBorders>
            <w:shd w:val="clear" w:color="auto" w:fill="FFFFFF"/>
            <w:noWrap/>
            <w:vAlign w:val="center"/>
          </w:tcPr>
          <w:p w14:paraId="598FDCD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标准误</w:t>
            </w:r>
          </w:p>
        </w:tc>
        <w:tc>
          <w:tcPr>
            <w:tcW w:w="0" w:type="auto"/>
            <w:tcBorders>
              <w:top w:val="single" w:color="000000" w:sz="4" w:space="0"/>
              <w:left w:val="nil"/>
              <w:bottom w:val="single" w:color="000000" w:sz="12" w:space="0"/>
              <w:right w:val="nil"/>
            </w:tcBorders>
            <w:shd w:val="clear" w:color="auto" w:fill="FFFFFF"/>
            <w:noWrap/>
            <w:vAlign w:val="center"/>
          </w:tcPr>
          <w:p w14:paraId="746271F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β系数</w:t>
            </w:r>
          </w:p>
        </w:tc>
        <w:tc>
          <w:tcPr>
            <w:tcW w:w="0" w:type="auto"/>
            <w:tcBorders>
              <w:top w:val="single" w:color="000000" w:sz="4" w:space="0"/>
              <w:left w:val="nil"/>
              <w:bottom w:val="single" w:color="000000" w:sz="12" w:space="0"/>
              <w:right w:val="nil"/>
            </w:tcBorders>
            <w:shd w:val="clear" w:color="auto" w:fill="FFFFFF"/>
            <w:noWrap/>
            <w:vAlign w:val="center"/>
          </w:tcPr>
          <w:p w14:paraId="0A99DE2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t值</w:t>
            </w:r>
          </w:p>
        </w:tc>
        <w:tc>
          <w:tcPr>
            <w:tcW w:w="0" w:type="auto"/>
            <w:tcBorders>
              <w:top w:val="single" w:color="000000" w:sz="4" w:space="0"/>
              <w:left w:val="nil"/>
              <w:bottom w:val="single" w:color="000000" w:sz="12" w:space="0"/>
              <w:right w:val="nil"/>
            </w:tcBorders>
            <w:shd w:val="clear" w:color="auto" w:fill="FFFFFF"/>
            <w:noWrap/>
            <w:vAlign w:val="center"/>
          </w:tcPr>
          <w:p w14:paraId="756AD91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p值</w:t>
            </w:r>
          </w:p>
        </w:tc>
        <w:tc>
          <w:tcPr>
            <w:tcW w:w="0" w:type="auto"/>
            <w:tcBorders>
              <w:top w:val="single" w:color="000000" w:sz="4" w:space="0"/>
              <w:left w:val="nil"/>
              <w:bottom w:val="single" w:color="000000" w:sz="12" w:space="0"/>
              <w:right w:val="nil"/>
            </w:tcBorders>
            <w:shd w:val="clear" w:color="auto" w:fill="FFFFFF"/>
            <w:noWrap/>
            <w:vAlign w:val="center"/>
          </w:tcPr>
          <w:p w14:paraId="75F83E3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VIF</w:t>
            </w:r>
          </w:p>
        </w:tc>
      </w:tr>
      <w:tr w14:paraId="68A2E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C828FB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道路宽度</w:t>
            </w:r>
          </w:p>
        </w:tc>
        <w:tc>
          <w:tcPr>
            <w:tcW w:w="0" w:type="auto"/>
            <w:tcBorders>
              <w:top w:val="nil"/>
              <w:left w:val="nil"/>
              <w:bottom w:val="nil"/>
              <w:right w:val="nil"/>
            </w:tcBorders>
            <w:shd w:val="clear" w:color="auto" w:fill="FFFFFF"/>
            <w:noWrap/>
            <w:vAlign w:val="center"/>
          </w:tcPr>
          <w:p w14:paraId="6CCC912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0.33</w:t>
            </w:r>
          </w:p>
        </w:tc>
        <w:tc>
          <w:tcPr>
            <w:tcW w:w="0" w:type="auto"/>
            <w:tcBorders>
              <w:top w:val="nil"/>
              <w:left w:val="nil"/>
              <w:bottom w:val="nil"/>
              <w:right w:val="nil"/>
            </w:tcBorders>
            <w:shd w:val="clear" w:color="auto" w:fill="FFFFFF"/>
            <w:noWrap/>
            <w:vAlign w:val="center"/>
          </w:tcPr>
          <w:p w14:paraId="57DFCF0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0.06</w:t>
            </w:r>
          </w:p>
        </w:tc>
        <w:tc>
          <w:tcPr>
            <w:tcW w:w="0" w:type="auto"/>
            <w:tcBorders>
              <w:top w:val="nil"/>
              <w:left w:val="nil"/>
              <w:bottom w:val="nil"/>
              <w:right w:val="nil"/>
            </w:tcBorders>
            <w:shd w:val="clear" w:color="auto" w:fill="FFFFFF"/>
            <w:noWrap/>
            <w:vAlign w:val="center"/>
          </w:tcPr>
          <w:p w14:paraId="3A0830C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0.37</w:t>
            </w:r>
          </w:p>
        </w:tc>
        <w:tc>
          <w:tcPr>
            <w:tcW w:w="0" w:type="auto"/>
            <w:tcBorders>
              <w:top w:val="nil"/>
              <w:left w:val="nil"/>
              <w:bottom w:val="nil"/>
              <w:right w:val="nil"/>
            </w:tcBorders>
            <w:shd w:val="clear" w:color="auto" w:fill="FFFFFF"/>
            <w:noWrap/>
            <w:vAlign w:val="center"/>
          </w:tcPr>
          <w:p w14:paraId="5EEF06E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5.5</w:t>
            </w:r>
          </w:p>
        </w:tc>
        <w:tc>
          <w:tcPr>
            <w:tcW w:w="0" w:type="auto"/>
            <w:tcBorders>
              <w:top w:val="nil"/>
              <w:left w:val="nil"/>
              <w:bottom w:val="nil"/>
              <w:right w:val="nil"/>
            </w:tcBorders>
            <w:shd w:val="clear" w:color="auto" w:fill="FFFFFF"/>
            <w:noWrap/>
            <w:vAlign w:val="center"/>
          </w:tcPr>
          <w:p w14:paraId="1619C45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&lt;0.001</w:t>
            </w:r>
          </w:p>
        </w:tc>
        <w:tc>
          <w:tcPr>
            <w:tcW w:w="0" w:type="auto"/>
            <w:tcBorders>
              <w:top w:val="nil"/>
              <w:left w:val="nil"/>
              <w:bottom w:val="nil"/>
              <w:right w:val="nil"/>
            </w:tcBorders>
            <w:shd w:val="clear" w:color="auto" w:fill="FFFFFF"/>
            <w:noWrap/>
            <w:vAlign w:val="center"/>
          </w:tcPr>
          <w:p w14:paraId="08BCC37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1.38</w:t>
            </w:r>
          </w:p>
        </w:tc>
      </w:tr>
      <w:tr w14:paraId="4A45E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1643D1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照明水平</w:t>
            </w:r>
          </w:p>
        </w:tc>
        <w:tc>
          <w:tcPr>
            <w:tcW w:w="0" w:type="auto"/>
            <w:tcBorders>
              <w:top w:val="nil"/>
              <w:left w:val="nil"/>
              <w:bottom w:val="nil"/>
              <w:right w:val="nil"/>
            </w:tcBorders>
            <w:shd w:val="clear" w:color="auto" w:fill="FFFFFF"/>
            <w:noWrap/>
            <w:vAlign w:val="center"/>
          </w:tcPr>
          <w:p w14:paraId="54B09C4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0.29</w:t>
            </w:r>
          </w:p>
        </w:tc>
        <w:tc>
          <w:tcPr>
            <w:tcW w:w="0" w:type="auto"/>
            <w:tcBorders>
              <w:top w:val="nil"/>
              <w:left w:val="nil"/>
              <w:bottom w:val="nil"/>
              <w:right w:val="nil"/>
            </w:tcBorders>
            <w:shd w:val="clear" w:color="auto" w:fill="FFFFFF"/>
            <w:noWrap/>
            <w:vAlign w:val="center"/>
          </w:tcPr>
          <w:p w14:paraId="66CDF38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0.05</w:t>
            </w:r>
          </w:p>
        </w:tc>
        <w:tc>
          <w:tcPr>
            <w:tcW w:w="0" w:type="auto"/>
            <w:tcBorders>
              <w:top w:val="nil"/>
              <w:left w:val="nil"/>
              <w:bottom w:val="nil"/>
              <w:right w:val="nil"/>
            </w:tcBorders>
            <w:shd w:val="clear" w:color="auto" w:fill="FFFFFF"/>
            <w:noWrap/>
            <w:vAlign w:val="center"/>
          </w:tcPr>
          <w:p w14:paraId="17505B0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0.34</w:t>
            </w:r>
          </w:p>
        </w:tc>
        <w:tc>
          <w:tcPr>
            <w:tcW w:w="0" w:type="auto"/>
            <w:tcBorders>
              <w:top w:val="nil"/>
              <w:left w:val="nil"/>
              <w:bottom w:val="nil"/>
              <w:right w:val="nil"/>
            </w:tcBorders>
            <w:shd w:val="clear" w:color="auto" w:fill="FFFFFF"/>
            <w:noWrap/>
            <w:vAlign w:val="center"/>
          </w:tcPr>
          <w:p w14:paraId="681185F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5.8</w:t>
            </w:r>
          </w:p>
        </w:tc>
        <w:tc>
          <w:tcPr>
            <w:tcW w:w="0" w:type="auto"/>
            <w:tcBorders>
              <w:top w:val="nil"/>
              <w:left w:val="nil"/>
              <w:bottom w:val="nil"/>
              <w:right w:val="nil"/>
            </w:tcBorders>
            <w:shd w:val="clear" w:color="auto" w:fill="FFFFFF"/>
            <w:noWrap/>
            <w:vAlign w:val="center"/>
          </w:tcPr>
          <w:p w14:paraId="4061CEA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&lt;0.001</w:t>
            </w:r>
          </w:p>
        </w:tc>
        <w:tc>
          <w:tcPr>
            <w:tcW w:w="0" w:type="auto"/>
            <w:tcBorders>
              <w:top w:val="nil"/>
              <w:left w:val="nil"/>
              <w:bottom w:val="nil"/>
              <w:right w:val="nil"/>
            </w:tcBorders>
            <w:shd w:val="clear" w:color="auto" w:fill="FFFFFF"/>
            <w:noWrap/>
            <w:vAlign w:val="center"/>
          </w:tcPr>
          <w:p w14:paraId="1436C71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1.25</w:t>
            </w:r>
          </w:p>
        </w:tc>
      </w:tr>
      <w:tr w14:paraId="38A66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4262BE2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标识密度</w:t>
            </w:r>
          </w:p>
        </w:tc>
        <w:tc>
          <w:tcPr>
            <w:tcW w:w="0" w:type="auto"/>
            <w:tcBorders>
              <w:top w:val="nil"/>
              <w:left w:val="nil"/>
              <w:bottom w:val="nil"/>
              <w:right w:val="nil"/>
            </w:tcBorders>
            <w:shd w:val="clear" w:color="auto" w:fill="FFFFFF"/>
            <w:noWrap/>
            <w:vAlign w:val="center"/>
          </w:tcPr>
          <w:p w14:paraId="4029F86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0.25</w:t>
            </w:r>
          </w:p>
        </w:tc>
        <w:tc>
          <w:tcPr>
            <w:tcW w:w="0" w:type="auto"/>
            <w:tcBorders>
              <w:top w:val="nil"/>
              <w:left w:val="nil"/>
              <w:bottom w:val="nil"/>
              <w:right w:val="nil"/>
            </w:tcBorders>
            <w:shd w:val="clear" w:color="auto" w:fill="FFFFFF"/>
            <w:noWrap/>
            <w:vAlign w:val="center"/>
          </w:tcPr>
          <w:p w14:paraId="36E463C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0.05</w:t>
            </w:r>
          </w:p>
        </w:tc>
        <w:tc>
          <w:tcPr>
            <w:tcW w:w="0" w:type="auto"/>
            <w:tcBorders>
              <w:top w:val="nil"/>
              <w:left w:val="nil"/>
              <w:bottom w:val="nil"/>
              <w:right w:val="nil"/>
            </w:tcBorders>
            <w:shd w:val="clear" w:color="auto" w:fill="FFFFFF"/>
            <w:noWrap/>
            <w:vAlign w:val="center"/>
          </w:tcPr>
          <w:p w14:paraId="460C10E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0.28</w:t>
            </w:r>
          </w:p>
        </w:tc>
        <w:tc>
          <w:tcPr>
            <w:tcW w:w="0" w:type="auto"/>
            <w:tcBorders>
              <w:top w:val="nil"/>
              <w:left w:val="nil"/>
              <w:bottom w:val="nil"/>
              <w:right w:val="nil"/>
            </w:tcBorders>
            <w:shd w:val="clear" w:color="auto" w:fill="FFFFFF"/>
            <w:noWrap/>
            <w:vAlign w:val="center"/>
          </w:tcPr>
          <w:p w14:paraId="3F9CC5B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5</w:t>
            </w:r>
          </w:p>
        </w:tc>
        <w:tc>
          <w:tcPr>
            <w:tcW w:w="0" w:type="auto"/>
            <w:tcBorders>
              <w:top w:val="nil"/>
              <w:left w:val="nil"/>
              <w:bottom w:val="nil"/>
              <w:right w:val="nil"/>
            </w:tcBorders>
            <w:shd w:val="clear" w:color="auto" w:fill="FFFFFF"/>
            <w:noWrap/>
            <w:vAlign w:val="center"/>
          </w:tcPr>
          <w:p w14:paraId="4C31087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&lt;0.001</w:t>
            </w:r>
          </w:p>
        </w:tc>
        <w:tc>
          <w:tcPr>
            <w:tcW w:w="0" w:type="auto"/>
            <w:tcBorders>
              <w:top w:val="nil"/>
              <w:left w:val="nil"/>
              <w:bottom w:val="nil"/>
              <w:right w:val="nil"/>
            </w:tcBorders>
            <w:shd w:val="clear" w:color="auto" w:fill="FFFFFF"/>
            <w:noWrap/>
            <w:vAlign w:val="center"/>
          </w:tcPr>
          <w:p w14:paraId="5ECDAC2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1.32</w:t>
            </w:r>
          </w:p>
        </w:tc>
      </w:tr>
      <w:tr w14:paraId="362B8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47507C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分隔形式</w:t>
            </w:r>
          </w:p>
        </w:tc>
        <w:tc>
          <w:tcPr>
            <w:tcW w:w="0" w:type="auto"/>
            <w:tcBorders>
              <w:top w:val="nil"/>
              <w:left w:val="nil"/>
              <w:bottom w:val="nil"/>
              <w:right w:val="nil"/>
            </w:tcBorders>
            <w:shd w:val="clear" w:color="auto" w:fill="FFFFFF"/>
            <w:noWrap/>
            <w:vAlign w:val="center"/>
          </w:tcPr>
          <w:p w14:paraId="33B4C12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w:t>
            </w:r>
          </w:p>
        </w:tc>
        <w:tc>
          <w:tcPr>
            <w:tcW w:w="0" w:type="auto"/>
            <w:tcBorders>
              <w:top w:val="nil"/>
              <w:left w:val="nil"/>
              <w:bottom w:val="nil"/>
              <w:right w:val="nil"/>
            </w:tcBorders>
            <w:shd w:val="clear" w:color="auto" w:fill="FFFFFF"/>
            <w:noWrap/>
            <w:vAlign w:val="center"/>
          </w:tcPr>
          <w:p w14:paraId="19B51AF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0.06</w:t>
            </w:r>
          </w:p>
        </w:tc>
        <w:tc>
          <w:tcPr>
            <w:tcW w:w="0" w:type="auto"/>
            <w:tcBorders>
              <w:top w:val="nil"/>
              <w:left w:val="nil"/>
              <w:bottom w:val="nil"/>
              <w:right w:val="nil"/>
            </w:tcBorders>
            <w:shd w:val="clear" w:color="auto" w:fill="FFFFFF"/>
            <w:noWrap/>
            <w:vAlign w:val="center"/>
          </w:tcPr>
          <w:p w14:paraId="4963B2B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0.22</w:t>
            </w:r>
          </w:p>
        </w:tc>
        <w:tc>
          <w:tcPr>
            <w:tcW w:w="0" w:type="auto"/>
            <w:tcBorders>
              <w:top w:val="nil"/>
              <w:left w:val="nil"/>
              <w:bottom w:val="nil"/>
              <w:right w:val="nil"/>
            </w:tcBorders>
            <w:shd w:val="clear" w:color="auto" w:fill="FFFFFF"/>
            <w:noWrap/>
            <w:vAlign w:val="center"/>
          </w:tcPr>
          <w:p w14:paraId="7792248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3.33</w:t>
            </w:r>
          </w:p>
        </w:tc>
        <w:tc>
          <w:tcPr>
            <w:tcW w:w="0" w:type="auto"/>
            <w:tcBorders>
              <w:top w:val="nil"/>
              <w:left w:val="nil"/>
              <w:bottom w:val="nil"/>
              <w:right w:val="nil"/>
            </w:tcBorders>
            <w:shd w:val="clear" w:color="auto" w:fill="FFFFFF"/>
            <w:noWrap/>
            <w:vAlign w:val="center"/>
          </w:tcPr>
          <w:p w14:paraId="238471B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0.001</w:t>
            </w:r>
          </w:p>
        </w:tc>
        <w:tc>
          <w:tcPr>
            <w:tcW w:w="0" w:type="auto"/>
            <w:tcBorders>
              <w:top w:val="nil"/>
              <w:left w:val="nil"/>
              <w:bottom w:val="nil"/>
              <w:right w:val="nil"/>
            </w:tcBorders>
            <w:shd w:val="clear" w:color="auto" w:fill="FFFFFF"/>
            <w:noWrap/>
            <w:vAlign w:val="center"/>
          </w:tcPr>
          <w:p w14:paraId="4ACBC35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1.48</w:t>
            </w:r>
          </w:p>
        </w:tc>
      </w:tr>
      <w:tr w14:paraId="11D27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071C7B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交通流量</w:t>
            </w:r>
          </w:p>
        </w:tc>
        <w:tc>
          <w:tcPr>
            <w:tcW w:w="0" w:type="auto"/>
            <w:tcBorders>
              <w:top w:val="nil"/>
              <w:left w:val="nil"/>
              <w:bottom w:val="nil"/>
              <w:right w:val="nil"/>
            </w:tcBorders>
            <w:shd w:val="clear" w:color="auto" w:fill="FFFFFF"/>
            <w:noWrap/>
            <w:vAlign w:val="center"/>
          </w:tcPr>
          <w:p w14:paraId="6C119F8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-0.17</w:t>
            </w:r>
          </w:p>
        </w:tc>
        <w:tc>
          <w:tcPr>
            <w:tcW w:w="0" w:type="auto"/>
            <w:tcBorders>
              <w:top w:val="nil"/>
              <w:left w:val="nil"/>
              <w:bottom w:val="nil"/>
              <w:right w:val="nil"/>
            </w:tcBorders>
            <w:shd w:val="clear" w:color="auto" w:fill="FFFFFF"/>
            <w:noWrap/>
            <w:vAlign w:val="center"/>
          </w:tcPr>
          <w:p w14:paraId="6CA044F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0.05</w:t>
            </w:r>
          </w:p>
        </w:tc>
        <w:tc>
          <w:tcPr>
            <w:tcW w:w="0" w:type="auto"/>
            <w:tcBorders>
              <w:top w:val="nil"/>
              <w:left w:val="nil"/>
              <w:bottom w:val="nil"/>
              <w:right w:val="nil"/>
            </w:tcBorders>
            <w:shd w:val="clear" w:color="auto" w:fill="FFFFFF"/>
            <w:noWrap/>
            <w:vAlign w:val="center"/>
          </w:tcPr>
          <w:p w14:paraId="7D3CE28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-0.19</w:t>
            </w:r>
          </w:p>
        </w:tc>
        <w:tc>
          <w:tcPr>
            <w:tcW w:w="0" w:type="auto"/>
            <w:tcBorders>
              <w:top w:val="nil"/>
              <w:left w:val="nil"/>
              <w:bottom w:val="nil"/>
              <w:right w:val="nil"/>
            </w:tcBorders>
            <w:shd w:val="clear" w:color="auto" w:fill="FFFFFF"/>
            <w:noWrap/>
            <w:vAlign w:val="center"/>
          </w:tcPr>
          <w:p w14:paraId="0BA788C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-3.4</w:t>
            </w:r>
          </w:p>
        </w:tc>
        <w:tc>
          <w:tcPr>
            <w:tcW w:w="0" w:type="auto"/>
            <w:tcBorders>
              <w:top w:val="nil"/>
              <w:left w:val="nil"/>
              <w:bottom w:val="nil"/>
              <w:right w:val="nil"/>
            </w:tcBorders>
            <w:shd w:val="clear" w:color="auto" w:fill="FFFFFF"/>
            <w:noWrap/>
            <w:vAlign w:val="center"/>
          </w:tcPr>
          <w:p w14:paraId="04DC053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0.001</w:t>
            </w:r>
          </w:p>
        </w:tc>
        <w:tc>
          <w:tcPr>
            <w:tcW w:w="0" w:type="auto"/>
            <w:tcBorders>
              <w:top w:val="nil"/>
              <w:left w:val="nil"/>
              <w:bottom w:val="nil"/>
              <w:right w:val="nil"/>
            </w:tcBorders>
            <w:shd w:val="clear" w:color="auto" w:fill="FFFFFF"/>
            <w:noWrap/>
            <w:vAlign w:val="center"/>
          </w:tcPr>
          <w:p w14:paraId="1F58CBB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1.55</w:t>
            </w:r>
          </w:p>
        </w:tc>
      </w:tr>
      <w:tr w14:paraId="145B2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FFFFFF"/>
            <w:noWrap/>
            <w:vAlign w:val="center"/>
          </w:tcPr>
          <w:p w14:paraId="43A961E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路面质量</w:t>
            </w:r>
          </w:p>
        </w:tc>
        <w:tc>
          <w:tcPr>
            <w:tcW w:w="0" w:type="auto"/>
            <w:tcBorders>
              <w:top w:val="nil"/>
              <w:left w:val="nil"/>
              <w:bottom w:val="single" w:color="000000" w:sz="4" w:space="0"/>
              <w:right w:val="nil"/>
            </w:tcBorders>
            <w:shd w:val="clear" w:color="auto" w:fill="FFFFFF"/>
            <w:noWrap/>
            <w:vAlign w:val="center"/>
          </w:tcPr>
          <w:p w14:paraId="791C322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w:t>
            </w:r>
          </w:p>
        </w:tc>
        <w:tc>
          <w:tcPr>
            <w:tcW w:w="0" w:type="auto"/>
            <w:tcBorders>
              <w:top w:val="nil"/>
              <w:left w:val="nil"/>
              <w:bottom w:val="single" w:color="000000" w:sz="4" w:space="0"/>
              <w:right w:val="nil"/>
            </w:tcBorders>
            <w:shd w:val="clear" w:color="auto" w:fill="FFFFFF"/>
            <w:noWrap/>
            <w:vAlign w:val="center"/>
          </w:tcPr>
          <w:p w14:paraId="65AF58C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0.05</w:t>
            </w:r>
          </w:p>
        </w:tc>
        <w:tc>
          <w:tcPr>
            <w:tcW w:w="0" w:type="auto"/>
            <w:tcBorders>
              <w:top w:val="nil"/>
              <w:left w:val="nil"/>
              <w:bottom w:val="single" w:color="000000" w:sz="4" w:space="0"/>
              <w:right w:val="nil"/>
            </w:tcBorders>
            <w:shd w:val="clear" w:color="auto" w:fill="FFFFFF"/>
            <w:noWrap/>
            <w:vAlign w:val="center"/>
          </w:tcPr>
          <w:p w14:paraId="1516A99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0.16</w:t>
            </w:r>
          </w:p>
        </w:tc>
        <w:tc>
          <w:tcPr>
            <w:tcW w:w="0" w:type="auto"/>
            <w:tcBorders>
              <w:top w:val="nil"/>
              <w:left w:val="nil"/>
              <w:bottom w:val="single" w:color="000000" w:sz="4" w:space="0"/>
              <w:right w:val="nil"/>
            </w:tcBorders>
            <w:shd w:val="clear" w:color="auto" w:fill="FFFFFF"/>
            <w:noWrap/>
            <w:vAlign w:val="center"/>
          </w:tcPr>
          <w:p w14:paraId="3C794D4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2.8</w:t>
            </w:r>
          </w:p>
        </w:tc>
        <w:tc>
          <w:tcPr>
            <w:tcW w:w="0" w:type="auto"/>
            <w:tcBorders>
              <w:top w:val="nil"/>
              <w:left w:val="nil"/>
              <w:bottom w:val="single" w:color="000000" w:sz="4" w:space="0"/>
              <w:right w:val="nil"/>
            </w:tcBorders>
            <w:shd w:val="clear" w:color="auto" w:fill="FFFFFF"/>
            <w:noWrap/>
            <w:vAlign w:val="center"/>
          </w:tcPr>
          <w:p w14:paraId="3BDA74C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0.007</w:t>
            </w:r>
          </w:p>
        </w:tc>
        <w:tc>
          <w:tcPr>
            <w:tcW w:w="0" w:type="auto"/>
            <w:tcBorders>
              <w:top w:val="nil"/>
              <w:left w:val="nil"/>
              <w:bottom w:val="single" w:color="000000" w:sz="4" w:space="0"/>
              <w:right w:val="nil"/>
            </w:tcBorders>
            <w:shd w:val="clear" w:color="auto" w:fill="FFFFFF"/>
            <w:noWrap/>
            <w:vAlign w:val="center"/>
          </w:tcPr>
          <w:p w14:paraId="4D5CEED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1.35</w:t>
            </w:r>
          </w:p>
        </w:tc>
      </w:tr>
    </w:tbl>
    <w:p w14:paraId="71E6AF9F">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注：视距条件和景观复杂度未进入</w:t>
      </w:r>
      <w:r>
        <w:rPr>
          <w:rFonts w:hint="default" w:ascii="Times New Roman" w:hAnsi="Times New Roman" w:cs="Times New Roman"/>
          <w:lang w:val="en-US" w:eastAsia="zh-CN"/>
        </w:rPr>
        <w:t>统计表格</w:t>
      </w:r>
      <w:r>
        <w:rPr>
          <w:rFonts w:hint="eastAsia" w:ascii="Times New Roman" w:hAnsi="Times New Roman" w:cs="Times New Roman"/>
          <w:lang w:val="en-US" w:eastAsia="zh-CN"/>
        </w:rPr>
        <w:t>（</w:t>
      </w:r>
      <w:r>
        <w:rPr>
          <w:rFonts w:hint="default" w:ascii="Times New Roman" w:hAnsi="Times New Roman" w:eastAsia="宋体" w:cs="Times New Roman"/>
          <w:lang w:eastAsia="zh-CN"/>
        </w:rPr>
        <w:t>p&gt;0.05</w:t>
      </w:r>
      <w:r>
        <w:rPr>
          <w:rFonts w:hint="eastAsia" w:ascii="Times New Roman" w:hAnsi="Times New Roman" w:cs="Times New Roman"/>
          <w:lang w:eastAsia="zh-CN"/>
        </w:rPr>
        <w:t>）</w:t>
      </w:r>
    </w:p>
    <w:p w14:paraId="005E8773">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jc w:val="both"/>
        <w:textAlignment w:val="auto"/>
        <w:rPr>
          <w:rFonts w:hint="default" w:ascii="Times New Roman" w:hAnsi="Times New Roman" w:eastAsia="宋体" w:cs="Times New Roman"/>
          <w:lang w:eastAsia="zh-CN"/>
        </w:rPr>
      </w:pPr>
    </w:p>
    <w:p w14:paraId="5A6C3EC9">
      <w:pPr>
        <w:pStyle w:val="4"/>
        <w:numPr>
          <w:ilvl w:val="0"/>
          <w:numId w:val="4"/>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基于深度访谈与参与式设计工作坊的安全引导系统需求产出</w:t>
      </w:r>
    </w:p>
    <w:p w14:paraId="0EB45A64">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同时，在30名深度访谈对象与16名未重复参与工作坊的成员（合计46人）中，受试者普遍对现有标识系统提出了批评，反映了五个主要问题。第一，信息密度不足是最突出的问题，78.3%的受访者认为关键位置缺乏必要提示，尤其是在高风险与视线受限区域，正如一位参与者所言：“很多危险的地方什么提示都没有，全靠自己小心”。第二，可见性欠佳，65.2%的受访者指出标识在特定光照条件下难以识别，夜间尤为明显；一名参与者提到：“晚上很多标识都看不清，走到跟前才发现”。第三，信息理解困难，52.2%的受访者表示部分标识含义模糊，需要额外努力才能解读，如“有些图案不知道什么意思，要猜半天”。第四，标识设置位置不合理，47.8%的参与者指出标识往往不在视觉习惯的关注范围内，或被遮挡，例如：“标志在很高的地方，或者藏在树后面，不容易看到”。第五，43.5%的受访者认为标识缺乏连贯性，未形成系统化的引导结构，一位参与者直言：“东一个西一个，没有连续的指引，还是会迷糊”。整体来看，以上反馈显示出当前共享道路交通安全引导系统在信息量、可视性、可理解性、布局合理性与系统性方面均存在明显不足。综合深度访谈及参与式设计工作坊的结果，本研究将面向高校共享道路的交通参与者安全引导系统需求进行了整合和总结，如表19所示。</w:t>
      </w:r>
    </w:p>
    <w:p w14:paraId="60915B7D">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p>
    <w:p w14:paraId="6EFC9CE0">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表</w:t>
      </w:r>
      <w:r>
        <w:rPr>
          <w:rFonts w:hint="eastAsia" w:ascii="Times New Roman" w:hAnsi="Times New Roman" w:cs="Times New Roman"/>
          <w:lang w:val="en-US" w:eastAsia="zh-CN"/>
        </w:rPr>
        <w:t>19 面向高校共享道路参与者的安全</w:t>
      </w:r>
      <w:r>
        <w:rPr>
          <w:rFonts w:hint="default" w:ascii="Times New Roman" w:hAnsi="Times New Roman" w:cs="Times New Roman"/>
          <w:lang w:val="en-US" w:eastAsia="zh-CN"/>
        </w:rPr>
        <w:t>引导系统需求清单</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96"/>
        <w:gridCol w:w="3696"/>
      </w:tblGrid>
      <w:tr w14:paraId="4C3D6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jc w:val="center"/>
        </w:trPr>
        <w:tc>
          <w:tcPr>
            <w:tcW w:w="1896" w:type="dxa"/>
            <w:tcBorders>
              <w:top w:val="single" w:color="000000" w:sz="4" w:space="0"/>
              <w:left w:val="nil"/>
              <w:bottom w:val="single" w:color="000000" w:sz="12" w:space="0"/>
              <w:right w:val="nil"/>
            </w:tcBorders>
            <w:shd w:val="clear" w:color="auto" w:fill="FFFFFF"/>
            <w:noWrap/>
            <w:vAlign w:val="center"/>
          </w:tcPr>
          <w:p w14:paraId="21816BE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需求维度</w:t>
            </w:r>
          </w:p>
        </w:tc>
        <w:tc>
          <w:tcPr>
            <w:tcW w:w="3696" w:type="dxa"/>
            <w:tcBorders>
              <w:top w:val="single" w:color="000000" w:sz="4" w:space="0"/>
              <w:left w:val="nil"/>
              <w:bottom w:val="single" w:color="000000" w:sz="12" w:space="0"/>
              <w:right w:val="nil"/>
            </w:tcBorders>
            <w:shd w:val="clear" w:color="auto" w:fill="FFFFFF"/>
            <w:noWrap/>
            <w:vAlign w:val="center"/>
          </w:tcPr>
          <w:p w14:paraId="75FFF54C">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具体设计要素</w:t>
            </w:r>
          </w:p>
        </w:tc>
      </w:tr>
      <w:tr w14:paraId="5F07D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restart"/>
            <w:tcBorders>
              <w:top w:val="single" w:color="000000" w:sz="12" w:space="0"/>
              <w:left w:val="nil"/>
              <w:bottom w:val="single" w:color="000000" w:sz="4" w:space="0"/>
              <w:right w:val="nil"/>
            </w:tcBorders>
            <w:shd w:val="clear" w:color="auto" w:fill="FFFFFF"/>
            <w:noWrap/>
            <w:vAlign w:val="center"/>
          </w:tcPr>
          <w:p w14:paraId="01BF204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空间路权界定</w:t>
            </w:r>
          </w:p>
        </w:tc>
        <w:tc>
          <w:tcPr>
            <w:tcW w:w="3696" w:type="dxa"/>
            <w:tcBorders>
              <w:top w:val="single" w:color="000000" w:sz="12" w:space="0"/>
              <w:left w:val="nil"/>
              <w:bottom w:val="nil"/>
              <w:right w:val="nil"/>
              <w:tl2br w:val="nil"/>
            </w:tcBorders>
            <w:shd w:val="clear" w:color="auto" w:fill="FFFFFF"/>
            <w:noWrap/>
            <w:vAlign w:val="center"/>
          </w:tcPr>
          <w:p w14:paraId="1C42819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1.1色彩编码的通行区域划分</w:t>
            </w:r>
          </w:p>
        </w:tc>
      </w:tr>
      <w:tr w14:paraId="51967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3E3E827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28E542E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1.2地面纹理差异的触觉反馈</w:t>
            </w:r>
          </w:p>
        </w:tc>
      </w:tr>
      <w:tr w14:paraId="5462D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EC8A14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76DE42B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1.3交叉口冲突区域的醒目标注</w:t>
            </w:r>
          </w:p>
        </w:tc>
      </w:tr>
      <w:tr w14:paraId="4F51F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13204BD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43320C5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1.4渐变式过渡区设计</w:t>
            </w:r>
          </w:p>
        </w:tc>
      </w:tr>
    </w:tbl>
    <w:p w14:paraId="477551ED">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表19 面向高校共享道路参与者的安全引导系统需求清单（续）</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96"/>
        <w:gridCol w:w="3696"/>
      </w:tblGrid>
      <w:tr w14:paraId="28A64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restart"/>
            <w:tcBorders>
              <w:top w:val="single" w:color="000000" w:sz="4" w:space="0"/>
              <w:left w:val="nil"/>
              <w:bottom w:val="single" w:color="000000" w:sz="4" w:space="0"/>
              <w:right w:val="nil"/>
            </w:tcBorders>
            <w:shd w:val="clear" w:color="auto" w:fill="FFFFFF"/>
            <w:noWrap/>
            <w:vAlign w:val="center"/>
          </w:tcPr>
          <w:p w14:paraId="7DCC7CE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风险信息显性化</w:t>
            </w:r>
          </w:p>
        </w:tc>
        <w:tc>
          <w:tcPr>
            <w:tcW w:w="3696" w:type="dxa"/>
            <w:tcBorders>
              <w:top w:val="single" w:color="000000" w:sz="4" w:space="0"/>
              <w:left w:val="nil"/>
              <w:bottom w:val="nil"/>
              <w:right w:val="nil"/>
              <w:tl2br w:val="nil"/>
            </w:tcBorders>
            <w:shd w:val="clear" w:color="auto" w:fill="FFFFFF"/>
            <w:noWrap/>
            <w:vAlign w:val="center"/>
          </w:tcPr>
          <w:p w14:paraId="7E0FEC9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2.1盲区提示标识（镜面/投影）</w:t>
            </w:r>
          </w:p>
        </w:tc>
      </w:tr>
      <w:tr w14:paraId="43D93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E49385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4AD17BA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2.2速度差异警示系统</w:t>
            </w:r>
          </w:p>
        </w:tc>
      </w:tr>
      <w:tr w14:paraId="1D693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6CBBB21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62D587E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2.3动态交通流量显示</w:t>
            </w:r>
          </w:p>
        </w:tc>
      </w:tr>
      <w:tr w14:paraId="7583C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512ED69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77DAB86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2.4光环境条件下的风险等级提示</w:t>
            </w:r>
          </w:p>
        </w:tc>
      </w:tr>
      <w:tr w14:paraId="2F6B5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6E14B82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single" w:color="000000" w:sz="4" w:space="0"/>
              <w:right w:val="nil"/>
            </w:tcBorders>
            <w:shd w:val="clear" w:color="auto" w:fill="FFFFFF"/>
            <w:noWrap/>
            <w:vAlign w:val="center"/>
          </w:tcPr>
          <w:p w14:paraId="14876CD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2.5天气条件适应性标识</w:t>
            </w:r>
          </w:p>
        </w:tc>
      </w:tr>
      <w:tr w14:paraId="752CC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restart"/>
            <w:tcBorders>
              <w:top w:val="single" w:color="000000" w:sz="4" w:space="0"/>
              <w:left w:val="nil"/>
              <w:bottom w:val="single" w:color="000000" w:sz="4" w:space="0"/>
              <w:right w:val="nil"/>
            </w:tcBorders>
            <w:shd w:val="clear" w:color="auto" w:fill="FFFFFF"/>
            <w:noWrap/>
            <w:vAlign w:val="center"/>
          </w:tcPr>
          <w:p w14:paraId="1797A6E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行为引导与规范</w:t>
            </w:r>
          </w:p>
        </w:tc>
        <w:tc>
          <w:tcPr>
            <w:tcW w:w="3696" w:type="dxa"/>
            <w:tcBorders>
              <w:top w:val="single" w:color="000000" w:sz="4" w:space="0"/>
              <w:left w:val="nil"/>
              <w:bottom w:val="nil"/>
              <w:right w:val="nil"/>
              <w:tl2br w:val="nil"/>
            </w:tcBorders>
            <w:shd w:val="clear" w:color="auto" w:fill="FFFFFF"/>
            <w:noWrap/>
            <w:vAlign w:val="center"/>
          </w:tcPr>
          <w:p w14:paraId="7C435E2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3.1推荐速度的视觉暗示</w:t>
            </w:r>
          </w:p>
        </w:tc>
      </w:tr>
      <w:tr w14:paraId="7E64C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53F8876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53B252C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3.2安全通行路径的连续标识</w:t>
            </w:r>
          </w:p>
        </w:tc>
      </w:tr>
      <w:tr w14:paraId="0A3D7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31C06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2CF3D43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3.3礼让行为的社会规范可视化</w:t>
            </w:r>
          </w:p>
        </w:tc>
      </w:tr>
      <w:tr w14:paraId="006FC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69AC26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6631925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3.4友善的违规提醒（非惩罚性）</w:t>
            </w:r>
          </w:p>
        </w:tc>
      </w:tr>
      <w:tr w14:paraId="69C53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14C216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single" w:color="000000" w:sz="4" w:space="0"/>
              <w:right w:val="nil"/>
            </w:tcBorders>
            <w:shd w:val="clear" w:color="auto" w:fill="FFFFFF"/>
            <w:noWrap/>
            <w:vAlign w:val="center"/>
          </w:tcPr>
          <w:p w14:paraId="56AEF9A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3.5行为示范的符号化呈现</w:t>
            </w:r>
          </w:p>
        </w:tc>
      </w:tr>
      <w:tr w14:paraId="5FE23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restart"/>
            <w:tcBorders>
              <w:top w:val="single" w:color="000000" w:sz="4" w:space="0"/>
              <w:left w:val="nil"/>
              <w:bottom w:val="single" w:color="000000" w:sz="4" w:space="0"/>
              <w:right w:val="nil"/>
            </w:tcBorders>
            <w:shd w:val="clear" w:color="auto" w:fill="FFFFFF"/>
            <w:noWrap/>
            <w:vAlign w:val="center"/>
          </w:tcPr>
          <w:p w14:paraId="08E5C1C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信息可达性优化</w:t>
            </w:r>
          </w:p>
        </w:tc>
        <w:tc>
          <w:tcPr>
            <w:tcW w:w="3696" w:type="dxa"/>
            <w:tcBorders>
              <w:top w:val="single" w:color="000000" w:sz="4" w:space="0"/>
              <w:left w:val="nil"/>
              <w:bottom w:val="nil"/>
              <w:right w:val="nil"/>
              <w:tl2br w:val="nil"/>
            </w:tcBorders>
            <w:shd w:val="clear" w:color="auto" w:fill="FFFFFF"/>
            <w:noWrap/>
            <w:vAlign w:val="center"/>
          </w:tcPr>
          <w:p w14:paraId="3DAE9E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4.1反光材料与主动发光结合</w:t>
            </w:r>
          </w:p>
        </w:tc>
      </w:tr>
      <w:tr w14:paraId="6100D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149E6A4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181FEEE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4.2标识高度适配视线习惯</w:t>
            </w:r>
          </w:p>
        </w:tc>
      </w:tr>
      <w:tr w14:paraId="1A023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7AD9D46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656A7CE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4.3分层信息架构（3秒法则）</w:t>
            </w:r>
          </w:p>
        </w:tc>
      </w:tr>
      <w:tr w14:paraId="185C8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285297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72FFBC1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4.4听觉信号的辅助提示</w:t>
            </w:r>
          </w:p>
        </w:tc>
      </w:tr>
      <w:tr w14:paraId="6B051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DA31A1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single" w:color="000000" w:sz="4" w:space="0"/>
              <w:right w:val="nil"/>
            </w:tcBorders>
            <w:shd w:val="clear" w:color="auto" w:fill="FFFFFF"/>
            <w:noWrap/>
            <w:vAlign w:val="center"/>
          </w:tcPr>
          <w:p w14:paraId="06A72E6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4.5图形化信息替代文字</w:t>
            </w:r>
          </w:p>
        </w:tc>
      </w:tr>
      <w:tr w14:paraId="3B14F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restart"/>
            <w:tcBorders>
              <w:top w:val="single" w:color="000000" w:sz="4" w:space="0"/>
              <w:left w:val="nil"/>
              <w:bottom w:val="single" w:color="000000" w:sz="4" w:space="0"/>
              <w:right w:val="nil"/>
            </w:tcBorders>
            <w:shd w:val="clear" w:color="auto" w:fill="FFFFFF"/>
            <w:noWrap/>
            <w:vAlign w:val="center"/>
          </w:tcPr>
          <w:p w14:paraId="47AD155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环境舒适性提升</w:t>
            </w:r>
          </w:p>
        </w:tc>
        <w:tc>
          <w:tcPr>
            <w:tcW w:w="3696" w:type="dxa"/>
            <w:tcBorders>
              <w:top w:val="single" w:color="000000" w:sz="4" w:space="0"/>
              <w:left w:val="nil"/>
              <w:bottom w:val="nil"/>
              <w:right w:val="nil"/>
              <w:tl2br w:val="nil"/>
            </w:tcBorders>
            <w:shd w:val="clear" w:color="auto" w:fill="FFFFFF"/>
            <w:noWrap/>
            <w:vAlign w:val="center"/>
          </w:tcPr>
          <w:p w14:paraId="711F9E9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5.1视觉一致性与美学协调</w:t>
            </w:r>
          </w:p>
        </w:tc>
      </w:tr>
      <w:tr w14:paraId="07F31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381BB6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44AB544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5.2标识与景观的融合设计</w:t>
            </w:r>
          </w:p>
        </w:tc>
      </w:tr>
      <w:tr w14:paraId="0A08C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163EA0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6C948A7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5.3社会监督可见性（透明度提升）</w:t>
            </w:r>
          </w:p>
        </w:tc>
      </w:tr>
      <w:tr w14:paraId="368E1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99CB8F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single" w:color="000000" w:sz="4" w:space="0"/>
              <w:right w:val="nil"/>
            </w:tcBorders>
            <w:shd w:val="clear" w:color="auto" w:fill="FFFFFF"/>
            <w:noWrap/>
            <w:vAlign w:val="center"/>
          </w:tcPr>
          <w:p w14:paraId="30C384C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5.4情感化设计元素</w:t>
            </w:r>
          </w:p>
        </w:tc>
      </w:tr>
    </w:tbl>
    <w:p w14:paraId="7E9C8B95">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p>
    <w:p>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此外，为确定安全引导系统需求的优先级，本研究采用重要度-满意度分析（Importance-Performance Analysis,IPA）</w:t>
      </w:r>
      <w:r>
        <w:rPr>
          <w:rFonts w:hint="eastAsia" w:ascii="Times New Roman" w:hAnsi="Times New Roman" w:cs="Times New Roman"/>
          <w:i w:val="0"/>
          <w:color w:val="000000"/>
          <w:sz w:val="24"/>
          <w:szCs w:val="24"/>
          <w:lang w:val="en-US" w:eastAsia="zh-CN"/>
          <w:vertAlign w:val="superscript"/>
        </w:rPr>
        <w:t xml:space="preserve">[40]</w:t>
      </w:r>
      <w:r>
        <w:rPr>
          <w:rFonts w:hint="eastAsia" w:ascii="Times New Roman" w:hAnsi="Times New Roman" w:cs="Times New Roman"/>
          <w:i w:val="0"/>
          <w:color w:val="000000"/>
          <w:sz w:val="24"/>
          <w:szCs w:val="24"/>
          <w:lang w:val="en-US" w:eastAsia="zh-CN"/>
        </w:rPr>
        <w:t xml:space="preserve">。首先，将前期问卷开放题、深度访谈与参与式设计工作坊综合提炼的23项具体要素作为评价指标。随后，从既有访谈与工作坊参与者中招募20名代表性使用者，请其对每一要素分别从“重要度”和“满意度”两个维度进行评分，均采用1-5分李克特量表（1表示不重要/很不满意，5表示非常重要/很满意）。在此基础上，计算各要素的重要度均值与满意度均值，并以全体要素的重要度均值和满意度均值为分界线构建IPA二维坐标，将23个要素映射至四个象限：高重要-高满意、高重要-低满意、低重要-低满意及低重要-高满意。其中，落入“高重要-低满意”象限的要素被界定为优先改进对象，并结合参与式工作坊的点投票结果与专家评议，最终确定盲区提示标识、速度差异警示、推荐速度暗示、安全路径连续标识与夜间可见性保障等若干核心优先需求。另外，Kano模型分析进一步将校园共享道路中安全引导系统的要素划分为三类需求</w:t>
      </w:r>
      <w:r>
        <w:rPr>
          <w:rFonts w:hint="eastAsia" w:ascii="Times New Roman" w:hAnsi="Times New Roman" w:cs="Times New Roman"/>
          <w:i w:val="0"/>
          <w:color w:val="000000"/>
          <w:sz w:val="24"/>
          <w:szCs w:val="24"/>
          <w:lang w:val="en-US" w:eastAsia="zh-CN"/>
          <w:vertAlign w:val="superscript"/>
        </w:rPr>
        <w:t xml:space="preserve">[41]</w:t>
      </w:r>
      <w:r>
        <w:rPr>
          <w:rFonts w:hint="eastAsia" w:ascii="Times New Roman" w:hAnsi="Times New Roman" w:cs="Times New Roman"/>
          <w:i w:val="0"/>
          <w:color w:val="000000"/>
          <w:sz w:val="24"/>
          <w:szCs w:val="24"/>
          <w:lang w:val="en-US" w:eastAsia="zh-CN"/>
        </w:rPr>
        <w:t xml:space="preserve">（如图8所示）。首先，基本需求包括清晰的路权划分、交叉口冲突标注、夜间可见性保障以及标识适配性。其次，期望需求涵盖盲区提示、速度警示、推荐速度提示、标识适配性、安全路径指引和分层信息呈现。此类要素呈线性效应，实现程度越高，满意度提升越明显。最后，兴奋需求包括动态流量显示、社会规范可视化、听觉辅助提示、情感化设计元素以及景观融合设计。以上功能超出使用者的基本预期，具备提升体验与带来惊喜的潜力，但其缺失并不会引发不满。</w:t>
      </w:r>
    </w:p>
    <w:p w14:paraId="1B95E797">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p>
    <w:p w14:paraId="2AF556E8">
      <w:pPr>
        <w:pStyle w:val="4"/>
        <w:numPr>
          <w:ilvl w:val="0"/>
          <w:numId w:val="0"/>
        </w:numPr>
        <w:ind w:firstLine="480" w:firstLineChars="200"/>
        <w:jc w:val="center"/>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drawing>
          <wp:anchor distT="0" distB="0" distL="114300" distR="114300" simplePos="0" relativeHeight="251662336" behindDoc="0" locked="0" layoutInCell="1" allowOverlap="1">
            <wp:simplePos x="0" y="0"/>
            <wp:positionH relativeFrom="column">
              <wp:posOffset>319405</wp:posOffset>
            </wp:positionH>
            <wp:positionV relativeFrom="paragraph">
              <wp:posOffset>130810</wp:posOffset>
            </wp:positionV>
            <wp:extent cx="4769485" cy="2183765"/>
            <wp:effectExtent l="0" t="0" r="635" b="10795"/>
            <wp:wrapTopAndBottom/>
            <wp:docPr id="7" name="图片 7" descr="2025市社科联KANO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025市社科联KANO插图"/>
                    <pic:cNvPicPr>
                      <a:picLocks noChangeAspect="1"/>
                    </pic:cNvPicPr>
                  </pic:nvPicPr>
                  <pic:blipFill>
                    <a:blip r:embed="rId14"/>
                    <a:srcRect l="2859" t="6441" r="3100" b="6489"/>
                    <a:stretch>
                      <a:fillRect/>
                    </a:stretch>
                  </pic:blipFill>
                  <pic:spPr>
                    <a:xfrm>
                      <a:off x="0" y="0"/>
                      <a:ext cx="4769485" cy="2183765"/>
                    </a:xfrm>
                    <a:prstGeom prst="rect">
                      <a:avLst/>
                    </a:prstGeom>
                  </pic:spPr>
                </pic:pic>
              </a:graphicData>
            </a:graphic>
          </wp:anchor>
        </w:drawing>
      </w:r>
      <w:r>
        <w:rPr>
          <w:rFonts w:hint="eastAsia" w:ascii="Times New Roman" w:hAnsi="Times New Roman" w:cs="Times New Roman"/>
          <w:lang w:val="en-US" w:eastAsia="zh-CN"/>
        </w:rPr>
        <w:t>图8 高校共享道路安全引导系统需求清单</w:t>
      </w:r>
    </w:p>
    <w:p w14:paraId="6CDD4D2F">
      <w:pPr>
        <w:pStyle w:val="4"/>
        <w:numPr>
          <w:ilvl w:val="0"/>
          <w:numId w:val="0"/>
        </w:numPr>
        <w:ind w:firstLine="480" w:firstLineChars="200"/>
        <w:jc w:val="both"/>
        <w:rPr>
          <w:rFonts w:hint="default" w:ascii="Times New Roman" w:hAnsi="Times New Roman" w:eastAsia="宋体" w:cs="Times New Roman"/>
          <w:lang w:eastAsia="zh-CN"/>
        </w:rPr>
      </w:pPr>
    </w:p>
    <w:p w14:paraId="08A5768D">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高校共享道路安全引导策略生成与验证</w:t>
      </w:r>
    </w:p>
    <w:p w14:paraId="769C5B28">
      <w:pPr>
        <w:pStyle w:val="4"/>
        <w:jc w:val="both"/>
        <w:rPr>
          <w:rFonts w:hint="default" w:ascii="Times New Roman" w:hAnsi="Times New Roman" w:cs="Times New Roman"/>
        </w:rPr>
      </w:pPr>
      <w:r>
        <w:rPr>
          <w:rFonts w:hint="default" w:ascii="Times New Roman" w:hAnsi="Times New Roman" w:cs="Times New Roman"/>
        </w:rPr>
        <w:t>本研究</w:t>
      </w:r>
      <w:r>
        <w:rPr>
          <w:rFonts w:hint="eastAsia" w:ascii="Times New Roman" w:hAnsi="Times New Roman" w:cs="Times New Roman"/>
          <w:lang w:eastAsia="zh-CN"/>
        </w:rPr>
        <w:t>旨在</w:t>
      </w:r>
      <w:r>
        <w:rPr>
          <w:rFonts w:hint="default" w:ascii="Times New Roman" w:hAnsi="Times New Roman" w:cs="Times New Roman"/>
        </w:rPr>
        <w:t>开发一套</w:t>
      </w:r>
      <w:r>
        <w:rPr>
          <w:rFonts w:hint="eastAsia" w:ascii="Times New Roman" w:hAnsi="Times New Roman" w:cs="Times New Roman"/>
          <w:lang w:val="en-US" w:eastAsia="zh-CN"/>
        </w:rPr>
        <w:t>面向高校共享交通主要参与者的安全</w:t>
      </w:r>
      <w:r>
        <w:rPr>
          <w:rFonts w:hint="default" w:ascii="Times New Roman" w:hAnsi="Times New Roman" w:cs="Times New Roman"/>
        </w:rPr>
        <w:t>引导系统原型，以期通过设计介入的方式，有效改善校园共享道路中</w:t>
      </w:r>
      <w:r>
        <w:rPr>
          <w:rFonts w:hint="eastAsia" w:ascii="Times New Roman" w:hAnsi="Times New Roman" w:cs="Times New Roman"/>
          <w:lang w:val="en-US" w:eastAsia="zh-CN"/>
        </w:rPr>
        <w:t>行人与骑行者</w:t>
      </w:r>
      <w:r>
        <w:rPr>
          <w:rFonts w:hint="default" w:ascii="Times New Roman" w:hAnsi="Times New Roman" w:cs="Times New Roman"/>
        </w:rPr>
        <w:t>的空间感知能力，引导其形成规范的通行行为，最终实现</w:t>
      </w:r>
      <w:r>
        <w:rPr>
          <w:rFonts w:hint="eastAsia" w:ascii="Times New Roman" w:hAnsi="Times New Roman" w:cs="Times New Roman"/>
          <w:lang w:val="en-US" w:eastAsia="zh-CN"/>
        </w:rPr>
        <w:t>共享道路情境下</w:t>
      </w:r>
      <w:r>
        <w:rPr>
          <w:rFonts w:hint="default" w:ascii="Times New Roman" w:hAnsi="Times New Roman" w:cs="Times New Roman"/>
        </w:rPr>
        <w:t>交通安全水平的整体提升。该系统通过道路标识、标线设计、色彩编码、动态信息提示等多维度视觉元素的协同作用，为行人和骑行者提供清晰、直观</w:t>
      </w:r>
      <w:r>
        <w:rPr>
          <w:rFonts w:hint="eastAsia" w:ascii="Times New Roman" w:hAnsi="Times New Roman" w:cs="Times New Roman"/>
          <w:lang w:eastAsia="zh-CN"/>
        </w:rPr>
        <w:t>地</w:t>
      </w:r>
      <w:r>
        <w:rPr>
          <w:rFonts w:hint="eastAsia" w:ascii="Times New Roman" w:hAnsi="Times New Roman" w:cs="Times New Roman"/>
          <w:lang w:val="en-US" w:eastAsia="zh-CN"/>
        </w:rPr>
        <w:t>共享道路安全引导</w:t>
      </w:r>
      <w:r>
        <w:rPr>
          <w:rFonts w:hint="default" w:ascii="Times New Roman" w:hAnsi="Times New Roman" w:cs="Times New Roman"/>
        </w:rPr>
        <w:t>信息。</w:t>
      </w:r>
      <w:r>
        <w:rPr>
          <w:rFonts w:hint="eastAsia" w:ascii="Times New Roman" w:hAnsi="Times New Roman" w:cs="Times New Roman"/>
          <w:lang w:val="en-US" w:eastAsia="zh-CN"/>
        </w:rPr>
        <w:t>本</w:t>
      </w:r>
      <w:r>
        <w:rPr>
          <w:rFonts w:hint="default" w:ascii="Times New Roman" w:hAnsi="Times New Roman" w:cs="Times New Roman"/>
        </w:rPr>
        <w:t>研究特别关注视觉设计元素如何影响使用者的认知加工过程，以及如何通过设计干预促进不同交通参与者之间形成良性的互动关系。</w:t>
      </w:r>
      <w:r>
        <w:rPr>
          <w:rFonts w:hint="eastAsia" w:ascii="Times New Roman" w:hAnsi="Times New Roman" w:cs="Times New Roman"/>
          <w:lang w:val="en-US" w:eastAsia="zh-CN"/>
        </w:rPr>
        <w:t>此外，本研究还</w:t>
      </w:r>
      <w:r>
        <w:rPr>
          <w:rFonts w:hint="default" w:ascii="Times New Roman" w:hAnsi="Times New Roman" w:cs="Times New Roman"/>
        </w:rPr>
        <w:t>将形成一套基于可用性测试和安全性评估的设计验证方法体系，为后续的设计优化和推广应用提供科学依据。</w:t>
      </w:r>
    </w:p>
    <w:p w14:paraId="25A25A76">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.1校园共享道路安全</w:t>
      </w:r>
      <w:r>
        <w:rPr>
          <w:rFonts w:hint="eastAsia" w:ascii="黑体" w:hAnsi="黑体" w:eastAsia="黑体"/>
          <w:b w:val="0"/>
          <w:bCs w:val="0"/>
          <w:sz w:val="30"/>
          <w:szCs w:val="30"/>
          <w:lang w:val="en-US" w:eastAsia="zh-CN"/>
        </w:rPr>
        <w:t>引导</w:t>
      </w:r>
      <w:r>
        <w:rPr>
          <w:rFonts w:hint="default" w:ascii="黑体" w:hAnsi="黑体" w:eastAsia="黑体"/>
          <w:b w:val="0"/>
          <w:bCs w:val="0"/>
          <w:sz w:val="30"/>
          <w:szCs w:val="30"/>
          <w:lang w:val="en-US" w:eastAsia="zh-CN"/>
        </w:rPr>
        <w:t>系统</w:t>
      </w:r>
      <w:r>
        <w:rPr>
          <w:rFonts w:hint="eastAsia" w:ascii="黑体" w:hAnsi="黑体" w:eastAsia="黑体"/>
          <w:b w:val="0"/>
          <w:bCs w:val="0"/>
          <w:sz w:val="30"/>
          <w:szCs w:val="30"/>
          <w:lang w:val="en-US" w:eastAsia="zh-CN"/>
        </w:rPr>
        <w:t>研究方法</w:t>
      </w:r>
    </w:p>
    <w:p>
      <w:pPr>
        <w:pStyle w:val="4"/>
        <w:spacing w:before="120" w:after="120" w:line="360" w:lineRule="auto"/>
        <w:ind w:firstLine="480"/>
        <w:jc w:val="both"/>
        <w:rPr>
          <w:rFonts w:hint="default" w:ascii="Times New Roman" w:hAnsi="Times New Roman" w:cs="Times New Roman"/>
          <w:lang w:val="en-US" w:eastAsia="zh-CN"/>
        </w:rPr>
      </w:pPr>
      <w:r>
        <w:rPr>
          <w:rFonts w:ascii="Times New Roman" w:hAnsi="Times New Roman" w:eastAsia="宋体" w:cs="Times New Roman"/>
          <w:color w:val="000000"/>
          <w:sz w:val="24"/>
          <w:szCs w:val="24"/>
        </w:rPr>
        <w:t xml:space="preserve">本研究遵循“特征识别-模型构建-需求识别-策略生成”的迭代式设计研究范式，综合运用多种研究方法以确保研究的科学性和系统性。研究方法体系的构建基于设计学的“双钻模型”（Double Diamond Model）</w:t>
      </w:r>
      <w:r>
        <w:rPr>
          <w:rFonts w:ascii="Times New Roman" w:hAnsi="Times New Roman" w:eastAsia="宋体" w:cs="Times New Roman"/>
          <w:color w:val="000000"/>
          <w:sz w:val="24"/>
          <w:szCs w:val="24"/>
          <w:vertAlign w:val="superscript"/>
        </w:rPr>
        <w:t xml:space="preserve">[42]</w:t>
      </w:r>
      <w:r>
        <w:rPr>
          <w:rFonts w:ascii="Times New Roman" w:hAnsi="Times New Roman" w:eastAsia="宋体" w:cs="Times New Roman"/>
          <w:color w:val="000000"/>
          <w:sz w:val="24"/>
          <w:szCs w:val="24"/>
        </w:rPr>
        <w:t xml:space="preserve">，通过发散与收敛的循环过程，逐步明确设计问题、探索解决方案并验证设计效果。</w:t>
      </w:r>
    </w:p>
    <w:p>
      <w:pPr>
        <w:pStyle w:val="4"/>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 xml:space="preserve">基于前期研究获得的高校校园共享道路下共享交通主要参与者对安全引导系统的需求清单，本研究采用亲和图法和层次分析法对需求进行结构化分析。通过建立“需求-功能-形式”的映射关系</w:t>
      </w:r>
      <w:r>
        <w:rPr>
          <w:rFonts w:hint="default" w:ascii="Times New Roman" w:hAnsi="Times New Roman" w:eastAsia="宋体" w:cs="Times New Roman"/>
          <w:color w:val="000000"/>
          <w:sz w:val="24"/>
          <w:szCs w:val="24"/>
          <w:lang w:val="en-US" w:eastAsia="zh-CN"/>
          <w:vertAlign w:val="superscript"/>
        </w:rPr>
        <w:t xml:space="preserve">[43-44]</w:t>
      </w:r>
      <w:r>
        <w:rPr>
          <w:rFonts w:hint="default" w:ascii="Times New Roman" w:hAnsi="Times New Roman" w:eastAsia="宋体" w:cs="Times New Roman"/>
          <w:color w:val="000000"/>
          <w:sz w:val="24"/>
          <w:szCs w:val="24"/>
          <w:lang w:val="en-US" w:eastAsia="zh-CN"/>
        </w:rPr>
        <w:t xml:space="preserve">，将抽象的用户需求转化为具体的安全引导设计策略。在设计策略生成阶段，采用形态分析法（Morphological Analysis）系统梳理视觉引导系统的设计维度，包括信息层级、视觉编码、空间布局、时间序列等，通过构建设计策略矩阵，明确不同场景下的设计重点和实施路径。</w:t>
      </w:r>
    </w:p>
    <w:p w14:paraId="7F73DF9E">
      <w:pPr>
        <w:pStyle w:val="4"/>
        <w:spacing w:before="120" w:after="120" w:line="360" w:lineRule="auto"/>
        <w:ind w:firstLine="480"/>
        <w:jc w:val="both"/>
        <w:rPr>
          <w:rFonts w:hint="eastAsia" w:ascii="Times New Roman" w:hAnsi="Times New Roman" w:eastAsia="宋体" w:cs="Times New Roman"/>
          <w:color w:val="000000"/>
          <w:sz w:val="24"/>
          <w:szCs w:val="24"/>
          <w:lang w:val="en-US" w:eastAsia="zh-CN"/>
        </w:rPr>
      </w:pPr>
      <w:r>
        <w:rPr>
          <w:rFonts w:ascii="Times New Roman" w:hAnsi="Times New Roman" w:eastAsia="宋体" w:cs="Times New Roman"/>
          <w:color w:val="000000"/>
          <w:sz w:val="24"/>
          <w:szCs w:val="24"/>
        </w:rPr>
        <w:t>此外，在概念设计阶段，本研究采纳了参与式设计方法，邀请了包括交通工程专家、视觉设计师、校园管理者以及师生代表在内的多元利益相关者参与设计工作坊。通过运用头脑风暴、情景构建、角色扮演等创意生成技术，成功地产生了多样化的设计概念。为了筛选出满足</w:t>
      </w:r>
      <w:r>
        <w:rPr>
          <w:rFonts w:hint="eastAsia" w:ascii="Times New Roman" w:hAnsi="Times New Roman" w:cs="Times New Roman"/>
          <w:color w:val="000000"/>
          <w:sz w:val="24"/>
          <w:szCs w:val="24"/>
          <w:lang w:val="en-US" w:eastAsia="zh-CN"/>
        </w:rPr>
        <w:t>高校共享道路参与者</w:t>
      </w:r>
      <w:r>
        <w:rPr>
          <w:rFonts w:ascii="Times New Roman" w:hAnsi="Times New Roman" w:eastAsia="宋体" w:cs="Times New Roman"/>
          <w:color w:val="000000"/>
          <w:sz w:val="24"/>
          <w:szCs w:val="24"/>
        </w:rPr>
        <w:t>需求的</w:t>
      </w:r>
      <w:r>
        <w:rPr>
          <w:rFonts w:hint="eastAsia" w:ascii="Times New Roman" w:hAnsi="Times New Roman" w:cs="Times New Roman"/>
          <w:color w:val="000000"/>
          <w:sz w:val="24"/>
          <w:szCs w:val="24"/>
          <w:lang w:val="en-US" w:eastAsia="zh-CN"/>
        </w:rPr>
        <w:t>方案</w:t>
      </w:r>
      <w:r>
        <w:rPr>
          <w:rFonts w:ascii="Times New Roman" w:hAnsi="Times New Roman" w:eastAsia="宋体" w:cs="Times New Roman"/>
          <w:color w:val="000000"/>
          <w:sz w:val="24"/>
          <w:szCs w:val="24"/>
        </w:rPr>
        <w:t>，本研究在方案评选过程中采用了德尔菲法，并结合模糊综合评价方法，构建了一个包含功能性、美观性、可实施性、成本效益等维度的评价指标体系。通过专家打分和权重计算，对候选方案进行了综合排序。</w:t>
      </w:r>
    </w:p>
    <w:p w14:paraId="33B7E078">
      <w:pPr>
        <w:pStyle w:val="4"/>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进一步地，本研究在开发校园共享道路安全</w:t>
      </w:r>
      <w:r>
        <w:rPr>
          <w:rFonts w:hint="eastAsia" w:ascii="Times New Roman" w:hAnsi="Times New Roman" w:cs="Times New Roman"/>
          <w:color w:val="000000"/>
          <w:sz w:val="24"/>
          <w:szCs w:val="24"/>
          <w:lang w:val="en-US" w:eastAsia="zh-CN"/>
        </w:rPr>
        <w:t>引导</w:t>
      </w:r>
      <w:r>
        <w:rPr>
          <w:rFonts w:ascii="Times New Roman" w:hAnsi="Times New Roman" w:eastAsia="宋体" w:cs="Times New Roman"/>
          <w:color w:val="000000"/>
          <w:sz w:val="24"/>
          <w:szCs w:val="24"/>
        </w:rPr>
        <w:t>系统设计原型时，采用了迭代原型法，实现了从低保真度草图原型向中保真度数字原型的逐步演进。在此过程中，运用了3DMax、SketchUp等三维建模软件构建空间模型，并借助Adobe Photoshop进行视觉设计。在进行可用性测试时，本研究基于系统可用性量表框架，并结合任务分析法与出声思维法（Think Aloud）进行，以确保设计原型的科学性与有效性。</w:t>
      </w:r>
    </w:p>
    <w:p w14:paraId="1F3152CE">
      <w:pPr>
        <w:pStyle w:val="4"/>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ascii="Times New Roman" w:hAnsi="Times New Roman" w:eastAsia="宋体" w:cs="Times New Roman"/>
          <w:color w:val="000000"/>
          <w:sz w:val="24"/>
          <w:szCs w:val="24"/>
        </w:rPr>
        <w:t>最终，本研究采用基于人工智能的场景模拟技术进行安全性评估。利用Stable Diffusion、Midjourney等先进的人工智能图像生成工具，构建了在不同光照、天气和交通流量条件下的场景图像。</w:t>
      </w:r>
      <w:r>
        <w:rPr>
          <w:rFonts w:hint="eastAsia" w:ascii="Times New Roman" w:hAnsi="Times New Roman" w:cs="Times New Roman"/>
          <w:color w:val="000000"/>
          <w:sz w:val="24"/>
          <w:szCs w:val="24"/>
          <w:lang w:val="en-US" w:eastAsia="zh-CN"/>
        </w:rPr>
        <w:t>此外</w:t>
      </w:r>
      <w:r>
        <w:rPr>
          <w:rFonts w:ascii="Times New Roman" w:hAnsi="Times New Roman" w:eastAsia="宋体" w:cs="Times New Roman"/>
          <w:color w:val="000000"/>
          <w:sz w:val="24"/>
          <w:szCs w:val="24"/>
        </w:rPr>
        <w:t>，通过应用自行车服务水平模型以及感知使用者舒适度评估模型，对设计方案进行了定量分析</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为设计优化提供了定量依据</w:t>
      </w:r>
      <w:r>
        <w:rPr>
          <w:rFonts w:hint="eastAsia" w:ascii="Times New Roman" w:hAnsi="Times New Roman" w:eastAsia="宋体" w:cs="Times New Roman"/>
          <w:color w:val="000000"/>
          <w:sz w:val="24"/>
          <w:szCs w:val="24"/>
          <w:lang w:eastAsia="zh-CN"/>
        </w:rPr>
        <w:t>，</w:t>
      </w:r>
      <w:r>
        <w:rPr>
          <w:rFonts w:hint="eastAsia" w:ascii="Times New Roman" w:hAnsi="Times New Roman" w:cs="Times New Roman"/>
          <w:color w:val="000000"/>
          <w:sz w:val="24"/>
          <w:szCs w:val="24"/>
          <w:lang w:val="en-US" w:eastAsia="zh-CN"/>
        </w:rPr>
        <w:t>并</w:t>
      </w:r>
      <w:r>
        <w:rPr>
          <w:rFonts w:ascii="Times New Roman" w:hAnsi="Times New Roman" w:eastAsia="宋体" w:cs="Times New Roman"/>
          <w:color w:val="000000"/>
          <w:sz w:val="24"/>
          <w:szCs w:val="24"/>
        </w:rPr>
        <w:t>通过迭代优化的方法，实现设计方案的持续改进。</w:t>
      </w:r>
    </w:p>
    <w:p w14:paraId="329B7D41">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2高校</w:t>
      </w:r>
      <w:r>
        <w:rPr>
          <w:rFonts w:hint="default" w:ascii="黑体" w:hAnsi="黑体" w:eastAsia="黑体"/>
          <w:b w:val="0"/>
          <w:bCs w:val="0"/>
          <w:sz w:val="30"/>
          <w:szCs w:val="30"/>
          <w:lang w:val="en-US" w:eastAsia="zh-CN"/>
        </w:rPr>
        <w:t>共享道路安全</w:t>
      </w:r>
      <w:r>
        <w:rPr>
          <w:rFonts w:hint="eastAsia" w:ascii="黑体" w:hAnsi="黑体" w:eastAsia="黑体"/>
          <w:b w:val="0"/>
          <w:bCs w:val="0"/>
          <w:sz w:val="30"/>
          <w:szCs w:val="30"/>
          <w:lang w:val="en-US" w:eastAsia="zh-CN"/>
        </w:rPr>
        <w:t>引导策略生成</w:t>
      </w:r>
    </w:p>
    <w:p w14:paraId="6F1B5D47">
      <w:pPr>
        <w:pStyle w:val="4"/>
        <w:numPr>
          <w:ilvl w:val="0"/>
          <w:numId w:val="5"/>
        </w:numPr>
        <w:ind w:left="0" w:leftChars="0" w:firstLine="0" w:firstLineChars="0"/>
        <w:rPr>
          <w:rFonts w:hint="default" w:ascii="Times New Roman" w:hAnsi="Times New Roman" w:eastAsia="宋体" w:cs="Times New Roman"/>
          <w:color w:val="000000"/>
          <w:sz w:val="24"/>
          <w:szCs w:val="24"/>
          <w:lang w:val="en-US" w:eastAsia="zh-CN"/>
        </w:rPr>
      </w:pPr>
      <w:r>
        <w:rPr>
          <w:rFonts w:hint="eastAsia" w:ascii="Times New Roman" w:hAnsi="Times New Roman" w:eastAsia="黑体" w:cs="Times New Roman"/>
          <w:lang w:val="en-US" w:eastAsia="zh-CN"/>
        </w:rPr>
        <w:t>安全引导需求层级解析</w:t>
      </w:r>
    </w:p>
    <w:p w14:paraId="5A507A35">
      <w:pPr>
        <w:pStyle w:val="4"/>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本研究的核心任务在于对前期基于KANO模型调研所获取</w:t>
      </w:r>
      <w:r>
        <w:rPr>
          <w:rFonts w:hint="eastAsia" w:ascii="Times New Roman" w:hAnsi="Times New Roman" w:cs="Times New Roman"/>
          <w:color w:val="000000"/>
          <w:sz w:val="24"/>
          <w:szCs w:val="24"/>
          <w:lang w:eastAsia="zh-CN"/>
        </w:rPr>
        <w:t>的设</w:t>
      </w:r>
      <w:r>
        <w:rPr>
          <w:rFonts w:ascii="Times New Roman" w:hAnsi="Times New Roman" w:eastAsia="宋体" w:cs="Times New Roman"/>
          <w:color w:val="000000"/>
          <w:sz w:val="24"/>
          <w:szCs w:val="24"/>
        </w:rPr>
        <w:t>计需求进行深入分析与结构化整理。研究团队对86名校园道路使用者实施了系统化的问卷调查，采用KANO问卷的正向与反向提问相结合的方法，以识别各项</w:t>
      </w:r>
      <w:r>
        <w:rPr>
          <w:rFonts w:hint="eastAsia" w:ascii="Times New Roman" w:hAnsi="Times New Roman" w:cs="Times New Roman"/>
          <w:color w:val="000000"/>
          <w:sz w:val="24"/>
          <w:szCs w:val="24"/>
          <w:lang w:val="en-US" w:eastAsia="zh-CN"/>
        </w:rPr>
        <w:t>需求</w:t>
      </w:r>
      <w:r>
        <w:rPr>
          <w:rFonts w:ascii="Times New Roman" w:hAnsi="Times New Roman" w:eastAsia="宋体" w:cs="Times New Roman"/>
          <w:color w:val="000000"/>
          <w:sz w:val="24"/>
          <w:szCs w:val="24"/>
        </w:rPr>
        <w:t>要素对用户满意度的影响模式</w:t>
      </w:r>
      <w:r>
        <w:rPr>
          <w:rFonts w:hint="eastAsia" w:ascii="Times New Roman" w:hAnsi="Times New Roman" w:eastAsia="宋体" w:cs="Times New Roman"/>
          <w:color w:val="000000"/>
          <w:sz w:val="24"/>
          <w:szCs w:val="24"/>
          <w:lang w:eastAsia="zh-CN"/>
        </w:rPr>
        <w:t>（</w:t>
      </w:r>
      <w:r>
        <w:rPr>
          <w:rFonts w:hint="eastAsia" w:ascii="Times New Roman" w:hAnsi="Times New Roman" w:eastAsia="宋体" w:cs="Times New Roman"/>
          <w:color w:val="000000"/>
          <w:sz w:val="24"/>
          <w:szCs w:val="24"/>
          <w:lang w:val="en-US" w:eastAsia="zh-CN"/>
        </w:rPr>
        <w:t>结果如表20所示）</w:t>
      </w:r>
      <w:r>
        <w:rPr>
          <w:rFonts w:ascii="Times New Roman" w:hAnsi="Times New Roman" w:eastAsia="宋体" w:cs="Times New Roman"/>
          <w:color w:val="000000"/>
          <w:sz w:val="24"/>
          <w:szCs w:val="24"/>
        </w:rPr>
        <w:t>。通过数据统计与分类整理，最终确立了包含14项核心需求的</w:t>
      </w:r>
      <w:r>
        <w:rPr>
          <w:rFonts w:hint="eastAsia" w:ascii="Times New Roman" w:hAnsi="Times New Roman" w:eastAsia="宋体" w:cs="Times New Roman"/>
          <w:color w:val="000000"/>
          <w:sz w:val="24"/>
          <w:szCs w:val="24"/>
        </w:rPr>
        <w:t>高校共享道路安全引导系统需求清单</w:t>
      </w:r>
      <w:r>
        <w:rPr>
          <w:rFonts w:ascii="Times New Roman" w:hAnsi="Times New Roman" w:eastAsia="宋体" w:cs="Times New Roman"/>
          <w:color w:val="000000"/>
          <w:sz w:val="24"/>
          <w:szCs w:val="24"/>
        </w:rPr>
        <w:t>，并将其划分为基本需求、期望需求和兴奋需求三个层次。</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需要说明的是，本环节的86名受访者由三部分构成，分别为前期参与场景评价问卷的56人、参与深度访谈的18人以及参与设计工作坊的12人。三部分人员均具有校园共享道路的实际使用经验，且对前期所提炼的需求要素具备基本认知，能够胜任Kano问卷正向与反向提问所要求的判断。相较于正文4.3.3节基于20名代表性使用者的重要度—满意度分析，本环节扩大了样本规模，其作用在于对前期的初步需求分层结论进行验证与细化，两者互为补充而非重复。</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由23项具体要素收敛至14项核心需求，经历了三个步骤。第一步为语义合并，将表述相近、指向同一设计问题的要素予以归并，例如将“反光材料与主动发光结合”与“光环境条件下的风险等级提示”合并为“夜间可见性保障”，将“标识高度适配视线习惯”与“图形化信息替代文字”合并为“标识适配性”，此步共减少5项。第二步为层级归属判定，将属于实现手段而非需求本身的要素并入其上位需求，例如将“地面纹理差异的触觉反馈”与“渐变式过渡区设计”归入“清晰的路权划分”，此步共减少3项。第三步为可行性筛除，剔除在当前校园管理条件与投入水平下短期内难以落地的要素1项。经上述三步，23项要素最终收敛为14项核心需求。整个收敛过程由课题组与6名专家共同完成，每一步的归并与剔除均记录了对应依据，以保证过程的可追溯性。</w:t>
      </w:r>
    </w:p>
    <w:p w14:paraId="3D07C7DC">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在基本需求层次，共识别出4项关键要素，包括清晰的路权划分、交叉口冲突标注、夜间可见性保障以及标识适配性。</w:t>
      </w:r>
      <w:r>
        <w:rPr>
          <w:rFonts w:hint="eastAsia" w:ascii="Times New Roman" w:hAnsi="Times New Roman" w:cs="Times New Roman"/>
          <w:color w:val="000000"/>
          <w:sz w:val="24"/>
          <w:szCs w:val="24"/>
          <w:lang w:val="en-US" w:eastAsia="zh-CN"/>
        </w:rPr>
        <w:t>此类</w:t>
      </w:r>
      <w:r>
        <w:rPr>
          <w:rFonts w:ascii="Times New Roman" w:hAnsi="Times New Roman" w:eastAsia="宋体" w:cs="Times New Roman"/>
          <w:color w:val="000000"/>
          <w:sz w:val="24"/>
          <w:szCs w:val="24"/>
        </w:rPr>
        <w:t>需求属于“必备要素”，其特性在于系统满足这些需求时，用户认为是理所当然的，但若这些需求未被满足，则会引发用户的强烈不满。研究团队通过满意度</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不满意度二维分析发现，这四项基本需求的缺失导致的不满意度系数均超过0.8，表明其对系统的可接受性具有决定性影响。特别是清晰的路权划分这一需求，在访谈中被92%的受访者标记为“最低要求”，充分体现了其基础性地位。</w:t>
      </w:r>
    </w:p>
    <w:p w14:paraId="1061FF36">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期望需求层次涵盖5项设计要素，具体包括盲区提示、速度警示、推荐速度提示、安全路径指引和分层信息呈现。此类需求呈现明显的线性效应特征，即实现程度与用户满意度呈正相关关系。数据分析显示，这五项需求的满意度系数与实现度系数的相关系数在0.75至0.88之间，表明设计质量的提升能够带来用户满意度的同步增长。以速度警示功能为例，当仅提供基础的静态限速标识时，满意度评分为6.2分，而当增加动态速度反馈和超速提醒功能后，满意度提升至8.1分，增幅达到30.6%。</w:t>
      </w:r>
    </w:p>
    <w:p>
      <w:pPr>
        <w:pStyle w:val="4"/>
        <w:bidi w:val="0"/>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ascii="Times New Roman" w:hAnsi="Times New Roman" w:eastAsia="宋体" w:cs="Times New Roman"/>
          <w:color w:val="000000"/>
          <w:sz w:val="24"/>
          <w:szCs w:val="24"/>
        </w:rPr>
        <w:t xml:space="preserve">兴奋需求层次包含5项创新性设计元素，分别为动态流量显示、社会规范可视化、听觉辅助提示、情感化设计元素以及景观融合设计。这些功能超出了使用者的基本预期，具备显著提升体验与带来惊喜的潜力。KANO分析结果显示，这些要素的“魅力系数”均超过0.6，其中动态流量显示的魅力系数最高，达到0.74。值得注意的是，兴奋需求的缺失并不会引发用户不满，不满意度系数均低于0.2，但其实现能够创造超越预期的体验价值。在焦点小组讨论中，当研究团队展示社会规范可视化的概念原型时</w:t>
      </w:r>
      <w:r>
        <w:rPr>
          <w:rFonts w:ascii="Times New Roman" w:hAnsi="Times New Roman" w:eastAsia="宋体" w:cs="Times New Roman"/>
          <w:color w:val="000000"/>
          <w:sz w:val="24"/>
          <w:szCs w:val="24"/>
          <w:vertAlign w:val="superscript"/>
        </w:rPr>
        <w:t xml:space="preserve">[45]</w:t>
      </w:r>
      <w:r>
        <w:rPr>
          <w:rFonts w:ascii="Times New Roman" w:hAnsi="Times New Roman" w:eastAsia="宋体" w:cs="Times New Roman"/>
          <w:color w:val="000000"/>
          <w:sz w:val="24"/>
          <w:szCs w:val="24"/>
        </w:rPr>
        <w:t xml:space="preserve">，68%的参与者表示“非常感兴趣”并认为“这会让遵守规则变得更有动力”。</w:t>
      </w:r>
    </w:p>
    <w:p w14:paraId="3DEA2708">
      <w:pPr>
        <w:pStyle w:val="4"/>
        <w:spacing w:before="120" w:after="120" w:line="360" w:lineRule="auto"/>
        <w:ind w:firstLine="480"/>
        <w:jc w:val="both"/>
        <w:rPr>
          <w:rFonts w:hint="default" w:ascii="Times New Roman" w:hAnsi="Times New Roman" w:eastAsia="宋体" w:cs="Times New Roman"/>
          <w:color w:val="000000"/>
          <w:sz w:val="24"/>
          <w:szCs w:val="24"/>
          <w:lang w:val="en-US" w:eastAsia="zh-CN"/>
        </w:rPr>
      </w:pPr>
    </w:p>
    <w:p w14:paraId="63DA5D39">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表</w:t>
      </w:r>
      <w:r>
        <w:rPr>
          <w:rFonts w:hint="eastAsia" w:ascii="Times New Roman" w:hAnsi="Times New Roman" w:cs="Times New Roman"/>
          <w:lang w:val="en-US" w:eastAsia="zh-CN"/>
        </w:rPr>
        <w:t>20 基于KANO模型的高校共享道路安全引导系统需求分类统计表</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64"/>
        <w:gridCol w:w="1680"/>
        <w:gridCol w:w="482"/>
        <w:gridCol w:w="1205"/>
        <w:gridCol w:w="1446"/>
        <w:gridCol w:w="723"/>
      </w:tblGrid>
      <w:tr w14:paraId="70890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19032646">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需求类型</w:t>
            </w:r>
          </w:p>
        </w:tc>
        <w:tc>
          <w:tcPr>
            <w:tcW w:w="0" w:type="auto"/>
            <w:tcBorders>
              <w:top w:val="single" w:color="000000" w:sz="4" w:space="0"/>
              <w:left w:val="nil"/>
              <w:bottom w:val="single" w:color="000000" w:sz="12" w:space="0"/>
              <w:right w:val="nil"/>
            </w:tcBorders>
            <w:shd w:val="clear" w:color="auto" w:fill="FFFFFF"/>
            <w:vAlign w:val="center"/>
          </w:tcPr>
          <w:p w14:paraId="79DA8823">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需求项目</w:t>
            </w:r>
          </w:p>
        </w:tc>
        <w:tc>
          <w:tcPr>
            <w:tcW w:w="0" w:type="auto"/>
            <w:tcBorders>
              <w:top w:val="single" w:color="000000" w:sz="4" w:space="0"/>
              <w:left w:val="nil"/>
              <w:bottom w:val="single" w:color="000000" w:sz="12" w:space="0"/>
              <w:right w:val="nil"/>
            </w:tcBorders>
            <w:shd w:val="clear" w:color="auto" w:fill="FFFFFF"/>
            <w:vAlign w:val="center"/>
          </w:tcPr>
          <w:p w14:paraId="47A297F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数量</w:t>
            </w:r>
          </w:p>
        </w:tc>
        <w:tc>
          <w:tcPr>
            <w:tcW w:w="0" w:type="auto"/>
            <w:tcBorders>
              <w:top w:val="single" w:color="000000" w:sz="4" w:space="0"/>
              <w:left w:val="nil"/>
              <w:bottom w:val="single" w:color="000000" w:sz="12" w:space="0"/>
              <w:right w:val="nil"/>
            </w:tcBorders>
            <w:shd w:val="clear" w:color="auto" w:fill="FFFFFF"/>
            <w:vAlign w:val="center"/>
          </w:tcPr>
          <w:p w14:paraId="2EF0BC37">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满意度系数</w:t>
            </w:r>
          </w:p>
        </w:tc>
        <w:tc>
          <w:tcPr>
            <w:tcW w:w="0" w:type="auto"/>
            <w:tcBorders>
              <w:top w:val="single" w:color="000000" w:sz="4" w:space="0"/>
              <w:left w:val="nil"/>
              <w:bottom w:val="single" w:color="000000" w:sz="12" w:space="0"/>
              <w:right w:val="nil"/>
            </w:tcBorders>
            <w:shd w:val="clear" w:color="auto" w:fill="FFFFFF"/>
            <w:vAlign w:val="center"/>
          </w:tcPr>
          <w:p w14:paraId="0F069D3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不满意度系数</w:t>
            </w:r>
          </w:p>
        </w:tc>
        <w:tc>
          <w:tcPr>
            <w:tcW w:w="0" w:type="auto"/>
            <w:tcBorders>
              <w:top w:val="single" w:color="000000" w:sz="4" w:space="0"/>
              <w:left w:val="nil"/>
              <w:bottom w:val="single" w:color="000000" w:sz="12" w:space="0"/>
              <w:right w:val="nil"/>
            </w:tcBorders>
            <w:shd w:val="clear" w:color="auto" w:fill="FFFFFF"/>
            <w:vAlign w:val="center"/>
          </w:tcPr>
          <w:p w14:paraId="51AE8E0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优先级</w:t>
            </w:r>
          </w:p>
        </w:tc>
      </w:tr>
      <w:tr w14:paraId="4ED33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restart"/>
            <w:tcBorders>
              <w:top w:val="single" w:color="000000" w:sz="12" w:space="0"/>
              <w:left w:val="nil"/>
              <w:right w:val="nil"/>
            </w:tcBorders>
            <w:shd w:val="clear" w:color="auto" w:fill="FFFFFF"/>
            <w:vAlign w:val="center"/>
          </w:tcPr>
          <w:p w14:paraId="00839D8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基本需求</w:t>
            </w:r>
          </w:p>
        </w:tc>
        <w:tc>
          <w:tcPr>
            <w:tcW w:w="0" w:type="auto"/>
            <w:tcBorders>
              <w:top w:val="single" w:color="000000" w:sz="12" w:space="0"/>
              <w:left w:val="nil"/>
              <w:bottom w:val="nil"/>
              <w:right w:val="nil"/>
            </w:tcBorders>
            <w:shd w:val="clear" w:color="auto" w:fill="FFFFFF"/>
            <w:vAlign w:val="center"/>
          </w:tcPr>
          <w:p w14:paraId="470394A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清晰的路权划分</w:t>
            </w:r>
          </w:p>
        </w:tc>
        <w:tc>
          <w:tcPr>
            <w:tcW w:w="0" w:type="auto"/>
            <w:tcBorders>
              <w:top w:val="single" w:color="000000" w:sz="12" w:space="0"/>
              <w:left w:val="nil"/>
              <w:bottom w:val="nil"/>
              <w:right w:val="nil"/>
            </w:tcBorders>
            <w:shd w:val="clear" w:color="auto" w:fill="FFFFFF"/>
            <w:vAlign w:val="center"/>
          </w:tcPr>
          <w:p w14:paraId="0F08B6D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single" w:color="000000" w:sz="12" w:space="0"/>
              <w:left w:val="nil"/>
              <w:bottom w:val="nil"/>
              <w:right w:val="nil"/>
            </w:tcBorders>
            <w:shd w:val="clear" w:color="auto" w:fill="FFFFFF"/>
            <w:vAlign w:val="center"/>
          </w:tcPr>
          <w:p w14:paraId="4EA0C05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0.32</w:t>
            </w:r>
          </w:p>
        </w:tc>
        <w:tc>
          <w:tcPr>
            <w:tcW w:w="0" w:type="auto"/>
            <w:tcBorders>
              <w:top w:val="single" w:color="000000" w:sz="12" w:space="0"/>
              <w:left w:val="nil"/>
              <w:bottom w:val="nil"/>
              <w:right w:val="nil"/>
            </w:tcBorders>
            <w:shd w:val="clear" w:color="auto" w:fill="FFFFFF"/>
            <w:vAlign w:val="center"/>
          </w:tcPr>
          <w:p w14:paraId="653FCFA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-0.89</w:t>
            </w:r>
          </w:p>
        </w:tc>
        <w:tc>
          <w:tcPr>
            <w:tcW w:w="0" w:type="auto"/>
            <w:tcBorders>
              <w:top w:val="single" w:color="000000" w:sz="12" w:space="0"/>
              <w:left w:val="nil"/>
              <w:bottom w:val="nil"/>
              <w:right w:val="nil"/>
            </w:tcBorders>
            <w:shd w:val="clear" w:color="auto" w:fill="FFFFFF"/>
            <w:vAlign w:val="center"/>
          </w:tcPr>
          <w:p w14:paraId="6B60883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P0</w:t>
            </w:r>
          </w:p>
        </w:tc>
      </w:tr>
      <w:tr w14:paraId="37BC7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0" w:type="auto"/>
            <w:vMerge w:val="continue"/>
            <w:tcBorders>
              <w:left w:val="nil"/>
              <w:right w:val="nil"/>
            </w:tcBorders>
            <w:shd w:val="clear" w:color="auto" w:fill="FFFFFF"/>
            <w:vAlign w:val="center"/>
          </w:tcPr>
          <w:p w14:paraId="0EDF2E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4A4C12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交叉口冲突标注</w:t>
            </w:r>
          </w:p>
        </w:tc>
        <w:tc>
          <w:tcPr>
            <w:tcW w:w="0" w:type="auto"/>
            <w:tcBorders>
              <w:top w:val="nil"/>
              <w:left w:val="nil"/>
              <w:bottom w:val="nil"/>
              <w:right w:val="nil"/>
            </w:tcBorders>
            <w:shd w:val="clear" w:color="auto" w:fill="FFFFFF"/>
            <w:vAlign w:val="center"/>
          </w:tcPr>
          <w:p w14:paraId="1666510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21BBFEC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0.28</w:t>
            </w:r>
          </w:p>
        </w:tc>
        <w:tc>
          <w:tcPr>
            <w:tcW w:w="0" w:type="auto"/>
            <w:tcBorders>
              <w:top w:val="nil"/>
              <w:left w:val="nil"/>
              <w:bottom w:val="nil"/>
              <w:right w:val="nil"/>
            </w:tcBorders>
            <w:shd w:val="clear" w:color="auto" w:fill="FFFFFF"/>
            <w:vAlign w:val="center"/>
          </w:tcPr>
          <w:p w14:paraId="3EE502C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-0.85</w:t>
            </w:r>
          </w:p>
        </w:tc>
        <w:tc>
          <w:tcPr>
            <w:tcW w:w="0" w:type="auto"/>
            <w:tcBorders>
              <w:top w:val="nil"/>
              <w:left w:val="nil"/>
              <w:bottom w:val="nil"/>
              <w:right w:val="nil"/>
            </w:tcBorders>
            <w:shd w:val="clear" w:color="auto" w:fill="FFFFFF"/>
            <w:vAlign w:val="center"/>
          </w:tcPr>
          <w:p w14:paraId="04A85E9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P0</w:t>
            </w:r>
          </w:p>
        </w:tc>
      </w:tr>
      <w:tr w14:paraId="1DFCA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585E679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0FE80B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夜间可见性保障</w:t>
            </w:r>
          </w:p>
        </w:tc>
        <w:tc>
          <w:tcPr>
            <w:tcW w:w="0" w:type="auto"/>
            <w:tcBorders>
              <w:top w:val="nil"/>
              <w:left w:val="nil"/>
              <w:bottom w:val="nil"/>
              <w:right w:val="nil"/>
            </w:tcBorders>
            <w:shd w:val="clear" w:color="auto" w:fill="FFFFFF"/>
            <w:vAlign w:val="center"/>
          </w:tcPr>
          <w:p w14:paraId="2564FBD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286E219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0.35</w:t>
            </w:r>
          </w:p>
        </w:tc>
        <w:tc>
          <w:tcPr>
            <w:tcW w:w="0" w:type="auto"/>
            <w:tcBorders>
              <w:top w:val="nil"/>
              <w:left w:val="nil"/>
              <w:bottom w:val="nil"/>
              <w:right w:val="nil"/>
            </w:tcBorders>
            <w:shd w:val="clear" w:color="auto" w:fill="FFFFFF"/>
            <w:vAlign w:val="center"/>
          </w:tcPr>
          <w:p w14:paraId="6C645CA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-0.82</w:t>
            </w:r>
          </w:p>
        </w:tc>
        <w:tc>
          <w:tcPr>
            <w:tcW w:w="0" w:type="auto"/>
            <w:tcBorders>
              <w:top w:val="nil"/>
              <w:left w:val="nil"/>
              <w:bottom w:val="nil"/>
              <w:right w:val="nil"/>
            </w:tcBorders>
            <w:shd w:val="clear" w:color="auto" w:fill="FFFFFF"/>
            <w:vAlign w:val="center"/>
          </w:tcPr>
          <w:p w14:paraId="3437BCA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P0</w:t>
            </w:r>
          </w:p>
        </w:tc>
      </w:tr>
      <w:tr w14:paraId="0E1FA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bottom w:val="nil"/>
              <w:right w:val="nil"/>
            </w:tcBorders>
            <w:shd w:val="clear" w:color="auto" w:fill="FFFFFF"/>
            <w:vAlign w:val="center"/>
          </w:tcPr>
          <w:p w14:paraId="5B6265D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67E44F0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标识适配性</w:t>
            </w:r>
          </w:p>
        </w:tc>
        <w:tc>
          <w:tcPr>
            <w:tcW w:w="0" w:type="auto"/>
            <w:tcBorders>
              <w:top w:val="nil"/>
              <w:left w:val="nil"/>
              <w:bottom w:val="nil"/>
              <w:right w:val="nil"/>
            </w:tcBorders>
            <w:shd w:val="clear" w:color="auto" w:fill="FFFFFF"/>
            <w:vAlign w:val="center"/>
          </w:tcPr>
          <w:p w14:paraId="345F4E2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73EBE9C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0.31</w:t>
            </w:r>
          </w:p>
        </w:tc>
        <w:tc>
          <w:tcPr>
            <w:tcW w:w="0" w:type="auto"/>
            <w:tcBorders>
              <w:top w:val="nil"/>
              <w:left w:val="nil"/>
              <w:bottom w:val="nil"/>
              <w:right w:val="nil"/>
            </w:tcBorders>
            <w:shd w:val="clear" w:color="auto" w:fill="FFFFFF"/>
            <w:vAlign w:val="center"/>
          </w:tcPr>
          <w:p w14:paraId="391BC28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w:t>
            </w:r>
          </w:p>
        </w:tc>
        <w:tc>
          <w:tcPr>
            <w:tcW w:w="0" w:type="auto"/>
            <w:tcBorders>
              <w:top w:val="nil"/>
              <w:left w:val="nil"/>
              <w:bottom w:val="nil"/>
              <w:right w:val="nil"/>
            </w:tcBorders>
            <w:shd w:val="clear" w:color="auto" w:fill="FFFFFF"/>
            <w:vAlign w:val="center"/>
          </w:tcPr>
          <w:p w14:paraId="6F29C5A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P0</w:t>
            </w:r>
          </w:p>
        </w:tc>
      </w:tr>
      <w:tr w14:paraId="1B63D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restart"/>
            <w:tcBorders>
              <w:top w:val="single" w:color="000000" w:sz="4" w:space="0"/>
              <w:left w:val="nil"/>
              <w:right w:val="nil"/>
              <w:tl2br w:val="nil"/>
            </w:tcBorders>
            <w:shd w:val="clear" w:color="auto" w:fill="FFFFFF"/>
            <w:vAlign w:val="center"/>
          </w:tcPr>
          <w:p w14:paraId="23CD746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期望需求</w:t>
            </w:r>
          </w:p>
        </w:tc>
        <w:tc>
          <w:tcPr>
            <w:tcW w:w="0" w:type="auto"/>
            <w:tcBorders>
              <w:top w:val="single" w:color="000000" w:sz="4" w:space="0"/>
              <w:left w:val="nil"/>
              <w:bottom w:val="nil"/>
              <w:right w:val="nil"/>
            </w:tcBorders>
            <w:shd w:val="clear" w:color="auto" w:fill="FFFFFF"/>
            <w:vAlign w:val="center"/>
          </w:tcPr>
          <w:p w14:paraId="2345D3B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盲区提示</w:t>
            </w:r>
          </w:p>
        </w:tc>
        <w:tc>
          <w:tcPr>
            <w:tcW w:w="0" w:type="auto"/>
            <w:tcBorders>
              <w:top w:val="single" w:color="000000" w:sz="4" w:space="0"/>
              <w:left w:val="nil"/>
              <w:bottom w:val="nil"/>
              <w:right w:val="nil"/>
            </w:tcBorders>
            <w:shd w:val="clear" w:color="auto" w:fill="FFFFFF"/>
            <w:vAlign w:val="center"/>
          </w:tcPr>
          <w:p w14:paraId="50DBC20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single" w:color="000000" w:sz="4" w:space="0"/>
              <w:left w:val="nil"/>
              <w:bottom w:val="nil"/>
              <w:right w:val="nil"/>
            </w:tcBorders>
            <w:shd w:val="clear" w:color="auto" w:fill="FFFFFF"/>
            <w:vAlign w:val="center"/>
          </w:tcPr>
          <w:p w14:paraId="75F8CFA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0.76</w:t>
            </w:r>
          </w:p>
        </w:tc>
        <w:tc>
          <w:tcPr>
            <w:tcW w:w="0" w:type="auto"/>
            <w:tcBorders>
              <w:top w:val="single" w:color="000000" w:sz="4" w:space="0"/>
              <w:left w:val="nil"/>
              <w:bottom w:val="nil"/>
              <w:right w:val="nil"/>
            </w:tcBorders>
            <w:shd w:val="clear" w:color="auto" w:fill="FFFFFF"/>
            <w:vAlign w:val="center"/>
          </w:tcPr>
          <w:p w14:paraId="7C0DE13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-0.68</w:t>
            </w:r>
          </w:p>
        </w:tc>
        <w:tc>
          <w:tcPr>
            <w:tcW w:w="0" w:type="auto"/>
            <w:tcBorders>
              <w:top w:val="single" w:color="000000" w:sz="4" w:space="0"/>
              <w:left w:val="nil"/>
              <w:bottom w:val="nil"/>
              <w:right w:val="nil"/>
            </w:tcBorders>
            <w:shd w:val="clear" w:color="auto" w:fill="FFFFFF"/>
            <w:vAlign w:val="center"/>
          </w:tcPr>
          <w:p w14:paraId="00A219B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P1</w:t>
            </w:r>
          </w:p>
        </w:tc>
      </w:tr>
      <w:tr w14:paraId="1D4A4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6F43191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28B865C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速度警示</w:t>
            </w:r>
          </w:p>
        </w:tc>
        <w:tc>
          <w:tcPr>
            <w:tcW w:w="0" w:type="auto"/>
            <w:tcBorders>
              <w:top w:val="nil"/>
              <w:left w:val="nil"/>
              <w:bottom w:val="nil"/>
              <w:right w:val="nil"/>
            </w:tcBorders>
            <w:shd w:val="clear" w:color="auto" w:fill="FFFFFF"/>
            <w:vAlign w:val="center"/>
          </w:tcPr>
          <w:p w14:paraId="7140A1E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482F22D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0.82</w:t>
            </w:r>
          </w:p>
        </w:tc>
        <w:tc>
          <w:tcPr>
            <w:tcW w:w="0" w:type="auto"/>
            <w:tcBorders>
              <w:top w:val="nil"/>
              <w:left w:val="nil"/>
              <w:bottom w:val="nil"/>
              <w:right w:val="nil"/>
            </w:tcBorders>
            <w:shd w:val="clear" w:color="auto" w:fill="FFFFFF"/>
            <w:vAlign w:val="center"/>
          </w:tcPr>
          <w:p w14:paraId="2E89616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-0.71</w:t>
            </w:r>
          </w:p>
        </w:tc>
        <w:tc>
          <w:tcPr>
            <w:tcW w:w="0" w:type="auto"/>
            <w:tcBorders>
              <w:top w:val="nil"/>
              <w:left w:val="nil"/>
              <w:bottom w:val="nil"/>
              <w:right w:val="nil"/>
            </w:tcBorders>
            <w:shd w:val="clear" w:color="auto" w:fill="FFFFFF"/>
            <w:vAlign w:val="center"/>
          </w:tcPr>
          <w:p w14:paraId="644D90D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P1</w:t>
            </w:r>
          </w:p>
        </w:tc>
      </w:tr>
      <w:tr w14:paraId="633D1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0D79E40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3E5DFB4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推荐速度提示</w:t>
            </w:r>
          </w:p>
        </w:tc>
        <w:tc>
          <w:tcPr>
            <w:tcW w:w="0" w:type="auto"/>
            <w:tcBorders>
              <w:top w:val="nil"/>
              <w:left w:val="nil"/>
              <w:bottom w:val="nil"/>
              <w:right w:val="nil"/>
            </w:tcBorders>
            <w:shd w:val="clear" w:color="auto" w:fill="FFFFFF"/>
            <w:vAlign w:val="center"/>
          </w:tcPr>
          <w:p w14:paraId="42FA56C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02ACF32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0.78</w:t>
            </w:r>
          </w:p>
        </w:tc>
        <w:tc>
          <w:tcPr>
            <w:tcW w:w="0" w:type="auto"/>
            <w:tcBorders>
              <w:top w:val="nil"/>
              <w:left w:val="nil"/>
              <w:bottom w:val="nil"/>
              <w:right w:val="nil"/>
            </w:tcBorders>
            <w:shd w:val="clear" w:color="auto" w:fill="FFFFFF"/>
            <w:vAlign w:val="center"/>
          </w:tcPr>
          <w:p w14:paraId="70C875B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-0.65</w:t>
            </w:r>
          </w:p>
        </w:tc>
        <w:tc>
          <w:tcPr>
            <w:tcW w:w="0" w:type="auto"/>
            <w:tcBorders>
              <w:top w:val="nil"/>
              <w:left w:val="nil"/>
              <w:bottom w:val="nil"/>
              <w:right w:val="nil"/>
            </w:tcBorders>
            <w:shd w:val="clear" w:color="auto" w:fill="FFFFFF"/>
            <w:vAlign w:val="center"/>
          </w:tcPr>
          <w:p w14:paraId="74C8F95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P1</w:t>
            </w:r>
          </w:p>
        </w:tc>
      </w:tr>
      <w:tr w14:paraId="6932E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3D8309D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5BD4375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安全路径指引</w:t>
            </w:r>
          </w:p>
        </w:tc>
        <w:tc>
          <w:tcPr>
            <w:tcW w:w="0" w:type="auto"/>
            <w:tcBorders>
              <w:top w:val="nil"/>
              <w:left w:val="nil"/>
              <w:bottom w:val="nil"/>
              <w:right w:val="nil"/>
            </w:tcBorders>
            <w:shd w:val="clear" w:color="auto" w:fill="FFFFFF"/>
            <w:vAlign w:val="center"/>
          </w:tcPr>
          <w:p w14:paraId="4416A90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42EDCF4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0.85</w:t>
            </w:r>
          </w:p>
        </w:tc>
        <w:tc>
          <w:tcPr>
            <w:tcW w:w="0" w:type="auto"/>
            <w:tcBorders>
              <w:top w:val="nil"/>
              <w:left w:val="nil"/>
              <w:bottom w:val="nil"/>
              <w:right w:val="nil"/>
            </w:tcBorders>
            <w:shd w:val="clear" w:color="auto" w:fill="FFFFFF"/>
            <w:vAlign w:val="center"/>
          </w:tcPr>
          <w:p w14:paraId="2D9280E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-0.73</w:t>
            </w:r>
          </w:p>
        </w:tc>
        <w:tc>
          <w:tcPr>
            <w:tcW w:w="0" w:type="auto"/>
            <w:tcBorders>
              <w:top w:val="nil"/>
              <w:left w:val="nil"/>
              <w:bottom w:val="nil"/>
              <w:right w:val="nil"/>
            </w:tcBorders>
            <w:shd w:val="clear" w:color="auto" w:fill="FFFFFF"/>
            <w:vAlign w:val="center"/>
          </w:tcPr>
          <w:p w14:paraId="11E6C44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P1</w:t>
            </w:r>
          </w:p>
        </w:tc>
      </w:tr>
      <w:tr w14:paraId="66FBB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bottom w:val="single" w:color="000000" w:sz="4" w:space="0"/>
              <w:right w:val="nil"/>
            </w:tcBorders>
            <w:shd w:val="clear" w:color="auto" w:fill="FFFFFF"/>
            <w:vAlign w:val="center"/>
          </w:tcPr>
          <w:p w14:paraId="066C494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000000" w:sz="4" w:space="0"/>
              <w:right w:val="nil"/>
            </w:tcBorders>
            <w:shd w:val="clear" w:color="auto" w:fill="FFFFFF"/>
            <w:vAlign w:val="center"/>
          </w:tcPr>
          <w:p w14:paraId="2FABE2D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分层信息呈现</w:t>
            </w:r>
          </w:p>
        </w:tc>
        <w:tc>
          <w:tcPr>
            <w:tcW w:w="0" w:type="auto"/>
            <w:tcBorders>
              <w:top w:val="nil"/>
              <w:left w:val="nil"/>
              <w:bottom w:val="single" w:color="000000" w:sz="4" w:space="0"/>
              <w:right w:val="nil"/>
            </w:tcBorders>
            <w:shd w:val="clear" w:color="auto" w:fill="FFFFFF"/>
            <w:vAlign w:val="center"/>
          </w:tcPr>
          <w:p w14:paraId="435D02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single" w:color="000000" w:sz="4" w:space="0"/>
              <w:right w:val="nil"/>
            </w:tcBorders>
            <w:shd w:val="clear" w:color="auto" w:fill="FFFFFF"/>
            <w:vAlign w:val="center"/>
          </w:tcPr>
          <w:p w14:paraId="02044FF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0.75</w:t>
            </w:r>
          </w:p>
        </w:tc>
        <w:tc>
          <w:tcPr>
            <w:tcW w:w="0" w:type="auto"/>
            <w:tcBorders>
              <w:top w:val="nil"/>
              <w:left w:val="nil"/>
              <w:bottom w:val="single" w:color="000000" w:sz="4" w:space="0"/>
              <w:right w:val="nil"/>
            </w:tcBorders>
            <w:shd w:val="clear" w:color="auto" w:fill="FFFFFF"/>
            <w:vAlign w:val="center"/>
          </w:tcPr>
          <w:p w14:paraId="09BA672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-0.62</w:t>
            </w:r>
          </w:p>
        </w:tc>
        <w:tc>
          <w:tcPr>
            <w:tcW w:w="0" w:type="auto"/>
            <w:tcBorders>
              <w:top w:val="nil"/>
              <w:left w:val="nil"/>
              <w:bottom w:val="single" w:color="000000" w:sz="4" w:space="0"/>
              <w:right w:val="nil"/>
            </w:tcBorders>
            <w:shd w:val="clear" w:color="auto" w:fill="FFFFFF"/>
            <w:vAlign w:val="center"/>
          </w:tcPr>
          <w:p w14:paraId="3B79355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P1</w:t>
            </w:r>
          </w:p>
        </w:tc>
      </w:tr>
      <w:tr w14:paraId="733DB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restart"/>
            <w:tcBorders>
              <w:top w:val="nil"/>
              <w:left w:val="nil"/>
              <w:right w:val="nil"/>
            </w:tcBorders>
            <w:shd w:val="clear" w:color="auto" w:fill="FFFFFF"/>
            <w:vAlign w:val="center"/>
          </w:tcPr>
          <w:p w14:paraId="4D64834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兴奋需求</w:t>
            </w:r>
          </w:p>
        </w:tc>
        <w:tc>
          <w:tcPr>
            <w:tcW w:w="0" w:type="auto"/>
            <w:tcBorders>
              <w:top w:val="nil"/>
              <w:left w:val="nil"/>
              <w:bottom w:val="nil"/>
              <w:right w:val="nil"/>
            </w:tcBorders>
            <w:shd w:val="clear" w:color="auto" w:fill="FFFFFF"/>
            <w:vAlign w:val="center"/>
          </w:tcPr>
          <w:p w14:paraId="26AE4EE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动态流量显示</w:t>
            </w:r>
          </w:p>
        </w:tc>
        <w:tc>
          <w:tcPr>
            <w:tcW w:w="0" w:type="auto"/>
            <w:tcBorders>
              <w:top w:val="nil"/>
              <w:left w:val="nil"/>
              <w:bottom w:val="nil"/>
              <w:right w:val="nil"/>
            </w:tcBorders>
            <w:shd w:val="clear" w:color="auto" w:fill="FFFFFF"/>
            <w:vAlign w:val="center"/>
          </w:tcPr>
          <w:p w14:paraId="788C1FD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3EFFDF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0.74</w:t>
            </w:r>
          </w:p>
        </w:tc>
        <w:tc>
          <w:tcPr>
            <w:tcW w:w="0" w:type="auto"/>
            <w:tcBorders>
              <w:top w:val="nil"/>
              <w:left w:val="nil"/>
              <w:bottom w:val="nil"/>
              <w:right w:val="nil"/>
            </w:tcBorders>
            <w:shd w:val="clear" w:color="auto" w:fill="FFFFFF"/>
            <w:vAlign w:val="center"/>
          </w:tcPr>
          <w:p w14:paraId="2CB87B9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w:t>
            </w:r>
          </w:p>
        </w:tc>
        <w:tc>
          <w:tcPr>
            <w:tcW w:w="0" w:type="auto"/>
            <w:tcBorders>
              <w:top w:val="nil"/>
              <w:left w:val="nil"/>
              <w:bottom w:val="nil"/>
              <w:right w:val="nil"/>
            </w:tcBorders>
            <w:shd w:val="clear" w:color="auto" w:fill="FFFFFF"/>
            <w:vAlign w:val="center"/>
          </w:tcPr>
          <w:p w14:paraId="5C08C11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P2</w:t>
            </w:r>
          </w:p>
        </w:tc>
      </w:tr>
      <w:tr w14:paraId="72222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310836F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0350EB7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社会规范可视化</w:t>
            </w:r>
          </w:p>
        </w:tc>
        <w:tc>
          <w:tcPr>
            <w:tcW w:w="0" w:type="auto"/>
            <w:tcBorders>
              <w:top w:val="nil"/>
              <w:left w:val="nil"/>
              <w:bottom w:val="nil"/>
              <w:right w:val="nil"/>
            </w:tcBorders>
            <w:shd w:val="clear" w:color="auto" w:fill="FFFFFF"/>
            <w:vAlign w:val="center"/>
          </w:tcPr>
          <w:p w14:paraId="300F33A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4E7F910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0.68</w:t>
            </w:r>
          </w:p>
        </w:tc>
        <w:tc>
          <w:tcPr>
            <w:tcW w:w="0" w:type="auto"/>
            <w:tcBorders>
              <w:top w:val="nil"/>
              <w:left w:val="nil"/>
              <w:bottom w:val="nil"/>
              <w:right w:val="nil"/>
            </w:tcBorders>
            <w:shd w:val="clear" w:color="auto" w:fill="FFFFFF"/>
            <w:vAlign w:val="center"/>
          </w:tcPr>
          <w:p w14:paraId="6FD24A6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-0.12</w:t>
            </w:r>
          </w:p>
        </w:tc>
        <w:tc>
          <w:tcPr>
            <w:tcW w:w="0" w:type="auto"/>
            <w:tcBorders>
              <w:top w:val="nil"/>
              <w:left w:val="nil"/>
              <w:bottom w:val="nil"/>
              <w:right w:val="nil"/>
            </w:tcBorders>
            <w:shd w:val="clear" w:color="auto" w:fill="FFFFFF"/>
            <w:vAlign w:val="center"/>
          </w:tcPr>
          <w:p w14:paraId="0B8E24F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P2</w:t>
            </w:r>
          </w:p>
        </w:tc>
      </w:tr>
      <w:tr w14:paraId="57251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63FD448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004062D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听觉辅助提示</w:t>
            </w:r>
          </w:p>
        </w:tc>
        <w:tc>
          <w:tcPr>
            <w:tcW w:w="0" w:type="auto"/>
            <w:tcBorders>
              <w:top w:val="nil"/>
              <w:left w:val="nil"/>
              <w:bottom w:val="nil"/>
              <w:right w:val="nil"/>
            </w:tcBorders>
            <w:shd w:val="clear" w:color="auto" w:fill="FFFFFF"/>
            <w:vAlign w:val="center"/>
          </w:tcPr>
          <w:p w14:paraId="587FD48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7CEB40E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0.62</w:t>
            </w:r>
          </w:p>
        </w:tc>
        <w:tc>
          <w:tcPr>
            <w:tcW w:w="0" w:type="auto"/>
            <w:tcBorders>
              <w:top w:val="nil"/>
              <w:left w:val="nil"/>
              <w:bottom w:val="nil"/>
              <w:right w:val="nil"/>
            </w:tcBorders>
            <w:shd w:val="clear" w:color="auto" w:fill="FFFFFF"/>
            <w:vAlign w:val="center"/>
          </w:tcPr>
          <w:p w14:paraId="2610145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-0.18</w:t>
            </w:r>
          </w:p>
        </w:tc>
        <w:tc>
          <w:tcPr>
            <w:tcW w:w="0" w:type="auto"/>
            <w:tcBorders>
              <w:top w:val="nil"/>
              <w:left w:val="nil"/>
              <w:bottom w:val="nil"/>
              <w:right w:val="nil"/>
            </w:tcBorders>
            <w:shd w:val="clear" w:color="auto" w:fill="FFFFFF"/>
            <w:vAlign w:val="center"/>
          </w:tcPr>
          <w:p w14:paraId="5BDA187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P2</w:t>
            </w:r>
          </w:p>
        </w:tc>
      </w:tr>
      <w:tr w14:paraId="6DC60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4413BB3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45B8F0E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情感化设计元素</w:t>
            </w:r>
          </w:p>
        </w:tc>
        <w:tc>
          <w:tcPr>
            <w:tcW w:w="0" w:type="auto"/>
            <w:tcBorders>
              <w:top w:val="nil"/>
              <w:left w:val="nil"/>
              <w:bottom w:val="nil"/>
              <w:right w:val="nil"/>
            </w:tcBorders>
            <w:shd w:val="clear" w:color="auto" w:fill="FFFFFF"/>
            <w:vAlign w:val="center"/>
          </w:tcPr>
          <w:p w14:paraId="26B25AC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56EEA96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0.65</w:t>
            </w:r>
          </w:p>
        </w:tc>
        <w:tc>
          <w:tcPr>
            <w:tcW w:w="0" w:type="auto"/>
            <w:tcBorders>
              <w:top w:val="nil"/>
              <w:left w:val="nil"/>
              <w:bottom w:val="nil"/>
              <w:right w:val="nil"/>
            </w:tcBorders>
            <w:shd w:val="clear" w:color="auto" w:fill="FFFFFF"/>
            <w:vAlign w:val="center"/>
          </w:tcPr>
          <w:p w14:paraId="555E8F4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-0.14</w:t>
            </w:r>
          </w:p>
        </w:tc>
        <w:tc>
          <w:tcPr>
            <w:tcW w:w="0" w:type="auto"/>
            <w:tcBorders>
              <w:top w:val="nil"/>
              <w:left w:val="nil"/>
              <w:bottom w:val="nil"/>
              <w:right w:val="nil"/>
            </w:tcBorders>
            <w:shd w:val="clear" w:color="auto" w:fill="FFFFFF"/>
            <w:vAlign w:val="center"/>
          </w:tcPr>
          <w:p w14:paraId="3949D9F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P2</w:t>
            </w:r>
          </w:p>
        </w:tc>
      </w:tr>
      <w:tr w14:paraId="0E72A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bottom w:val="single" w:color="000000" w:sz="4" w:space="0"/>
              <w:right w:val="nil"/>
            </w:tcBorders>
            <w:shd w:val="clear" w:color="auto" w:fill="FFFFFF"/>
            <w:vAlign w:val="center"/>
          </w:tcPr>
          <w:p w14:paraId="58F81A4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000000" w:sz="4" w:space="0"/>
              <w:right w:val="nil"/>
            </w:tcBorders>
            <w:shd w:val="clear" w:color="auto" w:fill="FFFFFF"/>
            <w:vAlign w:val="center"/>
          </w:tcPr>
          <w:p w14:paraId="0BF5CED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景观融合设计</w:t>
            </w:r>
          </w:p>
        </w:tc>
        <w:tc>
          <w:tcPr>
            <w:tcW w:w="0" w:type="auto"/>
            <w:tcBorders>
              <w:top w:val="nil"/>
              <w:left w:val="nil"/>
              <w:bottom w:val="single" w:color="000000" w:sz="4" w:space="0"/>
              <w:right w:val="nil"/>
            </w:tcBorders>
            <w:shd w:val="clear" w:color="auto" w:fill="FFFFFF"/>
            <w:vAlign w:val="center"/>
          </w:tcPr>
          <w:p w14:paraId="395031E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single" w:color="000000" w:sz="4" w:space="0"/>
              <w:right w:val="nil"/>
            </w:tcBorders>
            <w:shd w:val="clear" w:color="auto" w:fill="FFFFFF"/>
            <w:vAlign w:val="center"/>
          </w:tcPr>
          <w:p w14:paraId="5BD3FEA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0.61</w:t>
            </w:r>
          </w:p>
        </w:tc>
        <w:tc>
          <w:tcPr>
            <w:tcW w:w="0" w:type="auto"/>
            <w:tcBorders>
              <w:top w:val="nil"/>
              <w:left w:val="nil"/>
              <w:bottom w:val="single" w:color="000000" w:sz="4" w:space="0"/>
              <w:right w:val="nil"/>
            </w:tcBorders>
            <w:shd w:val="clear" w:color="auto" w:fill="FFFFFF"/>
            <w:vAlign w:val="center"/>
          </w:tcPr>
          <w:p w14:paraId="6EBFF4F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-0.11</w:t>
            </w:r>
          </w:p>
        </w:tc>
        <w:tc>
          <w:tcPr>
            <w:tcW w:w="0" w:type="auto"/>
            <w:tcBorders>
              <w:top w:val="nil"/>
              <w:left w:val="nil"/>
              <w:bottom w:val="single" w:color="000000" w:sz="4" w:space="0"/>
              <w:right w:val="nil"/>
            </w:tcBorders>
            <w:shd w:val="clear" w:color="auto" w:fill="FFFFFF"/>
            <w:vAlign w:val="center"/>
          </w:tcPr>
          <w:p w14:paraId="5248292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P3</w:t>
            </w:r>
          </w:p>
        </w:tc>
      </w:tr>
    </w:tbl>
    <w:p w14:paraId="13DC394D">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注：满意度系数=（兴奋+期望）/（兴奋+期望+基本+无差异）；不满意度系数=-（基本+期望）/（兴奋+期望+基本+无差异）</w:t>
      </w:r>
    </w:p>
    <w:p w14:paraId="2FF15508">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jc w:val="both"/>
        <w:textAlignment w:val="auto"/>
        <w:rPr>
          <w:rFonts w:hint="default" w:ascii="Times New Roman" w:hAnsi="Times New Roman" w:eastAsia="宋体" w:cs="Times New Roman"/>
          <w:lang w:eastAsia="zh-CN"/>
        </w:rPr>
      </w:pPr>
    </w:p>
    <w:p w14:paraId="64A665E2">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基于需求层级化的研究基础，</w:t>
      </w:r>
      <w:r>
        <w:rPr>
          <w:rFonts w:hint="eastAsia" w:ascii="Times New Roman" w:hAnsi="Times New Roman" w:eastAsia="宋体" w:cs="Times New Roman"/>
          <w:color w:val="000000"/>
          <w:sz w:val="24"/>
          <w:szCs w:val="24"/>
          <w:lang w:val="en-US" w:eastAsia="zh-CN"/>
        </w:rPr>
        <w:t>本</w:t>
      </w:r>
      <w:r>
        <w:rPr>
          <w:rFonts w:ascii="Times New Roman" w:hAnsi="Times New Roman" w:eastAsia="宋体" w:cs="Times New Roman"/>
          <w:color w:val="000000"/>
          <w:sz w:val="24"/>
          <w:szCs w:val="24"/>
        </w:rPr>
        <w:t>研究团队进一步执行了需求关联性分析。通过构建需求依赖关系矩阵，研究揭示了清晰路权划分作为核心基本需求，与其他多项需求存在显著的依赖性。例如，盲区提示与安全路径指引的有效性建立在清晰路权划分的基础之上，只有当使用者能够准确识别自己的通行区域，才能理解盲区的位置和安全路径的意义。类似地，社会规范可视化和情感化设计元素虽属于兴奋需求，但其设计表达也需要以基本需求的满足为前提。</w:t>
      </w:r>
      <w:r>
        <w:rPr>
          <w:rFonts w:hint="eastAsia" w:ascii="Times New Roman" w:hAnsi="Times New Roman" w:eastAsia="宋体" w:cs="Times New Roman"/>
          <w:color w:val="000000"/>
          <w:sz w:val="24"/>
          <w:szCs w:val="24"/>
          <w:lang w:val="en-US" w:eastAsia="zh-CN"/>
        </w:rPr>
        <w:t>此类</w:t>
      </w:r>
      <w:r>
        <w:rPr>
          <w:rFonts w:ascii="Times New Roman" w:hAnsi="Times New Roman" w:eastAsia="宋体" w:cs="Times New Roman"/>
          <w:color w:val="000000"/>
          <w:sz w:val="24"/>
          <w:szCs w:val="24"/>
        </w:rPr>
        <w:t>层级间的依赖关系提示研究团队在设计实施中必须遵循</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先基础后提升</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的</w:t>
      </w:r>
      <w:r>
        <w:rPr>
          <w:rFonts w:hint="eastAsia" w:ascii="Times New Roman" w:hAnsi="Times New Roman" w:eastAsia="宋体" w:cs="Times New Roman"/>
          <w:color w:val="000000"/>
          <w:sz w:val="24"/>
          <w:szCs w:val="24"/>
          <w:lang w:val="en-US" w:eastAsia="zh-CN"/>
        </w:rPr>
        <w:t>研究逻辑</w:t>
      </w:r>
      <w:r>
        <w:rPr>
          <w:rFonts w:ascii="Times New Roman" w:hAnsi="Times New Roman" w:eastAsia="宋体" w:cs="Times New Roman"/>
          <w:color w:val="000000"/>
          <w:sz w:val="24"/>
          <w:szCs w:val="24"/>
        </w:rPr>
        <w:t>。</w:t>
      </w:r>
    </w:p>
    <w:p w14:paraId="517B5CC5">
      <w:pPr>
        <w:pStyle w:val="4"/>
        <w:bidi w:val="0"/>
        <w:spacing w:before="120" w:after="120" w:line="360" w:lineRule="auto"/>
        <w:ind w:firstLine="480"/>
        <w:jc w:val="both"/>
        <w:rPr>
          <w:rFonts w:ascii="Times New Roman" w:hAnsi="Times New Roman" w:eastAsia="宋体" w:cs="Times New Roman"/>
          <w:color w:val="000000"/>
          <w:sz w:val="24"/>
          <w:szCs w:val="24"/>
        </w:rPr>
      </w:pPr>
    </w:p>
    <w:p w14:paraId="41AC984C">
      <w:pPr>
        <w:pStyle w:val="4"/>
        <w:bidi w:val="0"/>
        <w:spacing w:before="120" w:after="120" w:line="360" w:lineRule="auto"/>
        <w:ind w:firstLine="480"/>
        <w:jc w:val="both"/>
        <w:rPr>
          <w:rFonts w:hint="eastAsia" w:ascii="Times New Roman" w:hAnsi="Times New Roman" w:eastAsia="宋体" w:cs="Times New Roman"/>
          <w:color w:val="000000"/>
          <w:sz w:val="24"/>
          <w:szCs w:val="24"/>
          <w:lang w:val="en-US" w:eastAsia="zh-CN"/>
        </w:rPr>
      </w:pPr>
    </w:p>
    <w:p w14:paraId="226EFB81">
      <w:pPr>
        <w:pStyle w:val="4"/>
        <w:numPr>
          <w:ilvl w:val="0"/>
          <w:numId w:val="5"/>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案例分析及安全引导策略提取</w:t>
      </w:r>
    </w:p>
    <w:p w14:paraId="7CFABE0A">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为实现14项设计需求向可操作性</w:t>
      </w:r>
      <w:r>
        <w:rPr>
          <w:rFonts w:hint="eastAsia" w:ascii="Times New Roman" w:hAnsi="Times New Roman" w:eastAsia="宋体" w:cs="Times New Roman"/>
          <w:color w:val="000000"/>
          <w:sz w:val="24"/>
          <w:szCs w:val="24"/>
        </w:rPr>
        <w:t>安全引导策略</w:t>
      </w:r>
      <w:r>
        <w:rPr>
          <w:rFonts w:ascii="Times New Roman" w:hAnsi="Times New Roman" w:eastAsia="宋体" w:cs="Times New Roman"/>
          <w:color w:val="000000"/>
          <w:sz w:val="24"/>
          <w:szCs w:val="24"/>
        </w:rPr>
        <w:t>的转化，研究团队执行了系统性的国内外案例研究。研究精选了20个在道路交通引导设计领域具有示范意义的高校和城市案例</w:t>
      </w:r>
      <w:r>
        <w:rPr>
          <w:rFonts w:hint="eastAsia" w:ascii="Times New Roman" w:hAnsi="Times New Roman" w:eastAsia="宋体" w:cs="Times New Roman"/>
          <w:color w:val="000000"/>
          <w:sz w:val="24"/>
          <w:szCs w:val="24"/>
          <w:lang w:eastAsia="zh-CN"/>
        </w:rPr>
        <w:t>，</w:t>
      </w:r>
      <w:r>
        <w:rPr>
          <w:rFonts w:hint="eastAsia" w:ascii="Times New Roman" w:hAnsi="Times New Roman" w:eastAsia="宋体" w:cs="Times New Roman"/>
          <w:color w:val="000000"/>
          <w:sz w:val="24"/>
          <w:szCs w:val="24"/>
          <w:lang w:val="en-US" w:eastAsia="zh-CN"/>
        </w:rPr>
        <w:t>且</w:t>
      </w:r>
      <w:r>
        <w:rPr>
          <w:rFonts w:ascii="Times New Roman" w:hAnsi="Times New Roman" w:eastAsia="宋体" w:cs="Times New Roman"/>
          <w:color w:val="000000"/>
          <w:sz w:val="24"/>
          <w:szCs w:val="24"/>
        </w:rPr>
        <w:t>案例选择标准综合了设计完整性、实施成熟度、使用者反馈质量以及与本研究情境的相似度。</w:t>
      </w:r>
      <w:r>
        <w:rPr>
          <w:rFonts w:hint="eastAsia" w:ascii="Times New Roman" w:hAnsi="Times New Roman" w:eastAsia="宋体" w:cs="Times New Roman"/>
          <w:color w:val="000000"/>
          <w:sz w:val="24"/>
          <w:szCs w:val="24"/>
          <w:lang w:val="en-US" w:eastAsia="zh-CN"/>
        </w:rPr>
        <w:t>此外，</w:t>
      </w:r>
      <w:r>
        <w:rPr>
          <w:rFonts w:ascii="Times New Roman" w:hAnsi="Times New Roman" w:eastAsia="宋体" w:cs="Times New Roman"/>
          <w:color w:val="000000"/>
          <w:sz w:val="24"/>
          <w:szCs w:val="24"/>
        </w:rPr>
        <w:t>案例分析采用了结构化的编码方法，研究人员针对每个案例从八个维度进行细致的拆解，这八个维度包括色彩编码系统、标线形态样式、标识符号体系、信息层级结构、空间布局逻辑、材质选择策略、照明辅助设计和动态显示技术。在每个维度下进一步识别具体的设计手法和实现技术。经过系统梳理，共提炼出64种设计策略单元，这些策略单元构成了本研究设计方案的“元素库”。</w:t>
      </w:r>
    </w:p>
    <w:p w14:paraId="595CD258">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针对基本需求中的“清晰的路权划分”，案例研究揭示了五种主流实现策略。首先</w:t>
      </w:r>
      <w:r>
        <w:rPr>
          <w:rFonts w:hint="eastAsia" w:ascii="Times New Roman" w:hAnsi="Times New Roman" w:eastAsia="宋体" w:cs="Times New Roman"/>
          <w:color w:val="000000"/>
          <w:sz w:val="24"/>
          <w:szCs w:val="24"/>
          <w:lang w:eastAsia="zh-CN"/>
        </w:rPr>
        <w:t>，</w:t>
      </w:r>
      <w:r>
        <w:rPr>
          <w:rFonts w:ascii="Times New Roman" w:hAnsi="Times New Roman" w:eastAsia="宋体" w:cs="Times New Roman"/>
          <w:color w:val="000000"/>
          <w:sz w:val="24"/>
          <w:szCs w:val="24"/>
        </w:rPr>
        <w:t>色彩分区策略，例如哥本哈根采用红色铺装标识自行车道、灰色铺装标识人行道的做法，这种方法直观性强但对色彩选择和对比度要求较高。其次</w:t>
      </w:r>
      <w:r>
        <w:rPr>
          <w:rFonts w:hint="eastAsia" w:ascii="Times New Roman" w:hAnsi="Times New Roman" w:eastAsia="宋体" w:cs="Times New Roman"/>
          <w:color w:val="000000"/>
          <w:sz w:val="24"/>
          <w:szCs w:val="24"/>
          <w:lang w:eastAsia="zh-CN"/>
        </w:rPr>
        <w:t>，</w:t>
      </w:r>
      <w:r>
        <w:rPr>
          <w:rFonts w:ascii="Times New Roman" w:hAnsi="Times New Roman" w:eastAsia="宋体" w:cs="Times New Roman"/>
          <w:color w:val="000000"/>
          <w:sz w:val="24"/>
          <w:szCs w:val="24"/>
        </w:rPr>
        <w:t>标线界定策略，如新加坡国立大学使用双实线分隔不同交通流，这种方法成本较低但在交叉区域可能产生混淆。</w:t>
      </w:r>
      <w:r>
        <w:rPr>
          <w:rFonts w:hint="eastAsia" w:ascii="Times New Roman" w:hAnsi="Times New Roman" w:eastAsia="宋体" w:cs="Times New Roman"/>
          <w:color w:val="000000"/>
          <w:sz w:val="24"/>
          <w:szCs w:val="24"/>
          <w:lang w:val="en-US" w:eastAsia="zh-CN"/>
        </w:rPr>
        <w:t>再次，</w:t>
      </w:r>
      <w:r>
        <w:rPr>
          <w:rFonts w:ascii="Times New Roman" w:hAnsi="Times New Roman" w:eastAsia="宋体" w:cs="Times New Roman"/>
          <w:color w:val="000000"/>
          <w:sz w:val="24"/>
          <w:szCs w:val="24"/>
        </w:rPr>
        <w:t>高度差异策略，如荷兰多所大学采用的路面微高差设计，通过2</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5厘米的高度差异提供触觉反馈，适合盲人等特殊群体。</w:t>
      </w:r>
      <w:r>
        <w:rPr>
          <w:rFonts w:hint="eastAsia" w:ascii="Times New Roman" w:hAnsi="Times New Roman" w:eastAsia="宋体" w:cs="Times New Roman"/>
          <w:color w:val="000000"/>
          <w:sz w:val="24"/>
          <w:szCs w:val="24"/>
          <w:lang w:val="en-US" w:eastAsia="zh-CN"/>
        </w:rPr>
        <w:t>此外，</w:t>
      </w:r>
      <w:r>
        <w:rPr>
          <w:rFonts w:ascii="Times New Roman" w:hAnsi="Times New Roman" w:eastAsia="宋体" w:cs="Times New Roman"/>
          <w:color w:val="000000"/>
          <w:sz w:val="24"/>
          <w:szCs w:val="24"/>
        </w:rPr>
        <w:t>材质对比策略，如东京大学使用粗糙沥青和光滑彩色混凝土的组合，利用视觉和触觉双重信号。</w:t>
      </w:r>
      <w:r>
        <w:rPr>
          <w:rFonts w:hint="eastAsia" w:ascii="Times New Roman" w:hAnsi="Times New Roman" w:eastAsia="宋体" w:cs="Times New Roman"/>
          <w:color w:val="000000"/>
          <w:sz w:val="24"/>
          <w:szCs w:val="24"/>
          <w:lang w:val="en-US" w:eastAsia="zh-CN"/>
        </w:rPr>
        <w:t>最后，</w:t>
      </w:r>
      <w:r>
        <w:rPr>
          <w:rFonts w:hint="eastAsia" w:ascii="Times New Roman" w:hAnsi="Times New Roman" w:cs="Times New Roman"/>
          <w:color w:val="000000"/>
          <w:sz w:val="24"/>
          <w:szCs w:val="24"/>
          <w:lang w:val="en-US" w:eastAsia="zh-CN"/>
        </w:rPr>
        <w:t>将</w:t>
      </w:r>
      <w:r>
        <w:rPr>
          <w:rFonts w:ascii="Times New Roman" w:hAnsi="Times New Roman" w:eastAsia="宋体" w:cs="Times New Roman"/>
          <w:color w:val="000000"/>
          <w:sz w:val="24"/>
          <w:szCs w:val="24"/>
        </w:rPr>
        <w:t>上述多种方法组合使用，如斯坦福大学的系统整合了色彩、标线和材质三种要素。</w:t>
      </w:r>
    </w:p>
    <w:p w14:paraId="531585B2">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针对期望需求中的“速度警示”和“推荐速度提示”，案例研究揭示了静态与动态两种技术路线。静态速度警示主要依靠地面标识和警示牌，如英国剑桥大学在弯道前设置的“减速慢行”标识配合减速标线。动态速度提示则运用电子显示技术，</w:t>
      </w:r>
      <w:r>
        <w:rPr>
          <w:rFonts w:hint="eastAsia" w:ascii="Times New Roman" w:hAnsi="Times New Roman" w:cs="Times New Roman"/>
          <w:color w:val="000000"/>
          <w:sz w:val="24"/>
          <w:szCs w:val="24"/>
          <w:lang w:val="en-US" w:eastAsia="zh-CN"/>
        </w:rPr>
        <w:t>比</w:t>
      </w:r>
      <w:r>
        <w:rPr>
          <w:rFonts w:ascii="Times New Roman" w:hAnsi="Times New Roman" w:eastAsia="宋体" w:cs="Times New Roman"/>
          <w:color w:val="000000"/>
          <w:sz w:val="24"/>
          <w:szCs w:val="24"/>
        </w:rPr>
        <w:t>如</w:t>
      </w:r>
      <w:r>
        <w:rPr>
          <w:rFonts w:hint="eastAsia" w:ascii="Times New Roman" w:hAnsi="Times New Roman" w:eastAsia="宋体" w:cs="Times New Roman"/>
          <w:color w:val="000000"/>
          <w:sz w:val="24"/>
          <w:szCs w:val="24"/>
          <w:lang w:val="en-US" w:eastAsia="zh-CN"/>
        </w:rPr>
        <w:t>有研究人员</w:t>
      </w:r>
      <w:r>
        <w:rPr>
          <w:rFonts w:ascii="Times New Roman" w:hAnsi="Times New Roman" w:eastAsia="宋体" w:cs="Times New Roman"/>
          <w:color w:val="000000"/>
          <w:sz w:val="24"/>
          <w:szCs w:val="24"/>
        </w:rPr>
        <w:t>开发的</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雷达测速+实时显示</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系统，能够检测接近车辆的速度并显示建议速度值。</w:t>
      </w:r>
    </w:p>
    <w:p w14:paraId="6A4F114D">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针对兴奋需求中的“动态流量显示”和“社会规范可视化”，案例研究发现了若干创新实践。荷兰鹿特丹伊拉斯姆斯大学开发的实时流量地图系统，通过在主要路口设置LED屏幕显示当前各路段的拥挤程度，使用红黄绿三色进行编码，帮助使用者选择最优路径。更具创新性的是丹麦哥本哈根大学的“绿色出行计数器”，该装置实时统计通过某路段的自行车数量，并换算为减少的碳排放量进行显示，</w:t>
      </w:r>
      <w:r>
        <w:rPr>
          <w:rFonts w:hint="eastAsia" w:ascii="Times New Roman" w:hAnsi="Times New Roman" w:cs="Times New Roman"/>
          <w:color w:val="000000"/>
          <w:sz w:val="24"/>
          <w:szCs w:val="24"/>
          <w:lang w:val="en-US" w:eastAsia="zh-CN"/>
        </w:rPr>
        <w:t>此类</w:t>
      </w:r>
      <w:r>
        <w:rPr>
          <w:rFonts w:ascii="Times New Roman" w:hAnsi="Times New Roman" w:eastAsia="宋体" w:cs="Times New Roman"/>
          <w:color w:val="000000"/>
          <w:sz w:val="24"/>
          <w:szCs w:val="24"/>
        </w:rPr>
        <w:t>社会规范的可视化呈现激发了使用者的环保意识和集体荣誉感。数据显示，安装计数器后该路段的自行车流量增加了18%，违规占道行为减少了34%。</w:t>
      </w:r>
    </w:p>
    <w:p w14:paraId="54B8E93C">
      <w:pPr>
        <w:pStyle w:val="4"/>
        <w:bidi w:val="0"/>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hint="eastAsia" w:ascii="Times New Roman" w:hAnsi="Times New Roman" w:cs="Times New Roman"/>
          <w:color w:val="000000"/>
          <w:sz w:val="24"/>
          <w:szCs w:val="24"/>
          <w:lang w:val="en-US" w:eastAsia="zh-CN"/>
        </w:rPr>
        <w:t>本研究</w:t>
      </w:r>
      <w:r>
        <w:rPr>
          <w:rFonts w:hint="default" w:ascii="Times New Roman" w:hAnsi="Times New Roman" w:eastAsia="宋体" w:cs="Times New Roman"/>
          <w:color w:val="000000"/>
          <w:sz w:val="24"/>
          <w:szCs w:val="24"/>
          <w:lang w:val="en-US" w:eastAsia="zh-CN"/>
        </w:rPr>
        <w:t>对提取的64种</w:t>
      </w:r>
      <w:r>
        <w:rPr>
          <w:rFonts w:hint="eastAsia" w:ascii="Times New Roman" w:hAnsi="Times New Roman" w:cs="Times New Roman"/>
          <w:color w:val="000000"/>
          <w:sz w:val="24"/>
          <w:szCs w:val="24"/>
          <w:lang w:val="en-US" w:eastAsia="zh-CN"/>
        </w:rPr>
        <w:t>安全引导</w:t>
      </w:r>
      <w:r>
        <w:rPr>
          <w:rFonts w:hint="default" w:ascii="Times New Roman" w:hAnsi="Times New Roman" w:eastAsia="宋体" w:cs="Times New Roman"/>
          <w:color w:val="000000"/>
          <w:sz w:val="24"/>
          <w:szCs w:val="24"/>
          <w:lang w:val="en-US" w:eastAsia="zh-CN"/>
        </w:rPr>
        <w:t>策略单元进行了综合评估</w:t>
      </w:r>
      <w:r>
        <w:rPr>
          <w:rFonts w:hint="eastAsia" w:ascii="Times New Roman" w:hAnsi="Times New Roman" w:eastAsia="宋体" w:cs="Times New Roman"/>
          <w:color w:val="000000"/>
          <w:sz w:val="24"/>
          <w:szCs w:val="24"/>
          <w:lang w:eastAsia="zh-CN"/>
        </w:rPr>
        <w:t>（</w:t>
      </w:r>
      <w:r>
        <w:rPr>
          <w:rFonts w:hint="eastAsia" w:ascii="Times New Roman" w:hAnsi="Times New Roman" w:eastAsia="宋体" w:cs="Times New Roman"/>
          <w:color w:val="000000"/>
          <w:sz w:val="24"/>
          <w:szCs w:val="24"/>
          <w:lang w:val="en-US" w:eastAsia="zh-CN"/>
        </w:rPr>
        <w:t>如表21所示）</w:t>
      </w:r>
      <w:r>
        <w:rPr>
          <w:rFonts w:hint="default" w:ascii="Times New Roman" w:hAnsi="Times New Roman" w:eastAsia="宋体" w:cs="Times New Roman"/>
          <w:color w:val="000000"/>
          <w:sz w:val="24"/>
          <w:szCs w:val="24"/>
          <w:lang w:val="en-US" w:eastAsia="zh-CN"/>
        </w:rPr>
        <w:t>。评估框架包含五个维度</w:t>
      </w:r>
      <w:r>
        <w:rPr>
          <w:rFonts w:hint="eastAsia" w:ascii="Times New Roman" w:hAnsi="Times New Roman" w:cs="Times New Roman"/>
          <w:color w:val="000000"/>
          <w:sz w:val="24"/>
          <w:szCs w:val="24"/>
          <w:lang w:val="en-US" w:eastAsia="zh-CN"/>
        </w:rPr>
        <w:t>：</w:t>
      </w:r>
      <w:r>
        <w:rPr>
          <w:rFonts w:hint="default" w:ascii="Times New Roman" w:hAnsi="Times New Roman" w:eastAsia="宋体" w:cs="Times New Roman"/>
          <w:color w:val="000000"/>
          <w:sz w:val="24"/>
          <w:szCs w:val="24"/>
          <w:lang w:val="en-US" w:eastAsia="zh-CN"/>
        </w:rPr>
        <w:t>用户接受度、实施成本、技术难度、维护便利性和环境适应性。每个维度采用十分制评分</w:t>
      </w:r>
      <w:r>
        <w:rPr>
          <w:rFonts w:hint="eastAsia" w:ascii="Times New Roman" w:hAnsi="Times New Roman" w:cs="Times New Roman"/>
          <w:color w:val="000000"/>
          <w:sz w:val="24"/>
          <w:szCs w:val="24"/>
          <w:lang w:val="en-US" w:eastAsia="zh-CN"/>
        </w:rPr>
        <w:t>，</w:t>
      </w:r>
      <w:r>
        <w:rPr>
          <w:rFonts w:hint="default" w:ascii="Times New Roman" w:hAnsi="Times New Roman" w:eastAsia="宋体" w:cs="Times New Roman"/>
          <w:color w:val="000000"/>
          <w:sz w:val="24"/>
          <w:szCs w:val="24"/>
          <w:lang w:val="en-US" w:eastAsia="zh-CN"/>
        </w:rPr>
        <w:t>由12名专家</w:t>
      </w:r>
      <w:r>
        <w:rPr>
          <w:rFonts w:hint="eastAsia" w:ascii="Times New Roman" w:hAnsi="Times New Roman" w:cs="Times New Roman"/>
          <w:color w:val="000000"/>
          <w:sz w:val="24"/>
          <w:szCs w:val="24"/>
          <w:lang w:val="en-US" w:eastAsia="zh-CN"/>
        </w:rPr>
        <w:t>（</w:t>
      </w:r>
      <w:r>
        <w:rPr>
          <w:rFonts w:hint="default" w:ascii="Times New Roman" w:hAnsi="Times New Roman" w:eastAsia="宋体" w:cs="Times New Roman"/>
          <w:color w:val="000000"/>
          <w:sz w:val="24"/>
          <w:szCs w:val="24"/>
          <w:lang w:val="en-US" w:eastAsia="zh-CN"/>
        </w:rPr>
        <w:t>包括交通工程师、视觉设计师、校园管理者</w:t>
      </w:r>
      <w:r>
        <w:rPr>
          <w:rFonts w:hint="eastAsia" w:ascii="Times New Roman" w:hAnsi="Times New Roman" w:cs="Times New Roman"/>
          <w:color w:val="000000"/>
          <w:sz w:val="24"/>
          <w:szCs w:val="24"/>
          <w:lang w:val="en-US" w:eastAsia="zh-CN"/>
        </w:rPr>
        <w:t>）</w:t>
      </w:r>
      <w:r>
        <w:rPr>
          <w:rFonts w:hint="default" w:ascii="Times New Roman" w:hAnsi="Times New Roman" w:eastAsia="宋体" w:cs="Times New Roman"/>
          <w:color w:val="000000"/>
          <w:sz w:val="24"/>
          <w:szCs w:val="24"/>
          <w:lang w:val="en-US" w:eastAsia="zh-CN"/>
        </w:rPr>
        <w:t>独立评分后取平均值。评估结果显示</w:t>
      </w:r>
      <w:r>
        <w:rPr>
          <w:rFonts w:hint="eastAsia" w:ascii="Times New Roman" w:hAnsi="Times New Roman" w:cs="Times New Roman"/>
          <w:color w:val="000000"/>
          <w:sz w:val="24"/>
          <w:szCs w:val="24"/>
          <w:lang w:val="en-US" w:eastAsia="zh-CN"/>
        </w:rPr>
        <w:t>，</w:t>
      </w:r>
      <w:r>
        <w:rPr>
          <w:rFonts w:hint="default" w:ascii="Times New Roman" w:hAnsi="Times New Roman" w:eastAsia="宋体" w:cs="Times New Roman"/>
          <w:color w:val="000000"/>
          <w:sz w:val="24"/>
          <w:szCs w:val="24"/>
          <w:lang w:val="en-US" w:eastAsia="zh-CN"/>
        </w:rPr>
        <w:t>色彩分区策略在用户接受度方面得分最高</w:t>
      </w:r>
      <w:r>
        <w:rPr>
          <w:rFonts w:hint="eastAsia" w:ascii="Times New Roman" w:hAnsi="Times New Roman" w:cs="Times New Roman"/>
          <w:color w:val="000000"/>
          <w:sz w:val="24"/>
          <w:szCs w:val="24"/>
          <w:lang w:val="en-US" w:eastAsia="zh-CN"/>
        </w:rPr>
        <w:t>，</w:t>
      </w:r>
      <w:r>
        <w:rPr>
          <w:rFonts w:hint="default" w:ascii="Times New Roman" w:hAnsi="Times New Roman" w:eastAsia="宋体" w:cs="Times New Roman"/>
          <w:color w:val="000000"/>
          <w:sz w:val="24"/>
          <w:szCs w:val="24"/>
          <w:lang w:val="en-US" w:eastAsia="zh-CN"/>
        </w:rPr>
        <w:t>标线界定策略在实施成本方面最优</w:t>
      </w:r>
      <w:r>
        <w:rPr>
          <w:rFonts w:hint="eastAsia" w:ascii="Times New Roman" w:hAnsi="Times New Roman" w:cs="Times New Roman"/>
          <w:color w:val="000000"/>
          <w:sz w:val="24"/>
          <w:szCs w:val="24"/>
          <w:lang w:val="en-US" w:eastAsia="zh-CN"/>
        </w:rPr>
        <w:t>，</w:t>
      </w:r>
      <w:r>
        <w:rPr>
          <w:rFonts w:hint="default" w:ascii="Times New Roman" w:hAnsi="Times New Roman" w:eastAsia="宋体" w:cs="Times New Roman"/>
          <w:color w:val="000000"/>
          <w:sz w:val="24"/>
          <w:szCs w:val="24"/>
          <w:lang w:val="en-US" w:eastAsia="zh-CN"/>
        </w:rPr>
        <w:t>而动态流量显示虽然用户期待度高但技术难度和成本相对较高。这些量化数据为后续的策略筛选和优先级排序提供了科学依据。</w:t>
      </w:r>
    </w:p>
    <w:p w14:paraId="14EDAB8B">
      <w:pPr>
        <w:pStyle w:val="4"/>
        <w:bidi w:val="0"/>
        <w:spacing w:before="120" w:after="120" w:line="240" w:lineRule="auto"/>
        <w:ind w:firstLine="480"/>
        <w:jc w:val="both"/>
        <w:rPr>
          <w:rFonts w:ascii="Times New Roman" w:hAnsi="Times New Roman" w:eastAsia="宋体" w:cs="Times New Roman"/>
          <w:color w:val="000000"/>
          <w:sz w:val="22"/>
          <w:szCs w:val="22"/>
        </w:rPr>
      </w:pPr>
    </w:p>
    <w:p w14:paraId="11B4E882">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b w:val="0"/>
          <w:color w:val="000000"/>
          <w:kern w:val="0"/>
          <w:sz w:val="24"/>
          <w:szCs w:val="24"/>
          <w:lang w:val="en-US" w:eastAsia="zh-CN" w:bidi="ar"/>
        </w:rPr>
      </w:pPr>
      <w:r>
        <w:rPr>
          <w:rFonts w:hint="default" w:ascii="Times New Roman" w:hAnsi="Times New Roman" w:cs="Times New Roman"/>
          <w:lang w:val="en-US" w:eastAsia="zh-CN"/>
        </w:rPr>
        <w:t>表</w:t>
      </w:r>
      <w:r>
        <w:rPr>
          <w:rFonts w:hint="eastAsia" w:ascii="Times New Roman" w:hAnsi="Times New Roman" w:cs="Times New Roman"/>
          <w:lang w:val="en-US" w:eastAsia="zh-CN"/>
        </w:rPr>
        <w:t>21 面向高校共享道路主要参与者的14项需求的安全引导策略提取统计</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80"/>
        <w:gridCol w:w="2296"/>
        <w:gridCol w:w="1205"/>
        <w:gridCol w:w="964"/>
      </w:tblGrid>
      <w:tr w14:paraId="1A561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3CE1997E">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需求项目</w:t>
            </w:r>
          </w:p>
        </w:tc>
        <w:tc>
          <w:tcPr>
            <w:tcW w:w="0" w:type="auto"/>
            <w:tcBorders>
              <w:top w:val="single" w:color="000000" w:sz="4" w:space="0"/>
              <w:left w:val="nil"/>
              <w:bottom w:val="single" w:color="000000" w:sz="12" w:space="0"/>
              <w:right w:val="nil"/>
            </w:tcBorders>
            <w:shd w:val="clear" w:color="auto" w:fill="FFFFFF"/>
            <w:vAlign w:val="center"/>
          </w:tcPr>
          <w:p w14:paraId="57C37773">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高频策略</w:t>
            </w:r>
          </w:p>
        </w:tc>
        <w:tc>
          <w:tcPr>
            <w:tcW w:w="0" w:type="auto"/>
            <w:tcBorders>
              <w:top w:val="single" w:color="000000" w:sz="4" w:space="0"/>
              <w:left w:val="nil"/>
              <w:bottom w:val="single" w:color="000000" w:sz="12" w:space="0"/>
              <w:right w:val="nil"/>
            </w:tcBorders>
            <w:shd w:val="clear" w:color="auto" w:fill="FFFFFF"/>
            <w:vAlign w:val="center"/>
          </w:tcPr>
          <w:p w14:paraId="5CAEAA5F">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案例引用率</w:t>
            </w:r>
          </w:p>
        </w:tc>
        <w:tc>
          <w:tcPr>
            <w:tcW w:w="0" w:type="auto"/>
            <w:tcBorders>
              <w:top w:val="single" w:color="000000" w:sz="4" w:space="0"/>
              <w:left w:val="nil"/>
              <w:bottom w:val="single" w:color="000000" w:sz="12" w:space="0"/>
              <w:right w:val="nil"/>
            </w:tcBorders>
            <w:shd w:val="clear" w:color="auto" w:fill="FFFFFF"/>
            <w:vAlign w:val="center"/>
          </w:tcPr>
          <w:p w14:paraId="053E766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效果评级</w:t>
            </w:r>
          </w:p>
        </w:tc>
      </w:tr>
      <w:tr w14:paraId="60D62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single" w:color="000000" w:sz="12" w:space="0"/>
              <w:left w:val="nil"/>
              <w:bottom w:val="nil"/>
              <w:right w:val="nil"/>
            </w:tcBorders>
            <w:shd w:val="clear" w:color="auto" w:fill="FFFFFF"/>
            <w:vAlign w:val="center"/>
          </w:tcPr>
          <w:p w14:paraId="10AA1AC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清晰的路权划分</w:t>
            </w:r>
          </w:p>
        </w:tc>
        <w:tc>
          <w:tcPr>
            <w:tcW w:w="0" w:type="auto"/>
            <w:tcBorders>
              <w:top w:val="single" w:color="000000" w:sz="12" w:space="0"/>
              <w:left w:val="nil"/>
              <w:bottom w:val="nil"/>
              <w:right w:val="nil"/>
            </w:tcBorders>
            <w:shd w:val="clear" w:color="auto" w:fill="FFFFFF"/>
            <w:vAlign w:val="center"/>
          </w:tcPr>
          <w:p w14:paraId="48AED90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色彩分区+标线界定</w:t>
            </w:r>
          </w:p>
        </w:tc>
        <w:tc>
          <w:tcPr>
            <w:tcW w:w="0" w:type="auto"/>
            <w:tcBorders>
              <w:top w:val="single" w:color="000000" w:sz="12" w:space="0"/>
              <w:left w:val="nil"/>
              <w:bottom w:val="nil"/>
              <w:right w:val="nil"/>
            </w:tcBorders>
            <w:shd w:val="clear" w:color="auto" w:fill="FFFFFF"/>
            <w:vAlign w:val="center"/>
          </w:tcPr>
          <w:p w14:paraId="0B3841D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95%</w:t>
            </w:r>
          </w:p>
        </w:tc>
        <w:tc>
          <w:tcPr>
            <w:tcW w:w="0" w:type="auto"/>
            <w:tcBorders>
              <w:top w:val="single" w:color="000000" w:sz="12" w:space="0"/>
              <w:left w:val="nil"/>
              <w:bottom w:val="nil"/>
              <w:right w:val="nil"/>
            </w:tcBorders>
            <w:shd w:val="clear" w:color="auto" w:fill="FFFFFF"/>
            <w:vAlign w:val="center"/>
          </w:tcPr>
          <w:p w14:paraId="1A70596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8.7/10</w:t>
            </w:r>
          </w:p>
        </w:tc>
      </w:tr>
      <w:tr w14:paraId="33508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209C506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交叉口冲突标注</w:t>
            </w:r>
          </w:p>
        </w:tc>
        <w:tc>
          <w:tcPr>
            <w:tcW w:w="0" w:type="auto"/>
            <w:tcBorders>
              <w:top w:val="nil"/>
              <w:left w:val="nil"/>
              <w:bottom w:val="nil"/>
              <w:right w:val="nil"/>
            </w:tcBorders>
            <w:shd w:val="clear" w:color="auto" w:fill="FFFFFF"/>
            <w:vAlign w:val="center"/>
          </w:tcPr>
          <w:p w14:paraId="4580E18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冲突点标识+警示色块</w:t>
            </w:r>
          </w:p>
        </w:tc>
        <w:tc>
          <w:tcPr>
            <w:tcW w:w="0" w:type="auto"/>
            <w:tcBorders>
              <w:top w:val="nil"/>
              <w:left w:val="nil"/>
              <w:bottom w:val="nil"/>
              <w:right w:val="nil"/>
            </w:tcBorders>
            <w:shd w:val="clear" w:color="auto" w:fill="FFFFFF"/>
            <w:vAlign w:val="center"/>
          </w:tcPr>
          <w:p w14:paraId="3F3CC7C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75%</w:t>
            </w:r>
          </w:p>
        </w:tc>
        <w:tc>
          <w:tcPr>
            <w:tcW w:w="0" w:type="auto"/>
            <w:tcBorders>
              <w:top w:val="nil"/>
              <w:left w:val="nil"/>
              <w:bottom w:val="nil"/>
              <w:right w:val="nil"/>
            </w:tcBorders>
            <w:shd w:val="clear" w:color="auto" w:fill="FFFFFF"/>
            <w:vAlign w:val="center"/>
          </w:tcPr>
          <w:p w14:paraId="229B46A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8.2/10</w:t>
            </w:r>
          </w:p>
        </w:tc>
      </w:tr>
      <w:tr w14:paraId="4E90F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0EA8F15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夜间可见性保障</w:t>
            </w:r>
          </w:p>
        </w:tc>
        <w:tc>
          <w:tcPr>
            <w:tcW w:w="0" w:type="auto"/>
            <w:tcBorders>
              <w:top w:val="nil"/>
              <w:left w:val="nil"/>
              <w:bottom w:val="nil"/>
              <w:right w:val="nil"/>
            </w:tcBorders>
            <w:shd w:val="clear" w:color="auto" w:fill="FFFFFF"/>
            <w:vAlign w:val="center"/>
          </w:tcPr>
          <w:p w14:paraId="64E1EDE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反光材料+地面照明</w:t>
            </w:r>
          </w:p>
        </w:tc>
        <w:tc>
          <w:tcPr>
            <w:tcW w:w="0" w:type="auto"/>
            <w:tcBorders>
              <w:top w:val="nil"/>
              <w:left w:val="nil"/>
              <w:bottom w:val="nil"/>
              <w:right w:val="nil"/>
            </w:tcBorders>
            <w:shd w:val="clear" w:color="auto" w:fill="FFFFFF"/>
            <w:vAlign w:val="center"/>
          </w:tcPr>
          <w:p w14:paraId="73A2C8B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80%</w:t>
            </w:r>
          </w:p>
        </w:tc>
        <w:tc>
          <w:tcPr>
            <w:tcW w:w="0" w:type="auto"/>
            <w:tcBorders>
              <w:top w:val="nil"/>
              <w:left w:val="nil"/>
              <w:bottom w:val="nil"/>
              <w:right w:val="nil"/>
            </w:tcBorders>
            <w:shd w:val="clear" w:color="auto" w:fill="FFFFFF"/>
            <w:vAlign w:val="center"/>
          </w:tcPr>
          <w:p w14:paraId="2954550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8.4/10</w:t>
            </w:r>
          </w:p>
        </w:tc>
      </w:tr>
      <w:tr w14:paraId="37B52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38A7AFC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标识适配性</w:t>
            </w:r>
          </w:p>
        </w:tc>
        <w:tc>
          <w:tcPr>
            <w:tcW w:w="0" w:type="auto"/>
            <w:tcBorders>
              <w:top w:val="nil"/>
              <w:left w:val="nil"/>
              <w:bottom w:val="nil"/>
              <w:right w:val="nil"/>
            </w:tcBorders>
            <w:shd w:val="clear" w:color="auto" w:fill="FFFFFF"/>
            <w:vAlign w:val="center"/>
          </w:tcPr>
          <w:p w14:paraId="25FFD72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图形化+多语言</w:t>
            </w:r>
          </w:p>
        </w:tc>
        <w:tc>
          <w:tcPr>
            <w:tcW w:w="0" w:type="auto"/>
            <w:tcBorders>
              <w:top w:val="nil"/>
              <w:left w:val="nil"/>
              <w:bottom w:val="nil"/>
              <w:right w:val="nil"/>
            </w:tcBorders>
            <w:shd w:val="clear" w:color="auto" w:fill="FFFFFF"/>
            <w:vAlign w:val="center"/>
          </w:tcPr>
          <w:p w14:paraId="1F0C6DC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70%</w:t>
            </w:r>
          </w:p>
        </w:tc>
        <w:tc>
          <w:tcPr>
            <w:tcW w:w="0" w:type="auto"/>
            <w:tcBorders>
              <w:top w:val="nil"/>
              <w:left w:val="nil"/>
              <w:bottom w:val="nil"/>
              <w:right w:val="nil"/>
            </w:tcBorders>
            <w:shd w:val="clear" w:color="auto" w:fill="FFFFFF"/>
            <w:vAlign w:val="center"/>
          </w:tcPr>
          <w:p w14:paraId="5C58A92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7.8/10</w:t>
            </w:r>
          </w:p>
        </w:tc>
      </w:tr>
      <w:tr w14:paraId="2E200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15E1B5A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盲区提示</w:t>
            </w:r>
          </w:p>
        </w:tc>
        <w:tc>
          <w:tcPr>
            <w:tcW w:w="0" w:type="auto"/>
            <w:tcBorders>
              <w:top w:val="nil"/>
              <w:left w:val="nil"/>
              <w:bottom w:val="nil"/>
              <w:right w:val="nil"/>
            </w:tcBorders>
            <w:shd w:val="clear" w:color="auto" w:fill="FFFFFF"/>
            <w:vAlign w:val="center"/>
          </w:tcPr>
          <w:p w14:paraId="181916D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警示标识+镜面辅助</w:t>
            </w:r>
          </w:p>
        </w:tc>
        <w:tc>
          <w:tcPr>
            <w:tcW w:w="0" w:type="auto"/>
            <w:tcBorders>
              <w:top w:val="nil"/>
              <w:left w:val="nil"/>
              <w:bottom w:val="nil"/>
              <w:right w:val="nil"/>
            </w:tcBorders>
            <w:shd w:val="clear" w:color="auto" w:fill="FFFFFF"/>
            <w:vAlign w:val="center"/>
          </w:tcPr>
          <w:p w14:paraId="4A64DAC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55%</w:t>
            </w:r>
          </w:p>
        </w:tc>
        <w:tc>
          <w:tcPr>
            <w:tcW w:w="0" w:type="auto"/>
            <w:tcBorders>
              <w:top w:val="nil"/>
              <w:left w:val="nil"/>
              <w:bottom w:val="nil"/>
              <w:right w:val="nil"/>
            </w:tcBorders>
            <w:shd w:val="clear" w:color="auto" w:fill="FFFFFF"/>
            <w:vAlign w:val="center"/>
          </w:tcPr>
          <w:p w14:paraId="13E88D4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7.5/10</w:t>
            </w:r>
          </w:p>
        </w:tc>
      </w:tr>
      <w:tr w14:paraId="5A540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4E8143F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速度警示</w:t>
            </w:r>
          </w:p>
        </w:tc>
        <w:tc>
          <w:tcPr>
            <w:tcW w:w="0" w:type="auto"/>
            <w:tcBorders>
              <w:top w:val="nil"/>
              <w:left w:val="nil"/>
              <w:bottom w:val="nil"/>
              <w:right w:val="nil"/>
            </w:tcBorders>
            <w:shd w:val="clear" w:color="auto" w:fill="FFFFFF"/>
            <w:vAlign w:val="center"/>
          </w:tcPr>
          <w:p w14:paraId="7853037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减速标线+警示牌</w:t>
            </w:r>
          </w:p>
        </w:tc>
        <w:tc>
          <w:tcPr>
            <w:tcW w:w="0" w:type="auto"/>
            <w:tcBorders>
              <w:top w:val="nil"/>
              <w:left w:val="nil"/>
              <w:bottom w:val="nil"/>
              <w:right w:val="nil"/>
            </w:tcBorders>
            <w:shd w:val="clear" w:color="auto" w:fill="FFFFFF"/>
            <w:vAlign w:val="center"/>
          </w:tcPr>
          <w:p w14:paraId="5598A86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85%</w:t>
            </w:r>
          </w:p>
        </w:tc>
        <w:tc>
          <w:tcPr>
            <w:tcW w:w="0" w:type="auto"/>
            <w:tcBorders>
              <w:top w:val="nil"/>
              <w:left w:val="nil"/>
              <w:bottom w:val="nil"/>
              <w:right w:val="nil"/>
            </w:tcBorders>
            <w:shd w:val="clear" w:color="auto" w:fill="FFFFFF"/>
            <w:vAlign w:val="center"/>
          </w:tcPr>
          <w:p w14:paraId="43D5432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8.1/10</w:t>
            </w:r>
          </w:p>
        </w:tc>
      </w:tr>
      <w:tr w14:paraId="536CC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15466C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推荐速度提示</w:t>
            </w:r>
          </w:p>
        </w:tc>
        <w:tc>
          <w:tcPr>
            <w:tcW w:w="0" w:type="auto"/>
            <w:tcBorders>
              <w:top w:val="nil"/>
              <w:left w:val="nil"/>
              <w:bottom w:val="nil"/>
              <w:right w:val="nil"/>
            </w:tcBorders>
            <w:shd w:val="clear" w:color="auto" w:fill="FFFFFF"/>
            <w:vAlign w:val="center"/>
          </w:tcPr>
          <w:p w14:paraId="1AF229D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动态显示+地面标识</w:t>
            </w:r>
          </w:p>
        </w:tc>
        <w:tc>
          <w:tcPr>
            <w:tcW w:w="0" w:type="auto"/>
            <w:tcBorders>
              <w:top w:val="nil"/>
              <w:left w:val="nil"/>
              <w:bottom w:val="nil"/>
              <w:right w:val="nil"/>
            </w:tcBorders>
            <w:shd w:val="clear" w:color="auto" w:fill="FFFFFF"/>
            <w:vAlign w:val="center"/>
          </w:tcPr>
          <w:p w14:paraId="2F90300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45%</w:t>
            </w:r>
          </w:p>
        </w:tc>
        <w:tc>
          <w:tcPr>
            <w:tcW w:w="0" w:type="auto"/>
            <w:tcBorders>
              <w:top w:val="nil"/>
              <w:left w:val="nil"/>
              <w:bottom w:val="nil"/>
              <w:right w:val="nil"/>
            </w:tcBorders>
            <w:shd w:val="clear" w:color="auto" w:fill="FFFFFF"/>
            <w:vAlign w:val="center"/>
          </w:tcPr>
          <w:p w14:paraId="01E37B4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7.9/10</w:t>
            </w:r>
          </w:p>
        </w:tc>
      </w:tr>
      <w:tr w14:paraId="03A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705D1FD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安全路径指引</w:t>
            </w:r>
          </w:p>
        </w:tc>
        <w:tc>
          <w:tcPr>
            <w:tcW w:w="0" w:type="auto"/>
            <w:tcBorders>
              <w:top w:val="nil"/>
              <w:left w:val="nil"/>
              <w:bottom w:val="nil"/>
              <w:right w:val="nil"/>
            </w:tcBorders>
            <w:shd w:val="clear" w:color="auto" w:fill="FFFFFF"/>
            <w:vAlign w:val="center"/>
          </w:tcPr>
          <w:p w14:paraId="619B13A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连续标识+箭头系统</w:t>
            </w:r>
          </w:p>
        </w:tc>
        <w:tc>
          <w:tcPr>
            <w:tcW w:w="0" w:type="auto"/>
            <w:tcBorders>
              <w:top w:val="nil"/>
              <w:left w:val="nil"/>
              <w:bottom w:val="nil"/>
              <w:right w:val="nil"/>
            </w:tcBorders>
            <w:shd w:val="clear" w:color="auto" w:fill="FFFFFF"/>
            <w:vAlign w:val="center"/>
          </w:tcPr>
          <w:p w14:paraId="28BF043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65%</w:t>
            </w:r>
          </w:p>
        </w:tc>
        <w:tc>
          <w:tcPr>
            <w:tcW w:w="0" w:type="auto"/>
            <w:tcBorders>
              <w:top w:val="nil"/>
              <w:left w:val="nil"/>
              <w:bottom w:val="nil"/>
              <w:right w:val="nil"/>
            </w:tcBorders>
            <w:shd w:val="clear" w:color="auto" w:fill="FFFFFF"/>
            <w:vAlign w:val="center"/>
          </w:tcPr>
          <w:p w14:paraId="6A125A9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8.0/10</w:t>
            </w:r>
          </w:p>
        </w:tc>
      </w:tr>
      <w:tr w14:paraId="3F31D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30B37E2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分层信息呈现</w:t>
            </w:r>
          </w:p>
        </w:tc>
        <w:tc>
          <w:tcPr>
            <w:tcW w:w="0" w:type="auto"/>
            <w:tcBorders>
              <w:top w:val="nil"/>
              <w:left w:val="nil"/>
              <w:bottom w:val="nil"/>
              <w:right w:val="nil"/>
            </w:tcBorders>
            <w:shd w:val="clear" w:color="auto" w:fill="FFFFFF"/>
            <w:vAlign w:val="center"/>
          </w:tcPr>
          <w:p w14:paraId="1D9DF8B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三级信息架构</w:t>
            </w:r>
          </w:p>
        </w:tc>
        <w:tc>
          <w:tcPr>
            <w:tcW w:w="0" w:type="auto"/>
            <w:tcBorders>
              <w:top w:val="nil"/>
              <w:left w:val="nil"/>
              <w:bottom w:val="nil"/>
              <w:right w:val="nil"/>
            </w:tcBorders>
            <w:shd w:val="clear" w:color="auto" w:fill="FFFFFF"/>
            <w:vAlign w:val="center"/>
          </w:tcPr>
          <w:p w14:paraId="11A15B5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60%</w:t>
            </w:r>
          </w:p>
        </w:tc>
        <w:tc>
          <w:tcPr>
            <w:tcW w:w="0" w:type="auto"/>
            <w:tcBorders>
              <w:top w:val="nil"/>
              <w:left w:val="nil"/>
              <w:bottom w:val="nil"/>
              <w:right w:val="nil"/>
            </w:tcBorders>
            <w:shd w:val="clear" w:color="auto" w:fill="FFFFFF"/>
            <w:vAlign w:val="center"/>
          </w:tcPr>
          <w:p w14:paraId="67A9E41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8.3/10</w:t>
            </w:r>
          </w:p>
        </w:tc>
      </w:tr>
      <w:tr w14:paraId="18B47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243EA76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动态流量显示</w:t>
            </w:r>
          </w:p>
        </w:tc>
        <w:tc>
          <w:tcPr>
            <w:tcW w:w="0" w:type="auto"/>
            <w:tcBorders>
              <w:top w:val="nil"/>
              <w:left w:val="nil"/>
              <w:bottom w:val="nil"/>
              <w:right w:val="nil"/>
            </w:tcBorders>
            <w:shd w:val="clear" w:color="auto" w:fill="FFFFFF"/>
            <w:vAlign w:val="center"/>
          </w:tcPr>
          <w:p w14:paraId="2AF9A2C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LED屏+色彩编码</w:t>
            </w:r>
          </w:p>
        </w:tc>
        <w:tc>
          <w:tcPr>
            <w:tcW w:w="0" w:type="auto"/>
            <w:tcBorders>
              <w:top w:val="nil"/>
              <w:left w:val="nil"/>
              <w:bottom w:val="nil"/>
              <w:right w:val="nil"/>
            </w:tcBorders>
            <w:shd w:val="clear" w:color="auto" w:fill="FFFFFF"/>
            <w:vAlign w:val="center"/>
          </w:tcPr>
          <w:p w14:paraId="32390EC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35%</w:t>
            </w:r>
          </w:p>
        </w:tc>
        <w:tc>
          <w:tcPr>
            <w:tcW w:w="0" w:type="auto"/>
            <w:tcBorders>
              <w:top w:val="nil"/>
              <w:left w:val="nil"/>
              <w:bottom w:val="nil"/>
              <w:right w:val="nil"/>
            </w:tcBorders>
            <w:shd w:val="clear" w:color="auto" w:fill="FFFFFF"/>
            <w:vAlign w:val="center"/>
          </w:tcPr>
          <w:p w14:paraId="6305357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7.6/10</w:t>
            </w:r>
          </w:p>
        </w:tc>
      </w:tr>
      <w:tr w14:paraId="5999D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3948C3E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社会规范可视化</w:t>
            </w:r>
          </w:p>
        </w:tc>
        <w:tc>
          <w:tcPr>
            <w:tcW w:w="0" w:type="auto"/>
            <w:tcBorders>
              <w:top w:val="nil"/>
              <w:left w:val="nil"/>
              <w:bottom w:val="nil"/>
              <w:right w:val="nil"/>
            </w:tcBorders>
            <w:shd w:val="clear" w:color="auto" w:fill="FFFFFF"/>
            <w:vAlign w:val="center"/>
          </w:tcPr>
          <w:p w14:paraId="684C8C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计数器+排行榜</w:t>
            </w:r>
          </w:p>
        </w:tc>
        <w:tc>
          <w:tcPr>
            <w:tcW w:w="0" w:type="auto"/>
            <w:tcBorders>
              <w:top w:val="nil"/>
              <w:left w:val="nil"/>
              <w:bottom w:val="nil"/>
              <w:right w:val="nil"/>
            </w:tcBorders>
            <w:shd w:val="clear" w:color="auto" w:fill="FFFFFF"/>
            <w:vAlign w:val="center"/>
          </w:tcPr>
          <w:p w14:paraId="5B89256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25%</w:t>
            </w:r>
          </w:p>
        </w:tc>
        <w:tc>
          <w:tcPr>
            <w:tcW w:w="0" w:type="auto"/>
            <w:tcBorders>
              <w:top w:val="nil"/>
              <w:left w:val="nil"/>
              <w:bottom w:val="nil"/>
              <w:right w:val="nil"/>
            </w:tcBorders>
            <w:shd w:val="clear" w:color="auto" w:fill="FFFFFF"/>
            <w:vAlign w:val="center"/>
          </w:tcPr>
          <w:p w14:paraId="299C0B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7.4/10</w:t>
            </w:r>
          </w:p>
        </w:tc>
      </w:tr>
      <w:tr w14:paraId="30013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453F742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听觉辅助提示</w:t>
            </w:r>
          </w:p>
        </w:tc>
        <w:tc>
          <w:tcPr>
            <w:tcW w:w="0" w:type="auto"/>
            <w:tcBorders>
              <w:top w:val="nil"/>
              <w:left w:val="nil"/>
              <w:bottom w:val="nil"/>
              <w:right w:val="nil"/>
            </w:tcBorders>
            <w:shd w:val="clear" w:color="auto" w:fill="FFFFFF"/>
            <w:vAlign w:val="center"/>
          </w:tcPr>
          <w:p w14:paraId="151BFBE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感应语音+警示音</w:t>
            </w:r>
          </w:p>
        </w:tc>
        <w:tc>
          <w:tcPr>
            <w:tcW w:w="0" w:type="auto"/>
            <w:tcBorders>
              <w:top w:val="nil"/>
              <w:left w:val="nil"/>
              <w:bottom w:val="nil"/>
              <w:right w:val="nil"/>
            </w:tcBorders>
            <w:shd w:val="clear" w:color="auto" w:fill="FFFFFF"/>
            <w:vAlign w:val="center"/>
          </w:tcPr>
          <w:p w14:paraId="05C6EA9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40%</w:t>
            </w:r>
          </w:p>
        </w:tc>
        <w:tc>
          <w:tcPr>
            <w:tcW w:w="0" w:type="auto"/>
            <w:tcBorders>
              <w:top w:val="nil"/>
              <w:left w:val="nil"/>
              <w:bottom w:val="nil"/>
              <w:right w:val="nil"/>
            </w:tcBorders>
            <w:shd w:val="clear" w:color="auto" w:fill="FFFFFF"/>
            <w:vAlign w:val="center"/>
          </w:tcPr>
          <w:p w14:paraId="5CEE199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7.2/10</w:t>
            </w:r>
          </w:p>
        </w:tc>
      </w:tr>
      <w:tr w14:paraId="7D919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02BBE54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情感化设计元素</w:t>
            </w:r>
          </w:p>
        </w:tc>
        <w:tc>
          <w:tcPr>
            <w:tcW w:w="0" w:type="auto"/>
            <w:tcBorders>
              <w:top w:val="nil"/>
              <w:left w:val="nil"/>
              <w:bottom w:val="nil"/>
              <w:right w:val="nil"/>
            </w:tcBorders>
            <w:shd w:val="clear" w:color="auto" w:fill="FFFFFF"/>
            <w:vAlign w:val="center"/>
          </w:tcPr>
          <w:p w14:paraId="758CF8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趣味标识+互动装置</w:t>
            </w:r>
          </w:p>
        </w:tc>
        <w:tc>
          <w:tcPr>
            <w:tcW w:w="0" w:type="auto"/>
            <w:tcBorders>
              <w:top w:val="nil"/>
              <w:left w:val="nil"/>
              <w:bottom w:val="nil"/>
              <w:right w:val="nil"/>
            </w:tcBorders>
            <w:shd w:val="clear" w:color="auto" w:fill="FFFFFF"/>
            <w:vAlign w:val="center"/>
          </w:tcPr>
          <w:p w14:paraId="03011B0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50%</w:t>
            </w:r>
          </w:p>
        </w:tc>
        <w:tc>
          <w:tcPr>
            <w:tcW w:w="0" w:type="auto"/>
            <w:tcBorders>
              <w:top w:val="nil"/>
              <w:left w:val="nil"/>
              <w:bottom w:val="nil"/>
              <w:right w:val="nil"/>
            </w:tcBorders>
            <w:shd w:val="clear" w:color="auto" w:fill="FFFFFF"/>
            <w:vAlign w:val="center"/>
          </w:tcPr>
          <w:p w14:paraId="52AA756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7.7/10</w:t>
            </w:r>
          </w:p>
        </w:tc>
      </w:tr>
      <w:tr w14:paraId="66D19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single" w:color="000000" w:sz="4" w:space="0"/>
              <w:right w:val="nil"/>
            </w:tcBorders>
            <w:shd w:val="clear" w:color="auto" w:fill="FFFFFF"/>
            <w:vAlign w:val="center"/>
          </w:tcPr>
          <w:p w14:paraId="33B2FDF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景观融合设计</w:t>
            </w:r>
          </w:p>
        </w:tc>
        <w:tc>
          <w:tcPr>
            <w:tcW w:w="0" w:type="auto"/>
            <w:tcBorders>
              <w:top w:val="nil"/>
              <w:left w:val="nil"/>
              <w:bottom w:val="single" w:color="000000" w:sz="4" w:space="0"/>
              <w:right w:val="nil"/>
            </w:tcBorders>
            <w:shd w:val="clear" w:color="auto" w:fill="FFFFFF"/>
            <w:vAlign w:val="center"/>
          </w:tcPr>
          <w:p w14:paraId="1E06424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绿化整合+艺术化</w:t>
            </w:r>
          </w:p>
        </w:tc>
        <w:tc>
          <w:tcPr>
            <w:tcW w:w="0" w:type="auto"/>
            <w:tcBorders>
              <w:top w:val="nil"/>
              <w:left w:val="nil"/>
              <w:bottom w:val="single" w:color="000000" w:sz="4" w:space="0"/>
              <w:right w:val="nil"/>
            </w:tcBorders>
            <w:shd w:val="clear" w:color="auto" w:fill="FFFFFF"/>
            <w:vAlign w:val="center"/>
          </w:tcPr>
          <w:p w14:paraId="7C504BF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90%</w:t>
            </w:r>
          </w:p>
        </w:tc>
        <w:tc>
          <w:tcPr>
            <w:tcW w:w="0" w:type="auto"/>
            <w:tcBorders>
              <w:top w:val="nil"/>
              <w:left w:val="nil"/>
              <w:bottom w:val="single" w:color="000000" w:sz="4" w:space="0"/>
              <w:right w:val="nil"/>
            </w:tcBorders>
            <w:shd w:val="clear" w:color="auto" w:fill="FFFFFF"/>
            <w:vAlign w:val="center"/>
          </w:tcPr>
          <w:p w14:paraId="47DF279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8.5/10</w:t>
            </w:r>
          </w:p>
        </w:tc>
      </w:tr>
    </w:tbl>
    <w:p w14:paraId="5E47B663">
      <w:pPr>
        <w:pStyle w:val="4"/>
        <w:bidi w:val="0"/>
        <w:spacing w:before="120" w:after="120" w:line="360" w:lineRule="auto"/>
        <w:ind w:firstLine="480"/>
        <w:jc w:val="both"/>
        <w:rPr>
          <w:rFonts w:hint="eastAsia" w:ascii="Times New Roman" w:hAnsi="Times New Roman" w:eastAsia="宋体" w:cs="Times New Roman"/>
          <w:color w:val="000000"/>
          <w:sz w:val="24"/>
          <w:szCs w:val="24"/>
          <w:lang w:val="en-US" w:eastAsia="zh-CN"/>
        </w:rPr>
      </w:pPr>
    </w:p>
    <w:p w14:paraId="1AEE29A0">
      <w:pPr>
        <w:pStyle w:val="4"/>
        <w:bidi w:val="0"/>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综上所述，本研究基于Kano评估结果、案例引用率、效果评级、实施复杂度、</w:t>
      </w:r>
      <w:r>
        <w:rPr>
          <w:rFonts w:hint="eastAsia" w:ascii="Times New Roman" w:hAnsi="Times New Roman" w:cs="Times New Roman"/>
          <w:color w:val="000000"/>
          <w:sz w:val="24"/>
          <w:szCs w:val="24"/>
          <w:lang w:val="en-US" w:eastAsia="zh-CN"/>
        </w:rPr>
        <w:t>项目投入成本五</w:t>
      </w:r>
      <w:r>
        <w:rPr>
          <w:rFonts w:hint="eastAsia" w:ascii="Times New Roman" w:hAnsi="Times New Roman" w:eastAsia="宋体" w:cs="Times New Roman"/>
          <w:color w:val="000000"/>
          <w:sz w:val="24"/>
          <w:szCs w:val="24"/>
          <w:lang w:val="en-US" w:eastAsia="zh-CN"/>
        </w:rPr>
        <w:t>个维度进行综合评估，</w:t>
      </w:r>
      <w:r>
        <w:rPr>
          <w:rFonts w:hint="eastAsia" w:ascii="Times New Roman" w:hAnsi="Times New Roman" w:cs="Times New Roman"/>
          <w:color w:val="000000"/>
          <w:sz w:val="24"/>
          <w:szCs w:val="24"/>
          <w:lang w:val="en-US" w:eastAsia="zh-CN"/>
        </w:rPr>
        <w:t>本研究团队</w:t>
      </w:r>
      <w:r>
        <w:rPr>
          <w:rFonts w:hint="eastAsia" w:ascii="Times New Roman" w:hAnsi="Times New Roman" w:eastAsia="宋体" w:cs="Times New Roman"/>
          <w:color w:val="000000"/>
          <w:sz w:val="24"/>
          <w:szCs w:val="24"/>
          <w:lang w:val="en-US" w:eastAsia="zh-CN"/>
        </w:rPr>
        <w:t>筛选出最优的设计组合方案</w:t>
      </w:r>
      <w:r>
        <w:rPr>
          <w:rFonts w:hint="eastAsia" w:ascii="Times New Roman" w:hAnsi="Times New Roman" w:cs="Times New Roman"/>
          <w:color w:val="000000"/>
          <w:sz w:val="24"/>
          <w:szCs w:val="24"/>
          <w:lang w:val="en-US" w:eastAsia="zh-CN"/>
        </w:rPr>
        <w:t>，包括：“</w:t>
      </w:r>
      <w:r>
        <w:rPr>
          <w:rFonts w:hint="eastAsia" w:ascii="Times New Roman" w:hAnsi="Times New Roman" w:eastAsia="宋体" w:cs="Times New Roman"/>
          <w:color w:val="000000"/>
          <w:sz w:val="24"/>
          <w:szCs w:val="24"/>
          <w:lang w:val="en-US" w:eastAsia="zh-CN"/>
        </w:rPr>
        <w:t>清晰的路权划分</w:t>
      </w:r>
      <w:r>
        <w:rPr>
          <w:rFonts w:hint="eastAsia" w:ascii="Times New Roman" w:hAnsi="Times New Roman" w:cs="Times New Roman"/>
          <w:color w:val="000000"/>
          <w:sz w:val="24"/>
          <w:szCs w:val="24"/>
          <w:lang w:val="en-US" w:eastAsia="zh-CN"/>
        </w:rPr>
        <w:t>”</w:t>
      </w:r>
      <w:r>
        <w:rPr>
          <w:rFonts w:hint="eastAsia" w:ascii="Times New Roman" w:hAnsi="Times New Roman" w:eastAsia="宋体" w:cs="Times New Roman"/>
          <w:color w:val="000000"/>
          <w:sz w:val="24"/>
          <w:szCs w:val="24"/>
          <w:lang w:val="en-US" w:eastAsia="zh-CN"/>
        </w:rPr>
        <w:t>、</w:t>
      </w:r>
      <w:r>
        <w:rPr>
          <w:rFonts w:hint="eastAsia" w:ascii="Times New Roman" w:hAnsi="Times New Roman" w:cs="Times New Roman"/>
          <w:color w:val="000000"/>
          <w:sz w:val="24"/>
          <w:szCs w:val="24"/>
          <w:lang w:val="en-US" w:eastAsia="zh-CN"/>
        </w:rPr>
        <w:t>“</w:t>
      </w:r>
      <w:r>
        <w:rPr>
          <w:rFonts w:hint="eastAsia" w:ascii="Times New Roman" w:hAnsi="Times New Roman" w:eastAsia="宋体" w:cs="Times New Roman"/>
          <w:color w:val="000000"/>
          <w:sz w:val="24"/>
          <w:szCs w:val="24"/>
          <w:lang w:val="en-US" w:eastAsia="zh-CN"/>
        </w:rPr>
        <w:t>夜间可见性保障</w:t>
      </w:r>
      <w:r>
        <w:rPr>
          <w:rFonts w:hint="eastAsia" w:ascii="Times New Roman" w:hAnsi="Times New Roman" w:cs="Times New Roman"/>
          <w:color w:val="000000"/>
          <w:sz w:val="24"/>
          <w:szCs w:val="24"/>
          <w:lang w:val="en-US" w:eastAsia="zh-CN"/>
        </w:rPr>
        <w:t>”及“</w:t>
      </w:r>
      <w:r>
        <w:rPr>
          <w:rFonts w:hint="eastAsia" w:ascii="Times New Roman" w:hAnsi="Times New Roman" w:eastAsia="宋体" w:cs="Times New Roman"/>
          <w:color w:val="000000"/>
          <w:sz w:val="24"/>
          <w:szCs w:val="24"/>
          <w:lang w:val="en-US" w:eastAsia="zh-CN"/>
        </w:rPr>
        <w:t>交叉口冲突标注</w:t>
      </w:r>
      <w:r>
        <w:rPr>
          <w:rFonts w:hint="eastAsia" w:ascii="Times New Roman" w:hAnsi="Times New Roman" w:cs="Times New Roman"/>
          <w:color w:val="000000"/>
          <w:sz w:val="24"/>
          <w:szCs w:val="24"/>
          <w:lang w:val="en-US" w:eastAsia="zh-CN"/>
        </w:rPr>
        <w:t>”3项基本需求；“</w:t>
      </w:r>
      <w:r>
        <w:rPr>
          <w:rFonts w:hint="eastAsia" w:ascii="Times New Roman" w:hAnsi="Times New Roman" w:eastAsia="宋体" w:cs="Times New Roman"/>
          <w:color w:val="000000"/>
          <w:sz w:val="24"/>
          <w:szCs w:val="24"/>
          <w:lang w:val="en-US" w:eastAsia="zh-CN"/>
        </w:rPr>
        <w:t>速度警示</w:t>
      </w:r>
      <w:r>
        <w:rPr>
          <w:rFonts w:hint="eastAsia" w:ascii="Times New Roman" w:hAnsi="Times New Roman" w:cs="Times New Roman"/>
          <w:color w:val="000000"/>
          <w:sz w:val="24"/>
          <w:szCs w:val="24"/>
          <w:lang w:val="en-US" w:eastAsia="zh-CN"/>
        </w:rPr>
        <w:t>”及“</w:t>
      </w:r>
      <w:r>
        <w:rPr>
          <w:rFonts w:hint="eastAsia" w:ascii="Times New Roman" w:hAnsi="Times New Roman" w:eastAsia="宋体" w:cs="Times New Roman"/>
          <w:color w:val="000000"/>
          <w:sz w:val="24"/>
          <w:szCs w:val="24"/>
          <w:lang w:val="en-US" w:eastAsia="zh-CN"/>
        </w:rPr>
        <w:t>安全路径指引</w:t>
      </w:r>
      <w:r>
        <w:rPr>
          <w:rFonts w:hint="eastAsia" w:ascii="Times New Roman" w:hAnsi="Times New Roman" w:cs="Times New Roman"/>
          <w:color w:val="000000"/>
          <w:sz w:val="24"/>
          <w:szCs w:val="24"/>
          <w:lang w:val="en-US" w:eastAsia="zh-CN"/>
        </w:rPr>
        <w:t>”2项期望需求；“</w:t>
      </w:r>
      <w:r>
        <w:rPr>
          <w:rFonts w:hint="eastAsia" w:ascii="Times New Roman" w:hAnsi="Times New Roman" w:eastAsia="宋体" w:cs="Times New Roman"/>
          <w:color w:val="000000"/>
          <w:sz w:val="24"/>
          <w:szCs w:val="24"/>
          <w:lang w:val="en-US" w:eastAsia="zh-CN"/>
        </w:rPr>
        <w:t>景观融合设计</w:t>
      </w:r>
      <w:r>
        <w:rPr>
          <w:rFonts w:hint="eastAsia" w:ascii="Times New Roman" w:hAnsi="Times New Roman" w:cs="Times New Roman"/>
          <w:color w:val="000000"/>
          <w:sz w:val="24"/>
          <w:szCs w:val="24"/>
          <w:lang w:val="en-US" w:eastAsia="zh-CN"/>
        </w:rPr>
        <w:t>”1项兴奋需求。</w:t>
      </w:r>
    </w:p>
    <w:p w14:paraId="47CD050A">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3高校</w:t>
      </w:r>
      <w:r>
        <w:rPr>
          <w:rFonts w:hint="default" w:ascii="黑体" w:hAnsi="黑体" w:eastAsia="黑体"/>
          <w:b w:val="0"/>
          <w:bCs w:val="0"/>
          <w:sz w:val="30"/>
          <w:szCs w:val="30"/>
          <w:lang w:val="en-US" w:eastAsia="zh-CN"/>
        </w:rPr>
        <w:t>共享道路安全</w:t>
      </w:r>
      <w:r>
        <w:rPr>
          <w:rFonts w:hint="eastAsia" w:ascii="黑体" w:hAnsi="黑体" w:eastAsia="黑体"/>
          <w:b w:val="0"/>
          <w:bCs w:val="0"/>
          <w:sz w:val="30"/>
          <w:szCs w:val="30"/>
          <w:lang w:val="en-US" w:eastAsia="zh-CN"/>
        </w:rPr>
        <w:t>引导</w:t>
      </w:r>
      <w:r>
        <w:rPr>
          <w:rFonts w:hint="default" w:ascii="黑体" w:hAnsi="黑体" w:eastAsia="黑体"/>
          <w:b w:val="0"/>
          <w:bCs w:val="0"/>
          <w:sz w:val="30"/>
          <w:szCs w:val="30"/>
          <w:lang w:val="en-US" w:eastAsia="zh-CN"/>
        </w:rPr>
        <w:t>系统设计</w:t>
      </w:r>
      <w:r>
        <w:rPr>
          <w:rFonts w:hint="eastAsia" w:ascii="黑体" w:hAnsi="黑体" w:eastAsia="黑体"/>
          <w:b w:val="0"/>
          <w:bCs w:val="0"/>
          <w:sz w:val="30"/>
          <w:szCs w:val="30"/>
          <w:lang w:val="en-US" w:eastAsia="zh-CN"/>
        </w:rPr>
        <w:t>与可用性评估</w:t>
      </w:r>
    </w:p>
    <w:p w14:paraId="2C9E053A">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校园共享道路安全</w:t>
      </w:r>
      <w:r>
        <w:rPr>
          <w:rFonts w:hint="eastAsia" w:ascii="Times New Roman" w:hAnsi="Times New Roman" w:cs="Times New Roman"/>
          <w:color w:val="000000"/>
          <w:sz w:val="24"/>
          <w:szCs w:val="24"/>
          <w:lang w:val="en-US" w:eastAsia="zh-CN"/>
        </w:rPr>
        <w:t>引导</w:t>
      </w:r>
      <w:r>
        <w:rPr>
          <w:rFonts w:hint="eastAsia" w:ascii="Times New Roman" w:hAnsi="Times New Roman" w:eastAsia="宋体" w:cs="Times New Roman"/>
          <w:color w:val="000000"/>
          <w:sz w:val="24"/>
          <w:szCs w:val="24"/>
          <w:lang w:val="en-US" w:eastAsia="zh-CN"/>
        </w:rPr>
        <w:t>系统</w:t>
      </w:r>
      <w:r>
        <w:rPr>
          <w:rFonts w:hint="eastAsia" w:ascii="Times New Roman" w:hAnsi="Times New Roman" w:cs="Times New Roman"/>
          <w:color w:val="000000"/>
          <w:sz w:val="24"/>
          <w:szCs w:val="24"/>
          <w:lang w:val="en-US" w:eastAsia="zh-CN"/>
        </w:rPr>
        <w:t>涵盖共享道路标识系统设计与立面动态提示装置设计两部分内容，旨在构建“静态与动态”及“持续与即时”的互补协同关系。</w:t>
      </w:r>
    </w:p>
    <w:p w14:paraId="5C9D487B">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校园共享道路标识系统作为地面的视觉引导网络，采用了完备的设计方案（如图9与图10所示）。第一，借助冷蓝色骑行区、暖橙色行人区，搭配白色反光标线以及黄色凸起触感警示条，达成清晰的路权界定。第二，通过LED地埋灯带，以保障全天候夜间的可见性。第三，</w:t>
      </w:r>
      <w:r>
        <w:rPr>
          <w:rFonts w:ascii="宋体" w:hAnsi="宋体" w:eastAsia="宋体" w:cs="宋体"/>
          <w:sz w:val="24"/>
          <w:szCs w:val="24"/>
        </w:rPr>
        <w:t>在交叉口部署预警</w:t>
      </w:r>
      <w:r>
        <w:rPr>
          <w:rFonts w:hint="eastAsia" w:cs="宋体"/>
          <w:sz w:val="24"/>
          <w:szCs w:val="24"/>
          <w:lang w:val="en-US" w:eastAsia="zh-CN"/>
        </w:rPr>
        <w:t>标志</w:t>
      </w:r>
      <w:r>
        <w:rPr>
          <w:rFonts w:hint="eastAsia" w:cs="宋体"/>
          <w:sz w:val="24"/>
          <w:szCs w:val="24"/>
          <w:lang w:eastAsia="zh-CN"/>
        </w:rPr>
        <w:t>，</w:t>
      </w:r>
      <w:r>
        <w:rPr>
          <w:rFonts w:hint="eastAsia" w:cs="宋体"/>
          <w:sz w:val="24"/>
          <w:szCs w:val="24"/>
          <w:lang w:val="en-US" w:eastAsia="zh-CN"/>
        </w:rPr>
        <w:t>包括在路面绘制</w:t>
      </w:r>
      <w:r>
        <w:rPr>
          <w:rFonts w:ascii="宋体" w:hAnsi="宋体" w:eastAsia="宋体" w:cs="宋体"/>
          <w:sz w:val="24"/>
          <w:szCs w:val="24"/>
        </w:rPr>
        <w:t>黄色菱形警示色块</w:t>
      </w:r>
      <w:r>
        <w:rPr>
          <w:rFonts w:hint="eastAsia" w:cs="宋体"/>
          <w:sz w:val="24"/>
          <w:szCs w:val="24"/>
          <w:lang w:val="en-US" w:eastAsia="zh-CN"/>
        </w:rPr>
        <w:t>及</w:t>
      </w:r>
      <w:r>
        <w:rPr>
          <w:rFonts w:ascii="宋体" w:hAnsi="宋体" w:eastAsia="宋体" w:cs="宋体"/>
          <w:sz w:val="24"/>
          <w:szCs w:val="24"/>
        </w:rPr>
        <w:t>冲突点红色标识</w:t>
      </w:r>
      <w:r>
        <w:rPr>
          <w:rFonts w:hint="eastAsia" w:cs="宋体"/>
          <w:sz w:val="24"/>
          <w:szCs w:val="24"/>
          <w:lang w:eastAsia="zh-CN"/>
        </w:rPr>
        <w:t>。</w:t>
      </w:r>
      <w:r>
        <w:rPr>
          <w:rFonts w:hint="eastAsia" w:ascii="Times New Roman" w:hAnsi="Times New Roman" w:cs="Times New Roman"/>
          <w:color w:val="000000"/>
          <w:sz w:val="24"/>
          <w:szCs w:val="24"/>
          <w:lang w:val="en-US" w:eastAsia="zh-CN"/>
        </w:rPr>
        <w:t>第四，利用渐进减速标线，搭配每间隔100米设置一处的静态限速标识牌，实现基于视觉诱导的速度警示。第五，构建三层级路径引导网络，在地面上绘制路径方向箭头，实现连续的安全路径指引。第六，在共享道路中运用缓坡种植耐踩踏草坪作为减速带，实现功能与景观的融合式设计。</w:t>
      </w:r>
    </w:p>
    <w:p w14:paraId="4C7D2D97">
      <w:pPr>
        <w:pStyle w:val="4"/>
        <w:bidi w:val="0"/>
        <w:spacing w:before="120" w:after="120" w:line="360" w:lineRule="auto"/>
        <w:ind w:firstLine="480"/>
        <w:jc w:val="center"/>
        <w:rPr>
          <w:rFonts w:hint="eastAsia" w:ascii="Times New Roman" w:hAnsi="Times New Roman" w:cs="Times New Roman"/>
          <w:lang w:val="en-US" w:eastAsia="zh-CN"/>
        </w:rPr>
      </w:pPr>
      <w:r>
        <w:rPr>
          <w:rFonts w:hint="eastAsia" w:ascii="Times New Roman" w:hAnsi="Times New Roman" w:cs="Times New Roman"/>
          <w:color w:val="000000"/>
          <w:sz w:val="24"/>
          <w:szCs w:val="24"/>
          <w:lang w:val="en-US" w:eastAsia="zh-CN"/>
        </w:rPr>
        <w:drawing>
          <wp:anchor distT="0" distB="0" distL="114300" distR="114300" simplePos="0" relativeHeight="251667456" behindDoc="0" locked="0" layoutInCell="1" allowOverlap="1">
            <wp:simplePos x="0" y="0"/>
            <wp:positionH relativeFrom="column">
              <wp:posOffset>1133475</wp:posOffset>
            </wp:positionH>
            <wp:positionV relativeFrom="paragraph">
              <wp:posOffset>41910</wp:posOffset>
            </wp:positionV>
            <wp:extent cx="3072130" cy="2305050"/>
            <wp:effectExtent l="0" t="0" r="6350" b="11430"/>
            <wp:wrapTopAndBottom/>
            <wp:docPr id="8" name="图片 8" descr="C:/Users/zm/Desktop/b15b971c03a9bb4317d3eb5e3ecc09eb709766b84c4af8eb5f871f395e148472.pngb15b971c03a9bb4317d3eb5e3ecc09eb709766b84c4af8eb5f871f395e148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zm/Desktop/b15b971c03a9bb4317d3eb5e3ecc09eb709766b84c4af8eb5f871f395e148472.pngb15b971c03a9bb4317d3eb5e3ecc09eb709766b84c4af8eb5f871f395e148472"/>
                    <pic:cNvPicPr>
                      <a:picLocks noChangeAspect="1"/>
                    </pic:cNvPicPr>
                  </pic:nvPicPr>
                  <pic:blipFill>
                    <a:blip r:embed="rId15"/>
                    <a:srcRect l="19" r="19"/>
                    <a:stretch>
                      <a:fillRect/>
                    </a:stretch>
                  </pic:blipFill>
                  <pic:spPr>
                    <a:xfrm>
                      <a:off x="0" y="0"/>
                      <a:ext cx="3072130" cy="2305050"/>
                    </a:xfrm>
                    <a:prstGeom prst="rect">
                      <a:avLst/>
                    </a:prstGeom>
                  </pic:spPr>
                </pic:pic>
              </a:graphicData>
            </a:graphic>
          </wp:anchor>
        </w:drawing>
      </w:r>
      <w:r>
        <w:rPr>
          <w:rFonts w:hint="eastAsia" w:ascii="Times New Roman" w:hAnsi="Times New Roman" w:cs="Times New Roman"/>
          <w:lang w:val="en-US" w:eastAsia="zh-CN"/>
        </w:rPr>
        <w:t>图9 面向高校共享道路主要参与者的安全引导系统设计原型</w:t>
      </w:r>
    </w:p>
    <w:p w14:paraId="1D866C04">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drawing>
          <wp:anchor distT="0" distB="0" distL="114300" distR="114300" simplePos="0" relativeHeight="251668480" behindDoc="0" locked="0" layoutInCell="1" allowOverlap="1">
            <wp:simplePos x="0" y="0"/>
            <wp:positionH relativeFrom="column">
              <wp:posOffset>864235</wp:posOffset>
            </wp:positionH>
            <wp:positionV relativeFrom="paragraph">
              <wp:posOffset>109220</wp:posOffset>
            </wp:positionV>
            <wp:extent cx="3907155" cy="1719580"/>
            <wp:effectExtent l="0" t="0" r="9525" b="2540"/>
            <wp:wrapSquare wrapText="bothSides"/>
            <wp:docPr id="6" name="图片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age"/>
                    <pic:cNvPicPr>
                      <a:picLocks noChangeAspect="1"/>
                    </pic:cNvPicPr>
                  </pic:nvPicPr>
                  <pic:blipFill>
                    <a:blip r:embed="rId16"/>
                    <a:srcRect t="32005" b="9323"/>
                    <a:stretch>
                      <a:fillRect/>
                    </a:stretch>
                  </pic:blipFill>
                  <pic:spPr>
                    <a:xfrm>
                      <a:off x="0" y="0"/>
                      <a:ext cx="3907155" cy="1719580"/>
                    </a:xfrm>
                    <a:prstGeom prst="rect">
                      <a:avLst/>
                    </a:prstGeom>
                  </pic:spPr>
                </pic:pic>
              </a:graphicData>
            </a:graphic>
          </wp:anchor>
        </w:drawing>
      </w:r>
    </w:p>
    <w:p w14:paraId="6B7B4BEF">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3B8589E9">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7214E386">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73C55E00">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5F991A04">
      <w:pPr>
        <w:pStyle w:val="4"/>
        <w:bidi w:val="0"/>
        <w:spacing w:before="120" w:after="120" w:line="360" w:lineRule="auto"/>
        <w:ind w:firstLine="480"/>
        <w:jc w:val="center"/>
        <w:rPr>
          <w:rFonts w:hint="eastAsia" w:ascii="Times New Roman" w:hAnsi="Times New Roman" w:cs="Times New Roman"/>
          <w:i w:val="0"/>
          <w:color w:val="000000"/>
          <w:sz w:val="24"/>
          <w:szCs w:val="24"/>
          <w:lang w:val="en-US" w:eastAsia="zh-CN"/>
        </w:rPr>
      </w:pPr>
      <w:r>
        <w:rPr>
          <w:rFonts w:hint="eastAsia" w:ascii="Times New Roman" w:hAnsi="Times New Roman" w:cs="Times New Roman"/>
          <w:lang w:val="en-US" w:eastAsia="zh-CN"/>
        </w:rPr>
        <w:t>图10 交叉口部署预警标志设计原型</w:t>
      </w:r>
    </w:p>
    <w:p w14:paraId="2B9E9D2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立面动态提示装置选用屏幕展示装置，借助屏幕主要信息区（占比70%面积）与侧边栏辅助信息区（占比30%面积）的分区布局方式，达成动态信息的即时展示。主要信息区实时呈现速度反馈、冲突预警信息以及路径优化建议（如图11所示）。此外，侧边栏展示当前流量状态、时间天气、文明出行统计等辅助信息。</w:t>
      </w:r>
    </w:p>
    <w:p w14:paraId="4A1A7118">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p>
    <w:p w14:paraId="2DA3D191">
      <w:pPr>
        <w:pStyle w:val="4"/>
        <w:bidi w:val="0"/>
        <w:spacing w:before="120" w:after="120" w:line="360" w:lineRule="auto"/>
        <w:ind w:firstLine="480"/>
        <w:jc w:val="center"/>
        <w:rPr>
          <w:rFonts w:hint="default" w:ascii="Times New Roman" w:hAnsi="Times New Roman" w:cs="Times New Roman"/>
          <w:i w:val="0"/>
          <w:color w:val="000000"/>
          <w:sz w:val="24"/>
          <w:szCs w:val="24"/>
          <w:lang w:val="en-US" w:eastAsia="zh-CN"/>
        </w:rPr>
      </w:pPr>
      <w:r>
        <w:rPr>
          <w:rFonts w:hint="default" w:ascii="Times New Roman" w:hAnsi="Times New Roman" w:cs="Times New Roman"/>
          <w:color w:val="000000"/>
          <w:sz w:val="24"/>
          <w:szCs w:val="24"/>
          <w:lang w:val="en-US" w:eastAsia="zh-CN"/>
        </w:rPr>
        <w:drawing>
          <wp:anchor distT="0" distB="0" distL="114300" distR="114300" simplePos="0" relativeHeight="251669504" behindDoc="0" locked="0" layoutInCell="1" allowOverlap="1">
            <wp:simplePos x="0" y="0"/>
            <wp:positionH relativeFrom="column">
              <wp:posOffset>210185</wp:posOffset>
            </wp:positionH>
            <wp:positionV relativeFrom="paragraph">
              <wp:posOffset>73660</wp:posOffset>
            </wp:positionV>
            <wp:extent cx="4831715" cy="3703955"/>
            <wp:effectExtent l="0" t="0" r="14605" b="14605"/>
            <wp:wrapTopAndBottom/>
            <wp:docPr id="10" name="图片 10" descr="eb5308f2aba9d8f2cba10f23585bb67803cf4d6e7cbf77f64d8a413ee2edf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b5308f2aba9d8f2cba10f23585bb67803cf4d6e7cbf77f64d8a413ee2edff10"/>
                    <pic:cNvPicPr>
                      <a:picLocks noChangeAspect="1"/>
                    </pic:cNvPicPr>
                  </pic:nvPicPr>
                  <pic:blipFill>
                    <a:blip r:embed="rId17"/>
                    <a:srcRect l="13429" b="11502"/>
                    <a:stretch>
                      <a:fillRect/>
                    </a:stretch>
                  </pic:blipFill>
                  <pic:spPr>
                    <a:xfrm>
                      <a:off x="0" y="0"/>
                      <a:ext cx="4831715" cy="3703955"/>
                    </a:xfrm>
                    <a:prstGeom prst="rect">
                      <a:avLst/>
                    </a:prstGeom>
                  </pic:spPr>
                </pic:pic>
              </a:graphicData>
            </a:graphic>
          </wp:anchor>
        </w:drawing>
      </w:r>
      <w:r>
        <w:rPr>
          <w:rFonts w:hint="eastAsia" w:ascii="Times New Roman" w:hAnsi="Times New Roman" w:cs="Times New Roman"/>
          <w:lang w:val="en-US" w:eastAsia="zh-CN"/>
        </w:rPr>
        <w:t>图11 立面动态提示装置设计原型</w:t>
      </w:r>
    </w:p>
    <w:p w14:paraId="68B3EA7C">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p>
    <w:p>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 xml:space="preserve">除此之外，针对高校共享道路安全引导系统的设计，本研究邀请相关专家及校园共享道路的主要交通参与者共26人，从可用性、骑行安全与步行安全三个维度构建了系统性的综合评估框架。首先，在可用性方面，采用系统可用性量表对导视系统的主观体验进行测量</w:t>
      </w:r>
      <w:r>
        <w:rPr>
          <w:rFonts w:hint="eastAsia" w:ascii="Times New Roman" w:hAnsi="Times New Roman" w:cs="Times New Roman"/>
          <w:color w:val="000000"/>
          <w:sz w:val="24"/>
          <w:szCs w:val="24"/>
          <w:lang w:val="en-US" w:eastAsia="zh-CN"/>
          <w:vertAlign w:val="superscript"/>
        </w:rPr>
        <w:t xml:space="preserve">[46]</w:t>
      </w:r>
      <w:r>
        <w:rPr>
          <w:rFonts w:hint="eastAsia" w:ascii="Times New Roman" w:hAnsi="Times New Roman" w:cs="Times New Roman"/>
          <w:color w:val="000000"/>
          <w:sz w:val="24"/>
          <w:szCs w:val="24"/>
          <w:lang w:val="en-US" w:eastAsia="zh-CN"/>
        </w:rPr>
        <w:t xml:space="preserve">。SUS包含10项标准化条目，通过5点李克特量表从“强烈不同意”到“强烈同意”评估用户对系统的整体易用性。测评重点聚焦于蓝色骑行区与橙色步行区的色彩分区辨识度、动态信息的理解效率、路径指引的连续性以及屏幕辅助信息区的阅读流畅度等关键使用情境。结果表明，大多数参与者能在短时间内理解系统结构并完成相应任务，系统整体SUS得分为76.3分（标准差SD=9.8），高于行业普遍认可的68分可用性阈值</w:t>
      </w:r>
      <w:r>
        <w:rPr>
          <w:rFonts w:hint="eastAsia" w:ascii="Times New Roman" w:hAnsi="Times New Roman" w:cs="Times New Roman"/>
          <w:color w:val="000000"/>
          <w:sz w:val="24"/>
          <w:szCs w:val="24"/>
          <w:lang w:val="en-US" w:eastAsia="zh-CN"/>
          <w:vertAlign w:val="superscript"/>
        </w:rPr>
        <w:t xml:space="preserve">[47-48]</w:t>
      </w:r>
      <w:r>
        <w:rPr>
          <w:rFonts w:hint="eastAsia" w:ascii="Times New Roman" w:hAnsi="Times New Roman" w:cs="Times New Roman"/>
          <w:color w:val="000000"/>
          <w:sz w:val="24"/>
          <w:szCs w:val="24"/>
          <w:lang w:val="en-US" w:eastAsia="zh-CN"/>
        </w:rPr>
        <w:t xml:space="preserve">，按形容词评价量表对应“良好”（Good）等级，说明其具备良好的科学性与操作效率，用户满意度较高。</w:t>
      </w:r>
    </w:p>
    <w:p w14:paraId="40666552">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其次，在骑行安全量化层面，系统依据BLOS模型对骑行道的运行品质进行综合评定。评价参数包括蓝色骑行道的有效宽度、与行人区之间的物理分隔效果、路面标识与指示图形的清晰度、夜间LED照明条件是否满足骑行需求，以及减速设施的布设密度。大部分区段在安全引导视觉改善后呈现向高等级靠近的趋势，通过模型计算，优化后的骑行道可获得B的服务水平，说明导视设计能有效提升骑行者的安全感与路线预期性。</w:t>
      </w:r>
    </w:p>
    <w:p w14:paraId="0BD2599C">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在步行安全方面，采用PUCE评估方法，对行人在共享道路中的安全余量进行量化分析。重点考察橙色步行区的有效通行宽度、步骑交叉点的冲突频率、动态提示装置在不同速度场景下的预警有效距离，以及草坪缓冲带对潜在入侵冲击的削弱作用。结果表明，优化后的视觉引导策略能够降低行人与骑行者在关键节点的冲突风险，行人对避险空间和路径安全性的主观感知也得到提升。</w:t>
      </w:r>
    </w:p>
    <w:p w14:paraId="5CB5F017">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综上，本研究通过SUS可用性评价、BLOS骑行服务水平分析与PUCE步行安全空间量化，形成了“可用性-骑行安全-步行安全”三维度的校园共享道路综合评估体系。评估结果验证了安全引导系统在提升校园共享道路识别效率、行为预期性与交通安全体验方面的有效性，并为后续设计优化提供了明确方向。</w:t>
      </w:r>
    </w:p>
    <w:p w14:paraId="0E72D3F8">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5课题</w:t>
      </w:r>
      <w:r>
        <w:rPr>
          <w:rFonts w:hint="default" w:ascii="黑体" w:hAnsi="黑体" w:eastAsia="黑体"/>
          <w:b w:val="0"/>
          <w:bCs w:val="0"/>
          <w:sz w:val="30"/>
          <w:szCs w:val="30"/>
          <w:lang w:val="en-US" w:eastAsia="zh-CN"/>
        </w:rPr>
        <w:t>研究</w:t>
      </w:r>
      <w:r>
        <w:rPr>
          <w:rFonts w:hint="eastAsia" w:ascii="黑体" w:hAnsi="黑体" w:eastAsia="黑体"/>
          <w:b w:val="0"/>
          <w:bCs w:val="0"/>
          <w:sz w:val="30"/>
          <w:szCs w:val="30"/>
          <w:lang w:val="en-US" w:eastAsia="zh-CN"/>
        </w:rPr>
        <w:t>总结</w:t>
      </w:r>
    </w:p>
    <w:p w14:paraId="1FA5608F">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5.1课题研究成果概述</w:t>
      </w:r>
    </w:p>
    <w:p w14:paraId="661828F9">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研究聚焦于化解高校共享道路的交通冲突问题。鉴于当前有关高校共享道路交通冲突的系统化理论研究以及安全引导策略均相对缺乏，本课题聚焦于高校共享道路中的交通安全议题，以行人和骑行者作为研究对象，遵循“特征识别—模型构建—需求识别—策略生成”的研究路径，系统性地探究高校共享道路内部的交通冲突机理，并据此构建共享道路交通参与者的行为模型，进而形成降低共享道路交通冲突的安全引导策略，为营造安全的校园共享交通环境提供理论与实践层面的支撑。因此，本课题构建了四项循序渐进的研究任务：第一，高校共享道路交通冲突特征识别；第二，共享道路冲突主体安全认知与行为意图作用机理研究；第三，共享道路交通冲突主体认知偏差与需求分析；第四，高校共享道路安全引导策略生成与验证。本研究在理论与实践层面均取得重要成果。</w:t>
      </w:r>
    </w:p>
    <w:p w14:paraId="34AAD7B8">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高校共享道路交通主要参与者的冲突特征识别研究中，共识别出294起有效冲突事件。研究发现，超半数冲突集中于五个热点区域，此类区域仅占观察点总数的41.7%，却承载了51.7%的冲突事件。此外，时间分布分析显示，早高峰时段冲突发生率最高，占总数的28.2%，其次为晚高峰时段，占26.2%，这反映出集中出行时段的交通压力问题。同时，高校共享道路交通主要参与者的行为分析表明：注意力分散类行为是导致冲突的首要因素，占比达37.8%，其中低头看手机行为尤为显著，占18.7%；违规运动类行为位居第二，占31.3%，主要表现为逆向骑行和超速行驶。</w:t>
      </w:r>
    </w:p>
    <w:p w14:paraId="3F912C3C">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default" w:ascii="Times New Roman" w:hAnsi="Times New Roman" w:cs="Times New Roman"/>
          <w:color w:val="000000"/>
          <w:sz w:val="24"/>
          <w:szCs w:val="24"/>
          <w:lang w:val="en-US" w:eastAsia="zh-CN"/>
        </w:rPr>
        <w:t>在</w:t>
      </w:r>
      <w:r>
        <w:rPr>
          <w:rFonts w:hint="eastAsia" w:ascii="Times New Roman" w:hAnsi="Times New Roman" w:cs="Times New Roman"/>
          <w:color w:val="000000"/>
          <w:sz w:val="24"/>
          <w:szCs w:val="24"/>
          <w:lang w:val="en-US" w:eastAsia="zh-CN"/>
        </w:rPr>
        <w:t>共享道路冲突主体安全认知与行为意图作用机理研究</w:t>
      </w:r>
      <w:r>
        <w:rPr>
          <w:rFonts w:hint="default" w:ascii="Times New Roman" w:hAnsi="Times New Roman" w:cs="Times New Roman"/>
          <w:color w:val="000000"/>
          <w:sz w:val="24"/>
          <w:szCs w:val="24"/>
          <w:lang w:val="en-US" w:eastAsia="zh-CN"/>
        </w:rPr>
        <w:t>中，本</w:t>
      </w:r>
      <w:r>
        <w:rPr>
          <w:rFonts w:hint="eastAsia" w:ascii="Times New Roman" w:hAnsi="Times New Roman" w:cs="Times New Roman"/>
          <w:color w:val="000000"/>
          <w:sz w:val="24"/>
          <w:szCs w:val="24"/>
          <w:lang w:val="en-US" w:eastAsia="zh-CN"/>
        </w:rPr>
        <w:t>课题分别</w:t>
      </w:r>
      <w:r>
        <w:rPr>
          <w:rFonts w:hint="default" w:ascii="Times New Roman" w:hAnsi="Times New Roman" w:cs="Times New Roman"/>
          <w:color w:val="000000"/>
          <w:sz w:val="24"/>
          <w:szCs w:val="24"/>
          <w:lang w:val="en-US" w:eastAsia="zh-CN"/>
        </w:rPr>
        <w:t>构建了</w:t>
      </w:r>
      <w:r>
        <w:rPr>
          <w:rFonts w:hint="eastAsia" w:ascii="Times New Roman" w:hAnsi="Times New Roman" w:cs="Times New Roman"/>
          <w:color w:val="000000"/>
          <w:sz w:val="24"/>
          <w:szCs w:val="24"/>
          <w:lang w:val="en-US" w:eastAsia="zh-CN"/>
        </w:rPr>
        <w:t>面向高校共享道路交通主要冲突者（即</w:t>
      </w:r>
      <w:r>
        <w:rPr>
          <w:rFonts w:hint="default" w:ascii="Times New Roman" w:hAnsi="Times New Roman" w:cs="Times New Roman"/>
          <w:color w:val="000000"/>
          <w:sz w:val="24"/>
          <w:szCs w:val="24"/>
          <w:lang w:val="en-US" w:eastAsia="zh-CN"/>
        </w:rPr>
        <w:t>行人与骑行者</w:t>
      </w:r>
      <w:r>
        <w:rPr>
          <w:rFonts w:hint="eastAsia" w:ascii="Times New Roman" w:hAnsi="Times New Roman" w:cs="Times New Roman"/>
          <w:color w:val="000000"/>
          <w:sz w:val="24"/>
          <w:szCs w:val="24"/>
          <w:lang w:val="en-US" w:eastAsia="zh-CN"/>
        </w:rPr>
        <w:t>）</w:t>
      </w:r>
      <w:r>
        <w:rPr>
          <w:rFonts w:hint="default" w:ascii="Times New Roman" w:hAnsi="Times New Roman" w:cs="Times New Roman"/>
          <w:color w:val="000000"/>
          <w:sz w:val="24"/>
          <w:szCs w:val="24"/>
          <w:lang w:val="en-US" w:eastAsia="zh-CN"/>
        </w:rPr>
        <w:t>差异化的行为决策模型。</w:t>
      </w:r>
      <w:r>
        <w:rPr>
          <w:rFonts w:hint="eastAsia" w:ascii="Times New Roman" w:hAnsi="Times New Roman" w:cs="Times New Roman"/>
          <w:color w:val="000000"/>
          <w:sz w:val="24"/>
          <w:szCs w:val="24"/>
          <w:lang w:val="en-US" w:eastAsia="zh-CN"/>
        </w:rPr>
        <w:t>研究表明：行人的决策过程遵循“风险感知→安全态度→行为意图”的机理，该模型对行为意图的解释力达52.</w:t>
      </w:r>
      <w:r>
        <w:rPr>
          <w:rFonts w:hint="default" w:ascii="Times New Roman" w:hAnsi="Times New Roman" w:cs="Times New Roman"/>
          <w:color w:val="000000"/>
          <w:sz w:val="24"/>
          <w:szCs w:val="24"/>
          <w:lang w:val="en-US" w:eastAsia="zh-CN"/>
        </w:rPr>
        <w:t>3%，其中安全态度的路径系数高达0.378，“脆弱性悖论”</w:t>
      </w:r>
      <w:r>
        <w:rPr>
          <w:rFonts w:hint="eastAsia" w:ascii="Times New Roman" w:hAnsi="Times New Roman" w:cs="Times New Roman"/>
          <w:color w:val="000000"/>
          <w:sz w:val="24"/>
          <w:szCs w:val="24"/>
          <w:lang w:val="en-US" w:eastAsia="zh-CN"/>
        </w:rPr>
        <w:t>在行人决策模型中相对明显</w:t>
      </w:r>
      <w:r>
        <w:rPr>
          <w:rFonts w:hint="default" w:ascii="Times New Roman" w:hAnsi="Times New Roman" w:cs="Times New Roman"/>
          <w:color w:val="000000"/>
          <w:sz w:val="24"/>
          <w:szCs w:val="24"/>
          <w:lang w:val="en-US" w:eastAsia="zh-CN"/>
        </w:rPr>
        <w:t>。</w:t>
      </w:r>
      <w:r>
        <w:rPr>
          <w:rFonts w:hint="eastAsia" w:ascii="Times New Roman" w:hAnsi="Times New Roman" w:cs="Times New Roman"/>
          <w:color w:val="000000"/>
          <w:sz w:val="24"/>
          <w:szCs w:val="24"/>
          <w:lang w:val="en-US" w:eastAsia="zh-CN"/>
        </w:rPr>
        <w:t>相比之下，骑行者遵循“感知易用性→知觉行为控制→行为意图”的机理，模型解释力为44.</w:t>
      </w:r>
      <w:r>
        <w:rPr>
          <w:rFonts w:hint="default" w:ascii="Times New Roman" w:hAnsi="Times New Roman" w:cs="Times New Roman"/>
          <w:color w:val="000000"/>
          <w:sz w:val="24"/>
          <w:szCs w:val="24"/>
          <w:lang w:val="en-US" w:eastAsia="zh-CN"/>
        </w:rPr>
        <w:t>8%，知觉行为控制的路径系数为0.324，</w:t>
      </w:r>
      <w:r>
        <w:rPr>
          <w:rFonts w:hint="eastAsia" w:ascii="Times New Roman" w:hAnsi="Times New Roman" w:cs="Times New Roman"/>
          <w:color w:val="000000"/>
          <w:sz w:val="24"/>
          <w:szCs w:val="24"/>
          <w:lang w:val="en-US" w:eastAsia="zh-CN"/>
        </w:rPr>
        <w:t>这</w:t>
      </w:r>
      <w:r>
        <w:rPr>
          <w:rFonts w:hint="default" w:ascii="Times New Roman" w:hAnsi="Times New Roman" w:cs="Times New Roman"/>
          <w:color w:val="000000"/>
          <w:sz w:val="24"/>
          <w:szCs w:val="24"/>
          <w:lang w:val="en-US" w:eastAsia="zh-CN"/>
        </w:rPr>
        <w:t>反映出骑行者更注重对环境的实际控制能力。</w:t>
      </w:r>
      <w:r>
        <w:rPr>
          <w:rFonts w:hint="eastAsia" w:ascii="Times New Roman" w:hAnsi="Times New Roman" w:cs="Times New Roman"/>
          <w:color w:val="000000"/>
          <w:sz w:val="24"/>
          <w:szCs w:val="24"/>
          <w:lang w:val="en-US" w:eastAsia="zh-CN"/>
        </w:rPr>
        <w:t>以上行为机理</w:t>
      </w:r>
      <w:r>
        <w:rPr>
          <w:rFonts w:hint="default" w:ascii="Times New Roman" w:hAnsi="Times New Roman" w:cs="Times New Roman"/>
          <w:color w:val="000000"/>
          <w:sz w:val="24"/>
          <w:szCs w:val="24"/>
          <w:lang w:val="en-US" w:eastAsia="zh-CN"/>
        </w:rPr>
        <w:t>的差异为制定针对性的安全</w:t>
      </w:r>
      <w:r>
        <w:rPr>
          <w:rFonts w:hint="eastAsia" w:ascii="Times New Roman" w:hAnsi="Times New Roman" w:cs="Times New Roman"/>
          <w:color w:val="000000"/>
          <w:sz w:val="24"/>
          <w:szCs w:val="24"/>
          <w:lang w:val="en-US" w:eastAsia="zh-CN"/>
        </w:rPr>
        <w:t>引导</w:t>
      </w:r>
      <w:r>
        <w:rPr>
          <w:rFonts w:hint="default" w:ascii="Times New Roman" w:hAnsi="Times New Roman" w:cs="Times New Roman"/>
          <w:color w:val="000000"/>
          <w:sz w:val="24"/>
          <w:szCs w:val="24"/>
          <w:lang w:val="en-US" w:eastAsia="zh-CN"/>
        </w:rPr>
        <w:t>策略提供了重要理论依据。</w:t>
      </w:r>
    </w:p>
    <w:p w14:paraId="25AA2755">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在</w:t>
      </w:r>
      <w:r>
        <w:rPr>
          <w:rFonts w:hint="default" w:ascii="Times New Roman" w:hAnsi="Times New Roman" w:cs="Times New Roman"/>
          <w:color w:val="000000"/>
          <w:sz w:val="24"/>
          <w:szCs w:val="24"/>
          <w:lang w:val="en-US" w:eastAsia="zh-CN"/>
        </w:rPr>
        <w:t>共享道路交通冲突主体认知偏差与需求分析</w:t>
      </w:r>
      <w:r>
        <w:rPr>
          <w:rFonts w:hint="eastAsia" w:ascii="Times New Roman" w:hAnsi="Times New Roman" w:cs="Times New Roman"/>
          <w:color w:val="000000"/>
          <w:sz w:val="24"/>
          <w:szCs w:val="24"/>
          <w:lang w:val="en-US" w:eastAsia="zh-CN"/>
        </w:rPr>
        <w:t>中</w:t>
      </w:r>
      <w:r>
        <w:rPr>
          <w:rFonts w:hint="default" w:ascii="Times New Roman" w:hAnsi="Times New Roman" w:cs="Times New Roman"/>
          <w:color w:val="000000"/>
          <w:sz w:val="24"/>
          <w:szCs w:val="24"/>
          <w:lang w:val="en-US" w:eastAsia="zh-CN"/>
        </w:rPr>
        <w:t>发现</w:t>
      </w:r>
      <w:r>
        <w:rPr>
          <w:rFonts w:hint="eastAsia" w:ascii="Times New Roman" w:hAnsi="Times New Roman" w:cs="Times New Roman"/>
          <w:color w:val="000000"/>
          <w:sz w:val="24"/>
          <w:szCs w:val="24"/>
          <w:lang w:val="en-US" w:eastAsia="zh-CN"/>
        </w:rPr>
        <w:t>：</w:t>
      </w:r>
      <w:r>
        <w:rPr>
          <w:rFonts w:hint="default" w:ascii="Times New Roman" w:hAnsi="Times New Roman" w:cs="Times New Roman"/>
          <w:color w:val="000000"/>
          <w:sz w:val="24"/>
          <w:szCs w:val="24"/>
          <w:lang w:val="en-US" w:eastAsia="zh-CN"/>
        </w:rPr>
        <w:t>36.5%的场景存在显著正偏差，即使用者低估了实际风险；21.9%的场景存在显著负偏差，表现为过度谨慎。</w:t>
      </w:r>
      <w:r>
        <w:rPr>
          <w:rFonts w:hint="eastAsia" w:ascii="Times New Roman" w:hAnsi="Times New Roman" w:cs="Times New Roman"/>
          <w:color w:val="000000"/>
          <w:sz w:val="24"/>
          <w:szCs w:val="24"/>
          <w:lang w:val="en-US" w:eastAsia="zh-CN"/>
        </w:rPr>
        <w:t>尤其值得关注的是，弯道路段的平均认知偏差系数达到32.</w:t>
      </w:r>
      <w:r>
        <w:rPr>
          <w:rFonts w:hint="default" w:ascii="Times New Roman" w:hAnsi="Times New Roman" w:cs="Times New Roman"/>
          <w:color w:val="000000"/>
          <w:sz w:val="24"/>
          <w:szCs w:val="24"/>
          <w:lang w:val="en-US" w:eastAsia="zh-CN"/>
        </w:rPr>
        <w:t>8%，风险被严重低估，而建筑出入口区域则呈现-19.3%的负偏差，风险被高估。</w:t>
      </w:r>
      <w:r>
        <w:rPr>
          <w:rFonts w:hint="eastAsia" w:ascii="Times New Roman" w:hAnsi="Times New Roman" w:cs="Times New Roman"/>
          <w:color w:val="000000"/>
          <w:sz w:val="24"/>
          <w:szCs w:val="24"/>
          <w:lang w:val="en-US" w:eastAsia="zh-CN"/>
        </w:rPr>
        <w:t>此类</w:t>
      </w:r>
      <w:r>
        <w:rPr>
          <w:rFonts w:hint="default" w:ascii="Times New Roman" w:hAnsi="Times New Roman" w:cs="Times New Roman"/>
          <w:color w:val="000000"/>
          <w:sz w:val="24"/>
          <w:szCs w:val="24"/>
          <w:lang w:val="en-US" w:eastAsia="zh-CN"/>
        </w:rPr>
        <w:t>认知偏差的存在直接影响交通参与者的行为选择，成为引发交通冲突的潜在因素。</w:t>
      </w:r>
    </w:p>
    <w:p w14:paraId="18069425">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default" w:ascii="Times New Roman" w:hAnsi="Times New Roman" w:cs="Times New Roman"/>
          <w:color w:val="000000"/>
          <w:sz w:val="24"/>
          <w:szCs w:val="24"/>
          <w:lang w:val="en-US" w:eastAsia="zh-CN"/>
        </w:rPr>
        <w:t xml:space="preserve">在实践应用方面，研究形成了包含五个维度23项具体要素的面向高校共享道路主要参与者的安全引导系统需求清单，明确划分了基本需求、期望需求和兴奋需求三个层级，并以此生成安全引导策略。研究开发了面向高校共享道路主要参与者的安全引导系统设计原型，采用蓝色标识骑行区域、橙色标识步行区域的色彩编码策略，配合照明系统、交叉口冲突标注和动态信息显示装置，形成了静态与动态相结合的综合引导方案。可用性评估结果显示，系统可用性量表得分为76.3分，高于行业认可的68分可用性标准；自行车服务水平评估表明骑行道服务等级提升至B级；路径使用者舒适度评估证实行人的安全感知得到显著改善。</w:t>
      </w:r>
    </w:p>
    <w:p w14:paraId="0E860BD8">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5.2课题研究局限与不足</w:t>
      </w:r>
    </w:p>
    <w:p w14:paraId="687A359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尽管本课题已取得一定成果，但仍存在若干局限，需在后续研究中予以改进。研究样本的代表性存在一定局限，因研究仅在湖北工业大学一所高校开展，研究结论的普适性尚需在不同类型、不同地域、不同规模的高校中进一步验证。此外，时间跨度的局限亦是本研究的不足之处，其数据采集期未能全面涵盖全年不同季节和天气条件下的交通状况变化，可能对研究结果的全面性产生影响。</w:t>
      </w:r>
    </w:p>
    <w:p w14:paraId="626D3130">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同时，</w:t>
      </w:r>
      <w:r>
        <w:rPr>
          <w:rFonts w:hint="default" w:ascii="Times New Roman" w:hAnsi="Times New Roman" w:cs="Times New Roman"/>
          <w:color w:val="000000"/>
          <w:sz w:val="24"/>
          <w:szCs w:val="24"/>
          <w:lang w:val="en-US" w:eastAsia="zh-CN"/>
        </w:rPr>
        <w:t>设计</w:t>
      </w:r>
      <w:r>
        <w:rPr>
          <w:rFonts w:hint="eastAsia" w:ascii="Times New Roman" w:hAnsi="Times New Roman" w:cs="Times New Roman"/>
          <w:color w:val="000000"/>
          <w:sz w:val="24"/>
          <w:szCs w:val="24"/>
          <w:lang w:val="en-US" w:eastAsia="zh-CN"/>
        </w:rPr>
        <w:t>原型的</w:t>
      </w:r>
      <w:r>
        <w:rPr>
          <w:rFonts w:hint="default" w:ascii="Times New Roman" w:hAnsi="Times New Roman" w:cs="Times New Roman"/>
          <w:color w:val="000000"/>
          <w:sz w:val="24"/>
          <w:szCs w:val="24"/>
          <w:lang w:val="en-US" w:eastAsia="zh-CN"/>
        </w:rPr>
        <w:t>验证深度</w:t>
      </w:r>
      <w:r>
        <w:rPr>
          <w:rFonts w:hint="eastAsia" w:ascii="Times New Roman" w:hAnsi="Times New Roman" w:cs="Times New Roman"/>
          <w:color w:val="000000"/>
          <w:sz w:val="24"/>
          <w:szCs w:val="24"/>
          <w:lang w:val="en-US" w:eastAsia="zh-CN"/>
        </w:rPr>
        <w:t>仍需</w:t>
      </w:r>
      <w:r>
        <w:rPr>
          <w:rFonts w:hint="default" w:ascii="Times New Roman" w:hAnsi="Times New Roman" w:cs="Times New Roman"/>
          <w:color w:val="000000"/>
          <w:sz w:val="24"/>
          <w:szCs w:val="24"/>
          <w:lang w:val="en-US" w:eastAsia="zh-CN"/>
        </w:rPr>
        <w:t>加强</w:t>
      </w:r>
      <w:r>
        <w:rPr>
          <w:rFonts w:hint="eastAsia" w:ascii="Times New Roman" w:hAnsi="Times New Roman" w:cs="Times New Roman"/>
          <w:color w:val="000000"/>
          <w:sz w:val="24"/>
          <w:szCs w:val="24"/>
          <w:lang w:val="en-US" w:eastAsia="zh-CN"/>
        </w:rPr>
        <w:t>。本课题构建的</w:t>
      </w:r>
      <w:r>
        <w:rPr>
          <w:rFonts w:hint="default" w:ascii="Times New Roman" w:hAnsi="Times New Roman" w:cs="Times New Roman"/>
          <w:color w:val="000000"/>
          <w:sz w:val="24"/>
          <w:szCs w:val="24"/>
          <w:lang w:val="en-US" w:eastAsia="zh-CN"/>
        </w:rPr>
        <w:t>面向高校共享道路主要参与者的安全引导系统设计原型主要在模拟环境下进行了可用性测试，缺乏在实际道路环境中的长期部署</w:t>
      </w:r>
      <w:r>
        <w:rPr>
          <w:rFonts w:hint="eastAsia" w:ascii="Times New Roman" w:hAnsi="Times New Roman" w:cs="Times New Roman"/>
          <w:color w:val="000000"/>
          <w:sz w:val="24"/>
          <w:szCs w:val="24"/>
          <w:lang w:val="en-US" w:eastAsia="zh-CN"/>
        </w:rPr>
        <w:t>与</w:t>
      </w:r>
      <w:r>
        <w:rPr>
          <w:rFonts w:hint="default" w:ascii="Times New Roman" w:hAnsi="Times New Roman" w:cs="Times New Roman"/>
          <w:color w:val="000000"/>
          <w:sz w:val="24"/>
          <w:szCs w:val="24"/>
          <w:lang w:val="en-US" w:eastAsia="zh-CN"/>
        </w:rPr>
        <w:t>效果追踪，这限制了对设计方案实际效果的</w:t>
      </w:r>
      <w:r>
        <w:rPr>
          <w:rFonts w:hint="eastAsia" w:ascii="Times New Roman" w:hAnsi="Times New Roman" w:cs="Times New Roman"/>
          <w:color w:val="000000"/>
          <w:sz w:val="24"/>
          <w:szCs w:val="24"/>
          <w:lang w:val="en-US" w:eastAsia="zh-CN"/>
        </w:rPr>
        <w:t>精准</w:t>
      </w:r>
      <w:r>
        <w:rPr>
          <w:rFonts w:hint="default" w:ascii="Times New Roman" w:hAnsi="Times New Roman" w:cs="Times New Roman"/>
          <w:color w:val="000000"/>
          <w:sz w:val="24"/>
          <w:szCs w:val="24"/>
          <w:lang w:val="en-US" w:eastAsia="zh-CN"/>
        </w:rPr>
        <w:t>评估。</w:t>
      </w:r>
      <w:r>
        <w:rPr>
          <w:rFonts w:hint="eastAsia" w:ascii="Times New Roman" w:hAnsi="Times New Roman" w:cs="Times New Roman"/>
          <w:color w:val="000000"/>
          <w:sz w:val="24"/>
          <w:szCs w:val="24"/>
          <w:lang w:val="en-US" w:eastAsia="zh-CN"/>
        </w:rPr>
        <w:t>此外，</w:t>
      </w:r>
      <w:r>
        <w:rPr>
          <w:rFonts w:hint="default" w:ascii="Times New Roman" w:hAnsi="Times New Roman" w:cs="Times New Roman"/>
          <w:color w:val="000000"/>
          <w:sz w:val="24"/>
          <w:szCs w:val="24"/>
          <w:lang w:val="en-US" w:eastAsia="zh-CN"/>
        </w:rPr>
        <w:t>研究对动态因素的</w:t>
      </w:r>
      <w:r>
        <w:rPr>
          <w:rFonts w:hint="eastAsia" w:ascii="Times New Roman" w:hAnsi="Times New Roman" w:cs="Times New Roman"/>
          <w:color w:val="000000"/>
          <w:sz w:val="24"/>
          <w:szCs w:val="24"/>
          <w:lang w:val="en-US" w:eastAsia="zh-CN"/>
        </w:rPr>
        <w:t>考量</w:t>
      </w:r>
      <w:r>
        <w:rPr>
          <w:rFonts w:hint="default" w:ascii="Times New Roman" w:hAnsi="Times New Roman" w:cs="Times New Roman"/>
          <w:color w:val="000000"/>
          <w:sz w:val="24"/>
          <w:szCs w:val="24"/>
          <w:lang w:val="en-US" w:eastAsia="zh-CN"/>
        </w:rPr>
        <w:t>相对不足，主要</w:t>
      </w:r>
      <w:r>
        <w:rPr>
          <w:rFonts w:hint="eastAsia" w:ascii="Times New Roman" w:hAnsi="Times New Roman" w:cs="Times New Roman"/>
          <w:color w:val="000000"/>
          <w:sz w:val="24"/>
          <w:szCs w:val="24"/>
          <w:lang w:val="en-US" w:eastAsia="zh-CN"/>
        </w:rPr>
        <w:t>聚焦于</w:t>
      </w:r>
      <w:r>
        <w:rPr>
          <w:rFonts w:hint="default" w:ascii="Times New Roman" w:hAnsi="Times New Roman" w:cs="Times New Roman"/>
          <w:color w:val="000000"/>
          <w:sz w:val="24"/>
          <w:szCs w:val="24"/>
          <w:lang w:val="en-US" w:eastAsia="zh-CN"/>
        </w:rPr>
        <w:t>静态的环境要素和常规的交通情境，对临时施工、大型活动、突发事件等动态因素对交通安全的影响考虑不够充分。此外，研究</w:t>
      </w:r>
      <w:r>
        <w:rPr>
          <w:rFonts w:hint="eastAsia" w:ascii="Times New Roman" w:hAnsi="Times New Roman" w:cs="Times New Roman"/>
          <w:color w:val="000000"/>
          <w:sz w:val="24"/>
          <w:szCs w:val="24"/>
          <w:lang w:val="en-US" w:eastAsia="zh-CN"/>
        </w:rPr>
        <w:t>未</w:t>
      </w:r>
      <w:r>
        <w:rPr>
          <w:rFonts w:hint="default" w:ascii="Times New Roman" w:hAnsi="Times New Roman" w:cs="Times New Roman"/>
          <w:color w:val="000000"/>
          <w:sz w:val="24"/>
          <w:szCs w:val="24"/>
          <w:lang w:val="en-US" w:eastAsia="zh-CN"/>
        </w:rPr>
        <w:t>对设计方案的实施成本、维护成本和成本效益进行系统分析，一定程度上影响了研究成果的实际推广价值</w:t>
      </w:r>
      <w:r>
        <w:rPr>
          <w:rFonts w:hint="eastAsia" w:ascii="Times New Roman" w:hAnsi="Times New Roman" w:cs="Times New Roman"/>
          <w:color w:val="000000"/>
          <w:sz w:val="24"/>
          <w:szCs w:val="24"/>
          <w:lang w:val="en-US" w:eastAsia="zh-CN"/>
        </w:rPr>
        <w:t>与</w:t>
      </w:r>
      <w:r>
        <w:rPr>
          <w:rFonts w:hint="default" w:ascii="Times New Roman" w:hAnsi="Times New Roman" w:cs="Times New Roman"/>
          <w:color w:val="000000"/>
          <w:sz w:val="24"/>
          <w:szCs w:val="24"/>
          <w:lang w:val="en-US" w:eastAsia="zh-CN"/>
        </w:rPr>
        <w:t>可操作性。</w:t>
      </w:r>
    </w:p>
    <w:p w14:paraId="16048846">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5.3未来研究展望</w:t>
      </w:r>
    </w:p>
    <w:p w14:paraId="2CE6DCDA">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基于本研究的发现与局限，未来研究可从多维度予以拓展与深化。在研究范围拓展方面，未来可于更多高校以及不同类型的共享道路环境中开展类似的研究与实践。例如，选取具有不同地域、规模和布局特征的校园，以及城市公共共享道路加以验证，以此检验本研究结论的普适性并依此调整策略，进而扩大研究成果的适用范围。同时，在技术深化层面，未来研究应探寻基于物联网、大数据分析以及人工智能技术的智慧型动态引导系统，达成实时交通流监测与风险预警，提供动态的安全提示与行为引导，持续提升系统的智能化程度与响应效率。</w:t>
      </w: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参考文献</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 中共中央, 国务院. 教育强国建设规划纲要（2024—2035年）[Z]. 北京, 2025.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 武汉市人民政府. 武汉市非机动车管理办法[Z]. 武汉, 2022.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 MIAO L, LIU F, DENG Y. Analysis of traffic conflicts on slow-moving shared paths in Shenzhen, China[J]. Sustainability, 2025, 17(9): 4095.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 ZHANG Z, FISHER T, WANG H. Walk Score, environmental quality and walking in a campus setting[J]. Land, 2023, 12(4): 732.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 KELLSTEDT K, SPENGLER J O, MADDOCK J E. Comparing perceived and objective measures of bikeability on a university campus: a case study[J]. SAGE Open, 2021, 11(2): 21582440211018685.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 LANDIS B W, VATTIKUTI V R, BRANNICK M T. Real-time human perceptions: toward a bicycle level of service[J]. Transportation Research Record, 1997, 1578(1): 119-126.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 AJZEN I. The theory of planned behavior[J]. Organizational Behavior and Human Decision Processes, 1991, 50(2): 179-211.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[8] FISHBEIN M, AJZEN I. Belief, attitude, intention and behavior: an introduction to theory and research[M]. Reading, MA: Addison-Wesley, 1975.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[9] DAVIS F D. Perceived usefulness, perceived ease of use, and user acceptance of information technology[J]. MIS Quarterly, 1989, 13(3): 319-340.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[10] CHEN H, GUO Y, LI L. Promoting sustainable mobility on campus: uncovering the behavioral mechanisms behind non-compliant e-bike use among university students[J]. Sustainability, 2025, 17(15): 7147.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[11] 裴玉龙, 龙钰, 马丹. 交通安全意识对非机动车骑行者危险骑行行为的影响研究[J]. 交通信息与安全, 2024, 42(1): 49-58+66.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[12] VON STÜLPNAGEL R, RINTELEN H. A matter of space and perspective: cyclists', car drivers' and pedestrians' assumptions about subjective safety in shared traffic situations[J]. Transportation Research Part A: Policy and Practice, 2024, 179: 103941.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[13] 刘孟歆, 秦华, 岳晨, 等. 右转车辆与过街行人交互过程的影响因素研究[J]. 包装工程, 2023, 44(12): 118-125.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[14] 李琳, 叶宇, 陈泳. 城市步行安全及其环境影响要素研究综述与展望[J]. 风景园林, 2025, 32(2): 86-94.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[15] 吕能超, 王玉刚, 周颖, 等. 道路交通安全分析与评价方法综述[J]. 中国公路学报, 2023, 36(4): 183-201.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[16] HAMILTON-BAILLIE B. Shared space: reconciling people, places and traffic[J]. Built Environment, 2008, 34(2): 161-181.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[17] PELTZMAN S. The effects of automobile safety regulation[J]. Journal of Political Economy, 1975, 83(4): 677-726.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[18] WILDE G J S. The theory of risk homeostasis: implications for safety and health[J]. Risk Analysis, 1982, 2(4): 209-225.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[19] GIBSON J J. The ecological approach to visual perception[M]. Boston: Houghton Mifflin, 1979.</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[20] 张乐, 汤晓敏. 可供性视角下大学老校区公共空间评价与更新设计指引——以上海交通大学徐汇校区为例[J]. 中国园林, 2025, 41(5): 115-122.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[21] DALKEY N, HELMER O. An experimental application of the Delphi method to the use of experts[J]. Management Science, 1963, 9(3): 458-467.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[22] HAYWARD J C. Near-miss determination through use of a scale of danger[J]. Highway Research Record, 1972, 384: 24-34.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[23] HYDÉN C. The development of a method for traffic safety evaluation: the Swedish traffic conflicts technique[R]. Lund: Lund University, Bulletin 70, 1987.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[24] GETTMAN D, HEAD L. Surrogate safety measures from traffic simulation models[J]. Transportation Research Record, 2003, 1840(1): 104-115.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[25] BRAUN V, CLARKE V. Using thematic analysis in psychology[J]. Qualitative Research in Psychology, 2006, 3(2): 77-101.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[26] STRAUSS A, CORBIN J. Basics of qualitative research: techniques and procedures for developing grounded theory[M]. 2nd ed. Thousand Oaks: Sage, 1998.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[27] SLOVIC P. Perception of risk[J]. Science, 1987, 236(4799): 280-285.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[28] VENKATESH V, DAVIS F D. A theoretical extension of the technology acceptance model: four longitudinal field studies[J]. Management Science, 2000, 46(2): 186-204.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[29] COCHRAN W G. Sampling techniques[M]. 3rd ed. New York: John Wiley &amp; Sons, 1977.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[30] HU L, BENTLER P M. Cutoff criteria for fit indexes in covariance structure analysis: conventional criteria versus new alternatives[J]. Structural Equation Modeling, 1999, 6(1): 1-55.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[31] NUNNALLY J C, BERNSTEIN I H. Psychometric theory[M]. 3rd ed. New York: McGraw-Hill, 1994.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[32] FORNELL C, LARCKER D F. Evaluating structural equation models with unobservable variables and measurement error[J]. Journal of Marketing Research, 1981, 18(1): 39-50.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[33] PREACHER K J, HAYES A F. Asymptotic and resampling strategies for assessing and comparing indirect effects in multiple mediator models[J]. Behavior Research Methods, 2008, 40(3): 879-891.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[34] CHEUNG G W, RENSVOLD R B. Evaluating goodness-of-fit indexes for testing measurement invariance[J]. Structural Equation Modeling, 2002, 9(2): 233-255.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[35] SWELLER J. Cognitive load during problem solving: effects on learning[J]. Cognitive Science, 1988, 12(2): 257-285.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[36] 中华人民共和国住房和城乡建设部. 城市道路工程设计规范: CJJ 37—2012（2016年版）[S]. 北京: 中国建筑工业出版社, 2016.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[37] COHEN J. Statistical power analysis for the behavioral sciences[M]. 2nd ed. Hillsdale, NJ: Lawrence Erlbaum, 1988.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[38] TVERSKY A, KAHNEMAN D. Judgment under uncertainty: heuristics and biases[J]. Science, 1974, 185(4157): 1124-1131.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[39] WICKENS C D. Multiple resources and performance prediction[J]. Theoretical Issues in Ergonomics Science, 2002, 3(2): 159-177.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[40] MARTILLA J A, JAMES J C. Importance-performance analysis[J]. Journal of Marketing, 1977, 41(1): 77-79.</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[41] KANO N, SERAKU N, TAKAHASHI F, et al. Attractive quality and must-be quality[J]. Journal of the Japanese Society for Quality Control, 1984, 14(2): 39-48.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[42] DESIGN COUNCIL. Eleven lessons: a study of the design process[R]. London: Design Council, 2007.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[43] NORMAN D A. The design of everyday things[M]. Revised and expanded ed. New York: Basic Books, 2013.</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[44] LYNCH K. The image of the city[M]. Cambridge, MA: MIT Press, 1960.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[45] THALER R H, SUNSTEIN C R. Nudge: improving decisions about health, wealth, and happiness[M]. New Haven: Yale University Press, 2008.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[46] BROOKE J. SUS: a "quick and dirty" usability scale[M]//JORDAN P W, THOMAS B, WEERDMEESTER B A, et al. Usability evaluation in industry. London: Taylor &amp; Francis, 1996: 189-194.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[47] BANGOR A, KORTUM P T, MILLER J T. An empirical evaluation of the System Usability Scale[J]. International Journal of Human-Computer Interaction, 2008, 24(6): 574-594.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[48] BANGOR A, KORTUM P, MILLER J. Determining what individual SUS scores mean: adding an adjective rating scale[J]. Journal of Usability Studies, 2009, 4(3): 114-123.</w:t>
      </w: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w:t>
      </w:r>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附录A  校园共享道路观测点位登记与环境参数实测表</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附录记录本研究12个视频观测点位的基本信息与环境参数实测结果。各项几何参数由手持式激光测距仪测得，均取五次测量的均值；标识完整度依据标识数量、设置位置与内容清晰度三项分指标综合评分，量程为0—100分；路面平均照度于夜间22时采用照度计在路段中线等间距取五点测量后取均值。冲突数为观测期内该点位识别出的有效冲突事件总数。</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附表A-1  校园共享道路观测点位登记与环境参数实测表</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589"/>
        <w:gridCol w:w="1223"/>
        <w:gridCol w:w="1948"/>
        <w:gridCol w:w="883"/>
        <w:gridCol w:w="792"/>
        <w:gridCol w:w="860"/>
        <w:gridCol w:w="838"/>
        <w:gridCol w:w="747"/>
        <w:gridCol w:w="616"/>
      </w:tblGrid>
      <w:tr>
        <w:trPr>
          <w:tblHeader/>
        </w:trPr>
        <w:tc>
          <w:tcPr>
            <w:tcW w:w="589"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点位</w:t>
            </w:r>
          </w:p>
        </w:tc>
        <w:tc>
          <w:tcPr>
            <w:tcW w:w="1223"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场景类型</w:t>
            </w:r>
          </w:p>
        </w:tc>
        <w:tc>
          <w:tcPr>
            <w:tcW w:w="1948"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具体位置</w:t>
            </w:r>
          </w:p>
        </w:tc>
        <w:tc>
          <w:tcPr>
            <w:tcW w:w="883"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有效通行宽度(m)</w:t>
            </w:r>
          </w:p>
        </w:tc>
        <w:tc>
          <w:tcPr>
            <w:tcW w:w="792"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无遮挡视距(m)</w:t>
            </w:r>
          </w:p>
        </w:tc>
        <w:tc>
          <w:tcPr>
            <w:tcW w:w="86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标识完整度(分)</w:t>
            </w:r>
          </w:p>
        </w:tc>
        <w:tc>
          <w:tcPr>
            <w:tcW w:w="838"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平均照度(lux)</w:t>
            </w:r>
          </w:p>
        </w:tc>
        <w:tc>
          <w:tcPr>
            <w:tcW w:w="747"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路面状况</w:t>
            </w:r>
          </w:p>
        </w:tc>
        <w:tc>
          <w:tcPr>
            <w:tcW w:w="61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冲突数</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P01</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教学楼群入口</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工程二号楼北入口</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26</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76</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48</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26</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P02</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教学楼群入口</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工程一号楼主入口</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3.6</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28</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一般</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P03</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教学楼群入口</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土木楼西入口</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4.8</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24</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72</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44</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24</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P04</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食堂周边道路</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东苑食堂北侧道路</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4.2</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68</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一般</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P05</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食堂周边道路</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西苑食堂T字路口</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3.8</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52</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32</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一般</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36</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P06</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食堂周边道路</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南苑食堂东侧道路</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5.0</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70</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40</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20</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P07</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主要道路交叉口</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中央大道横纵轴连接处</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5.5</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61</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38</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P08</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主要道路交叉口</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校前区主环道交叉口</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6.2</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28</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80</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52</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P09</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主要道路交叉口</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实验楼群北侧交叉口</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5.8</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74</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46</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P10</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宿舍区连接道路</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西苑公寓</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38</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15</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较差</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27</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P11</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宿舍区连接道路</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东苑公寓连接道</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4.6</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58</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30</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一般</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w:t>
            </w:r>
          </w:p>
        </w:tc>
      </w:tr>
      <w:tr>
        <w:tc>
          <w:tcPr>
            <w:tcW w:w="589"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P12</w:t>
            </w:r>
          </w:p>
        </w:tc>
        <w:tc>
          <w:tcPr>
            <w:tcW w:w="1223"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图书馆南门</w:t>
            </w:r>
          </w:p>
        </w:tc>
        <w:tc>
          <w:tcPr>
            <w:tcW w:w="1948"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图书馆南门广场</w:t>
            </w:r>
          </w:p>
        </w:tc>
        <w:tc>
          <w:tcPr>
            <w:tcW w:w="883"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6.5</w:t>
            </w:r>
          </w:p>
        </w:tc>
        <w:tc>
          <w:tcPr>
            <w:tcW w:w="792"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30</w:t>
            </w:r>
          </w:p>
        </w:tc>
        <w:tc>
          <w:tcPr>
            <w:tcW w:w="86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72</w:t>
            </w:r>
          </w:p>
        </w:tc>
        <w:tc>
          <w:tcPr>
            <w:tcW w:w="838"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w:t>
            </w:r>
          </w:p>
        </w:tc>
        <w:tc>
          <w:tcPr>
            <w:tcW w:w="747"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由附表A-1可见，冲突数居前五位的点位（P02、P05、P10、P07、P12）中，有三个点位的有效通行宽度不足4米，两个点位的无遮挡视距不足15米，标识完整度均低于65分。这一分布与正文4.1.2节所报告的环境要素相关性分析结果相互印证。</w:t>
      </w:r>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附录B  校园共享道路冲突行为编码手册</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附录给出视频标注环节所使用的冲突触发行为编码规则。标注员依据本手册对每一起冲突事件的触发行为进行判定；当一起事件同时呈现两种以上行为特征时，以最先出现且对冲突形成起主导作用的行为为准，不重复计次。20%的样本由第二名标注员独立复核，不一致处提交专家裁定。</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附表B-1  校园共享道路冲突行为编码手册</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850"/>
        <w:gridCol w:w="573"/>
        <w:gridCol w:w="956"/>
        <w:gridCol w:w="2550"/>
        <w:gridCol w:w="3081"/>
        <w:gridCol w:w="486"/>
      </w:tblGrid>
      <w:tr>
        <w:trPr>
          <w:tblHeader/>
        </w:trPr>
        <w:tc>
          <w:tcPr>
            <w:tcW w:w="8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类别</w:t>
            </w:r>
          </w:p>
        </w:tc>
        <w:tc>
          <w:tcPr>
            <w:tcW w:w="573"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编码</w:t>
            </w:r>
          </w:p>
        </w:tc>
        <w:tc>
          <w:tcPr>
            <w:tcW w:w="95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行为名称</w:t>
            </w:r>
          </w:p>
        </w:tc>
        <w:tc>
          <w:tcPr>
            <w:tcW w:w="25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操作性定义</w:t>
            </w:r>
          </w:p>
        </w:tc>
        <w:tc>
          <w:tcPr>
            <w:tcW w:w="3081"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判别准则</w:t>
            </w:r>
          </w:p>
        </w:tc>
        <w:tc>
          <w:tcPr>
            <w:tcW w:w="48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频次</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注意力分散</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AD-1</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低头看手机</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通行过程中持握并注视移动设备，视线离开前方行进方向</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连续低头时长≥3秒，且期间未抬头观察前方</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55</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注意力分散</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AD-2</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佩戴耳机</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双耳或单耳佩戴耳机通行，对环境声音信号的接收受到削弱</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画面中可辨识耳机佩戴，且对铃声、呼喊无即时反应</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33</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注意力分散</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AD-3</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边走边交谈</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与同行者持续交谈，注意力部分转移至社交互动</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交谈持续≥5秒，伴随头部转向同伴或行进速度波动</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违规运动</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IM-1</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逆向骑行</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在有明确通行方向指示的路段逆向行驶</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行驶方向与该路段标线或既定车流方向相反</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违规运动</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IM-2</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超速骑行</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骑行速度明显超出校园15公里／小时的安全建议值</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由轨迹数据换算的瞬时速度＞15公里／小时</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27</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违规运动</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IM-3</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人行道骑行</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在划定为步行区域的空间内骑行通过</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车轮轨迹完整落入步行区标线以内</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20</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突发变向</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SD-1</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突然转向</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未给出预告信号即改变原有行进方向</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航向角变化≥45度且变向前1秒内无手势或声音提示</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36</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突发变向</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SD-2</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急停急起</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短时间内速度发生剧烈变化</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速度变化率的绝对值≥2米／二次方秒</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空间侵占</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SO-1</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并排骑行</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两人及以上并行骑行，横向占据宽度显著扩大</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并行横向宽度≥2.0米且持续≥5秒</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20</w:t>
            </w:r>
          </w:p>
        </w:tc>
      </w:tr>
      <w:tr>
        <w:tc>
          <w:tcPr>
            <w:tcW w:w="85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空间侵占</w:t>
            </w:r>
          </w:p>
        </w:tc>
        <w:tc>
          <w:tcPr>
            <w:tcW w:w="573"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SO-2</w:t>
            </w:r>
          </w:p>
        </w:tc>
        <w:tc>
          <w:tcPr>
            <w:tcW w:w="95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蛇形穿行</w:t>
            </w:r>
          </w:p>
        </w:tc>
        <w:tc>
          <w:tcPr>
            <w:tcW w:w="255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在密集人流中反复横向变线穿插通行</w:t>
            </w:r>
          </w:p>
        </w:tc>
        <w:tc>
          <w:tcPr>
            <w:tcW w:w="3081"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连续两次以上反向横移，单次横移距离≥1.0米</w:t>
            </w:r>
          </w:p>
        </w:tc>
        <w:tc>
          <w:tcPr>
            <w:tcW w:w="48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上述十种行为的频次合计为294起，与正文4.1.2节所报告的有效冲突事件总数一致。</w:t>
      </w:r>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附录C  研究量表与问卷全文</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附录收录本研究各阶段所使用的测量工具。其中，高校共享道路交通安全行为量表的43个核心题项已在正文表8中完整列出，此处仅补充其人口统计学题项；交通环境特征要素调研问卷与系统可用性量表的全部题项列于本附录。</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C1  面向交通冲突者的高校共享道路交通环境特征要素调研问卷</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本问卷用于正文4.1.1节的交通环境特征要素调研，分为基本信息（4题）与五大环境因素评价（32题）两个板块，合计36个题项。除注明为多选或开放题者外，其余题项均采用5级李克特量表计分。</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附表C-1  交通环境特征要素调研问卷题项</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900"/>
        <w:gridCol w:w="560"/>
        <w:gridCol w:w="5436"/>
        <w:gridCol w:w="1600"/>
      </w:tblGrid>
      <w:tr>
        <w:trPr>
          <w:tblHeader/>
        </w:trPr>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板块</w:t>
            </w:r>
          </w:p>
        </w:tc>
        <w:tc>
          <w:tcPr>
            <w:tcW w:w="56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编号</w:t>
            </w:r>
          </w:p>
        </w:tc>
        <w:tc>
          <w:tcPr>
            <w:tcW w:w="543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题项内容</w:t>
            </w:r>
          </w:p>
        </w:tc>
        <w:tc>
          <w:tcPr>
            <w:tcW w:w="1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题型</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基本信息</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A1</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您的身份（本科生／硕士研究生／博士研究生／教职工）</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基本信息</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A2</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您在校园内最主要的出行方式（步行／自行车／电动自行车／其他）</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基本信息</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A3</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您在校园内的日均出行频次</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基本信息</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A4</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您在本校的在校时长</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B1</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您对校园共享道路现有通行宽度的满意程度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B2</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因道路宽度不足而与他人发生近距离接触的频率</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B3</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您认为通行宽度最不足的路段类型</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多选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B4</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道路宽度不足对您通行速度的影响程度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B5</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在宽度受限路段，您通常采取的应对方式</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B6</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您认为校园共享道路的适宜宽度及其理由</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开放题</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C1</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通行过程中视线被遮挡的发生频率</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C2</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造成视线遮挡的主要原因（绿化／建筑转角／停放车辆／指示牌／其他）</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多选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C3</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弯道路段的视距充足程度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C4</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道路交叉口的视距充足程度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C5</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建筑出入口的视距充足程度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C6</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视线受阻时您主动减速的意愿</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C7</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您认为最需要改善视距的具体位置</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开放题</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D1</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现有交通标识的清晰程度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D2</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标识含义的易理解程度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D3</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标识设置位置的合理程度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D4</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地面标线的可辨识程度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D5</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夜间标识的可见程度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D6</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标识系统在路径上的连续程度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D7</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您曾遇到的标识问题类型</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多选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D8</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您希望增加的标识信息类型</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多选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E1</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夜间道路照明的充足程度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E2</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照明不足对您夜间出行意愿的影响程度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E3</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傍晚时段的照明满意程度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E4</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夜间时段的照明满意程度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E5</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您认为照明明显不足的具体路段</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开放题</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E6</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您认为优先改善照明的方式</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路面质量</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F1</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路面平整程度的满意程度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路面质量</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F2</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您曾遇到的路面问题类型（坑洼／积水／破损／井盖高差／其他）</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多选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路面质量</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F3</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路面问题对通行安全的影响程度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路面质量</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F4</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雨天路面防滑性能的满意程度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路面质量</w:t>
            </w:r>
          </w:p>
        </w:tc>
        <w:tc>
          <w:tcPr>
            <w:tcW w:w="56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F5</w:t>
            </w:r>
          </w:p>
        </w:tc>
        <w:tc>
          <w:tcPr>
            <w:tcW w:w="543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您认为最需要修整的路段</w:t>
            </w:r>
          </w:p>
        </w:tc>
        <w:tc>
          <w:tcPr>
            <w:tcW w:w="16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开放题</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C2  高校共享道路交通安全行为量表人口统计学题项</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本量表用于正文4.2节的结构方程模型研究。43个核心题项及其编码见正文表8，人口统计学题项如附表C-2所示，两部分合计49题。</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附表C-2  安全行为量表人口统计学题项</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900"/>
        <w:gridCol w:w="3800"/>
        <w:gridCol w:w="3796"/>
      </w:tblGrid>
      <w:tr>
        <w:trPr>
          <w:tblHeader/>
        </w:trPr>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编号</w:t>
            </w:r>
          </w:p>
        </w:tc>
        <w:tc>
          <w:tcPr>
            <w:tcW w:w="3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题项内容</w:t>
            </w:r>
          </w:p>
        </w:tc>
        <w:tc>
          <w:tcPr>
            <w:tcW w:w="37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选项设置</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DM1</w:t>
            </w:r>
          </w:p>
        </w:tc>
        <w:tc>
          <w:tcPr>
            <w:tcW w:w="3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性别</w:t>
            </w:r>
          </w:p>
        </w:tc>
        <w:tc>
          <w:tcPr>
            <w:tcW w:w="3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男／女</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DM2</w:t>
            </w:r>
          </w:p>
        </w:tc>
        <w:tc>
          <w:tcPr>
            <w:tcW w:w="3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年龄</w:t>
            </w:r>
          </w:p>
        </w:tc>
        <w:tc>
          <w:tcPr>
            <w:tcW w:w="3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18-22岁／23-25岁／26-30岁／30岁以上</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DM3</w:t>
            </w:r>
          </w:p>
        </w:tc>
        <w:tc>
          <w:tcPr>
            <w:tcW w:w="3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身份</w:t>
            </w:r>
          </w:p>
        </w:tc>
        <w:tc>
          <w:tcPr>
            <w:tcW w:w="3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本科生／硕士研究生／博士研究生／教职工</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DM4</w:t>
            </w:r>
          </w:p>
        </w:tc>
        <w:tc>
          <w:tcPr>
            <w:tcW w:w="3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校园内主要交通方式</w:t>
            </w:r>
          </w:p>
        </w:tc>
        <w:tc>
          <w:tcPr>
            <w:tcW w:w="3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步行／自行车／电动自行车</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DM5</w:t>
            </w:r>
          </w:p>
        </w:tc>
        <w:tc>
          <w:tcPr>
            <w:tcW w:w="3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校园内日均出行距离</w:t>
            </w:r>
          </w:p>
        </w:tc>
        <w:tc>
          <w:tcPr>
            <w:tcW w:w="3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1km以下／1-3km／3-5km／5km以上</w:t>
            </w:r>
          </w:p>
        </w:tc>
      </w:tr>
      <w:tr>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DM6</w:t>
            </w:r>
          </w:p>
        </w:tc>
        <w:tc>
          <w:tcPr>
            <w:tcW w:w="38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过去一年是否经历交通冲突（含险些发生事故）</w:t>
            </w:r>
          </w:p>
        </w:tc>
        <w:tc>
          <w:tcPr>
            <w:tcW w:w="37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是／否</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C3  认知偏差场景评价问卷</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问卷用于正文4.3节的认知偏差测量，由三部分构成。第一部分收集人口统计学信息与出行特征，包括性别、年龄、在校年限、院系专业、主要出行方式、每周校园出行频次以及是否经历过交通事故或险情，共7题。第二部分为场景安全评价核心模块，每位参与者随机分配10张场景图片，逐张回答“请设想你正在图片所示的道路上行走或骑行，依据你的直观感受，对该场景中的通行安全程度进行评价”，采用4分制李克特量表计分（0表示不安全，1表示比较不安全，2表示比较安全，3表示安全）。第三部分为开放式补充问题，共2题，分别为“当你判定一条道路是否安全时，主要关注哪些因素”与“你认为现有的校园道路标识系统存在哪些缺陷，有何改进建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C4  系统可用性量表</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本量表用于正文4.4.3节的设计原型可用性评估，题项在Brooke所提出的标准量表基础上结合本研究对象作情境化改写，采用5点李克特量表计分，奇数题正向计分，偶数题反向计分，总分换算至0—100分区间。</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附表C-3  系统可用性量表（SUS）题项</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900"/>
        <w:gridCol w:w="5800"/>
        <w:gridCol w:w="1796"/>
      </w:tblGrid>
      <w:tr>
        <w:trPr>
          <w:tblHeader/>
        </w:trPr>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编号</w:t>
            </w:r>
          </w:p>
        </w:tc>
        <w:tc>
          <w:tcPr>
            <w:tcW w:w="5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题项内容</w:t>
            </w:r>
          </w:p>
        </w:tc>
        <w:tc>
          <w:tcPr>
            <w:tcW w:w="17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计分方向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SUS1</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我愿意经常使用这套安全引导系统</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SUS2</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我认为这套系统过于复杂</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SUS3</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我认为这套系统易于使用</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SUS4</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我需要他人协助才能理解这套系统的指引</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SUS5</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我认为系统中各项引导要素的整合程度良好</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SUS6</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我认为这套系统存在过多不一致之处</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SUS7</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我认为多数人能够很快学会使用这套系统</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SUS8</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我认为使用这套系统的过程十分繁琐</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SUS9</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使用这套系统时我具有充分的信心</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r>
      <w:tr>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SUS10</w:t>
            </w:r>
          </w:p>
        </w:tc>
        <w:tc>
          <w:tcPr>
            <w:tcW w:w="58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在使用这套系统之前我需要学习很多内容</w:t>
            </w:r>
          </w:p>
        </w:tc>
        <w:tc>
          <w:tcPr>
            <w:tcW w:w="17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r>
    </w:tbl>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附录D  访谈提纲与主题编码表</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D1  冲突识别阶段半结构化访谈提纲</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本提纲用于正文4.1.1节面向53名受访者（经常步行的学生20人、经常骑行的学生20人、教职工10人、校园管理人员3人）的访谈。访谈时长约30至45分钟，全程录音并逐字转录。</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开场部分：请您简要介绍在校园内的日常出行情况，包括常用的出行方式、主要路线以及出行的时间分布。</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主题一，校园交通安全的总体感知。您如何评价校园内的整体交通安全状况？在校园中通行时，哪些时段或哪些地点会让您感到不安？这种不安主要来自什么？</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主题二，出行习惯与路线选择。您在选择通行路线时主要考虑哪些因素？安全因素在其中占多大比重？是否有某些路段您会刻意避开，原因是什么？</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主题三，冲突事件的经历与目击。请您回忆最近一次险些与他人发生碰撞的经历，当时的具体情境是怎样的？您当时如何判断、如何反应？事后是否有过反思？</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主题四，对现有交通设施的评价。您如何评价校园内现有的标识、标线、照明与道路条件？其中哪些对您的通行有实际帮助，哪些形同虚设？</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主题五，改善建议。如果由您来改善校园的通行环境，您最希望优先解决哪一个问题？您认为怎样的措施会真正改变人们的通行行为？</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D2  认知偏差阶段深度访谈提纲</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提纲用于正文4.3.1节面向30名受访者的访谈，围绕日常路径选择的认知逻辑、危险情境的识别与归因、现有标识系统的认知评价、理想安全环境的想象建构四个核心主题展开，各主题的具体问题已在正文中说明，此处补充追问要点：在路径选择主题中，追问安全考量与时间成本之间的权衡方式；在危险情境主题中，追问事发瞬间的注意力指向与信息获取来源；在标识评价主题中，结合实际路段照片追问标识未被注意到的原因；在理想环境主题中，追问所设想措施的可接受程度与潜在顾虑。</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D3  访谈资料三级编码对照表</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正文4.1.1节所述的三级编码过程，由开放式编码识别出286个初始概念，经轴心编码归纳为42个类属，最终经选择性编码提炼出8个核心主题。各核心主题及其对应类属与初始概念示例如附表D-1所示。</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附表D-1  访谈资料三级编码对照表（节选）</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700"/>
        <w:gridCol w:w="2400"/>
        <w:gridCol w:w="3400"/>
        <w:gridCol w:w="996"/>
      </w:tblGrid>
      <w:tr>
        <w:trPr>
          <w:tblHeader/>
        </w:trPr>
        <w:tc>
          <w:tcPr>
            <w:tcW w:w="1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核心主题</w:t>
            </w:r>
          </w:p>
        </w:tc>
        <w:tc>
          <w:tcPr>
            <w:tcW w:w="2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对应类属示例</w:t>
            </w:r>
          </w:p>
        </w:tc>
        <w:tc>
          <w:tcPr>
            <w:tcW w:w="3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初始概念示例</w:t>
            </w:r>
          </w:p>
        </w:tc>
        <w:tc>
          <w:tcPr>
            <w:tcW w:w="9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引用频次</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时空集聚的通行压力</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高峰时段拥挤、出行时间集中、瓶颈路段排队</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“下课那十分钟根本走不动”“大家都挤在一个口子”</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48</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路权边界的认知模糊</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分区不清、标线缺失、空间归属不明</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“不知道哪边该我走”“没有线，随便走”</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注意力资源被电子设备占用</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看手机通行、佩戴耳机、消息即时回复</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“边走边回消息是常态”“戴着耳机听不见铃声”</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41</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效率优先的路径选择</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抄近道、逆向通行、赶时间违规</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“绕一圈太远了，就逆行过去”“快迟到了顾不上”</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39</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速度差异带来的威胁感</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贴身超越、突然出现、制动距离不足</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“电动车擦着我过去，吓一跳”“根本来不及躲”</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36</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规则约束的软性与失效</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无人管理、违规无成本、从众违规</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“又没人管”“大家都这样走”</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31</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环境信息供给不足</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夜间看不清、盲区无提示、标识被遮挡</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“晚上走到跟前才看见”“转角完全是盲的”</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27</w:t>
            </w:r>
          </w:p>
        </w:tc>
      </w:tr>
      <w:tr>
        <w:tc>
          <w:tcPr>
            <w:tcW w:w="17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群体互动中的默契与误解</w:t>
            </w:r>
          </w:p>
        </w:tc>
        <w:tc>
          <w:tcPr>
            <w:tcW w:w="24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眼神确认、避让预期落空、双向同侧避让</w:t>
            </w:r>
          </w:p>
        </w:tc>
        <w:tc>
          <w:tcPr>
            <w:tcW w:w="34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“我以为他要让，结果他也往这边”</w:t>
            </w:r>
          </w:p>
        </w:tc>
        <w:tc>
          <w:tcPr>
            <w:tcW w:w="9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w:t>
            </w:r>
          </w:p>
        </w:tc>
      </w:tr>
    </w:tbl>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附录E  场景设计与客观安全指数评分明细</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E1  场景正交设计表</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正文4.3.1节所述的八个环境变量各设三个水平，完整因子设计空间为3的8次方即6561种组合。本研究采用正交实验设计方法，经统计优化算法筛选出96个具有代表性的场景组合，以保证主效应与关键交互效应的可估计性。附表E-1列出其中12个场景的变量设置作为示例，完整设计表存于研究数据档案。</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附表E-1  场景正交设计表（节选）</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620"/>
        <w:gridCol w:w="900"/>
        <w:gridCol w:w="940"/>
        <w:gridCol w:w="860"/>
        <w:gridCol w:w="860"/>
        <w:gridCol w:w="1120"/>
        <w:gridCol w:w="940"/>
        <w:gridCol w:w="860"/>
        <w:gridCol w:w="1396"/>
      </w:tblGrid>
      <w:tr>
        <w:trPr>
          <w:tblHeader/>
        </w:trPr>
        <w:tc>
          <w:tcPr>
            <w:tcW w:w="62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场景</w:t>
            </w:r>
          </w:p>
        </w:tc>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道路宽度</w:t>
            </w:r>
          </w:p>
        </w:tc>
        <w:tc>
          <w:tcPr>
            <w:tcW w:w="94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视距条件</w:t>
            </w:r>
          </w:p>
        </w:tc>
        <w:tc>
          <w:tcPr>
            <w:tcW w:w="86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标识密度</w:t>
            </w:r>
          </w:p>
        </w:tc>
        <w:tc>
          <w:tcPr>
            <w:tcW w:w="86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照明水平</w:t>
            </w:r>
          </w:p>
        </w:tc>
        <w:tc>
          <w:tcPr>
            <w:tcW w:w="112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路面质量</w:t>
            </w:r>
          </w:p>
        </w:tc>
        <w:tc>
          <w:tcPr>
            <w:tcW w:w="94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分隔形式</w:t>
            </w:r>
          </w:p>
        </w:tc>
        <w:tc>
          <w:tcPr>
            <w:tcW w:w="86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交通流量</w:t>
            </w:r>
          </w:p>
        </w:tc>
        <w:tc>
          <w:tcPr>
            <w:tcW w:w="13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景观复杂度</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S01</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日间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优质沥青</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简单</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S07</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部分遮挡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黄昏</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普通混凝土</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标线分隔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平峰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中等</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S13</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严重遮挡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老旧透水砖</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物理分隔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复杂</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S21</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老旧透水砖</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平峰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复杂</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S28</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部分遮挡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日间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优质沥青</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标线分隔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简单</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S35</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严重遮挡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黄昏</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普通混凝土</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物理分隔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中等</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S44</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黄昏</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普通混凝土</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中等</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S52</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部分遮挡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优质沥青</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物理分隔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复杂</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S60</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严重遮挡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日间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老旧透水砖</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标线分隔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平峰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简单</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S71</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严重遮挡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优质沥青</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标线分隔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中等</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S83</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日间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老旧透水砖</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物理分隔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平峰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复杂</w:t>
            </w:r>
          </w:p>
        </w:tc>
      </w:tr>
      <w:tr>
        <w:tc>
          <w:tcPr>
            <w:tcW w:w="62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S96</w:t>
            </w:r>
          </w:p>
        </w:tc>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2.5m</w:t>
            </w:r>
          </w:p>
        </w:tc>
        <w:tc>
          <w:tcPr>
            <w:tcW w:w="94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部分遮挡</w:t>
            </w:r>
          </w:p>
        </w:tc>
        <w:tc>
          <w:tcPr>
            <w:tcW w:w="86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w:t>
            </w:r>
          </w:p>
        </w:tc>
        <w:tc>
          <w:tcPr>
            <w:tcW w:w="86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黄昏</w:t>
            </w:r>
          </w:p>
        </w:tc>
        <w:tc>
          <w:tcPr>
            <w:tcW w:w="112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优质沥青</w:t>
            </w:r>
          </w:p>
        </w:tc>
        <w:tc>
          <w:tcPr>
            <w:tcW w:w="94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无分隔</w:t>
            </w:r>
          </w:p>
        </w:tc>
        <w:tc>
          <w:tcPr>
            <w:tcW w:w="86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低峰</w:t>
            </w:r>
          </w:p>
        </w:tc>
        <w:tc>
          <w:tcPr>
            <w:tcW w:w="13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简单</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E2  研究路段客观安全指数评分明细</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客观安全指数依据正文表15所确立的五项指标及其权重加权求和计算，量程为0至3分。附表E-2列出9个研究路段的分项得分与综合指数。各场景图片在继承其对应路段基准指数的基础上，再依据该场景特定的变量设置作相应微调，形成每个场景各自的客观安全指数。</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附表E-2  9个研究路段客观安全指数评分明细</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800"/>
        <w:gridCol w:w="1300"/>
        <w:gridCol w:w="1300"/>
        <w:gridCol w:w="1300"/>
        <w:gridCol w:w="1300"/>
        <w:gridCol w:w="1300"/>
        <w:gridCol w:w="1196"/>
      </w:tblGrid>
      <w:tr>
        <w:trPr>
          <w:tblHeader/>
        </w:trPr>
        <w:tc>
          <w:tcPr>
            <w:tcW w:w="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路段</w:t>
            </w:r>
          </w:p>
        </w:tc>
        <w:tc>
          <w:tcPr>
            <w:tcW w:w="13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道路宽度S1</w:t>
            </w:r>
          </w:p>
        </w:tc>
        <w:tc>
          <w:tcPr>
            <w:tcW w:w="13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视距条件S2</w:t>
            </w:r>
          </w:p>
        </w:tc>
        <w:tc>
          <w:tcPr>
            <w:tcW w:w="13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标识系统S3</w:t>
            </w:r>
          </w:p>
        </w:tc>
        <w:tc>
          <w:tcPr>
            <w:tcW w:w="13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照明水平S4</w:t>
            </w:r>
          </w:p>
        </w:tc>
        <w:tc>
          <w:tcPr>
            <w:tcW w:w="13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路面质量S5</w:t>
            </w:r>
          </w:p>
        </w:tc>
        <w:tc>
          <w:tcPr>
            <w:tcW w:w="11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客观安全指数OSI</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2.60</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P04</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P05</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P07</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2.05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P08</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2.75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P10</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0.95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P11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P12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2.60</w:t>
            </w:r>
          </w:p>
        </w:tc>
      </w:tr>
      <w:tr>
        <w:tc>
          <w:tcPr>
            <w:tcW w:w="8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权重</w:t>
            </w:r>
          </w:p>
        </w:tc>
        <w:tc>
          <w:tcPr>
            <w:tcW w:w="13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0.20</w:t>
            </w:r>
          </w:p>
        </w:tc>
        <w:tc>
          <w:tcPr>
            <w:tcW w:w="13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0.30</w:t>
            </w:r>
          </w:p>
        </w:tc>
        <w:tc>
          <w:tcPr>
            <w:tcW w:w="13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0.25</w:t>
            </w:r>
          </w:p>
        </w:tc>
        <w:tc>
          <w:tcPr>
            <w:tcW w:w="13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0.15</w:t>
            </w:r>
          </w:p>
        </w:tc>
        <w:tc>
          <w:tcPr>
            <w:tcW w:w="13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0.10</w:t>
            </w:r>
          </w:p>
        </w:tc>
        <w:tc>
          <w:tcPr>
            <w:tcW w:w="11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9个研究路段的客观安全指数均值为1.93，标准差为0.63。其中P10与P02的指数最低，二者的标识系统得分均为0分，视距条件得分均为1分，与其在正文4.1.2节中所呈现的高冲突频次相对应。</w:t>
      </w:r>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附录F  专家构成与德尔菲评分汇总</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研究在环境要素筛选、理论要素论证、客观指标赋权、场景图像盲评与设计策略评估五个环节引入专家咨询。为保护专家隐私，此处仅列出其专业领域、职称层次与所属单位类型，姓名与具体单位存于研究档案。</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附表F-1  各研究环节专家构成</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800"/>
        <w:gridCol w:w="900"/>
        <w:gridCol w:w="600"/>
        <w:gridCol w:w="3200"/>
        <w:gridCol w:w="1996"/>
      </w:tblGrid>
      <w:tr>
        <w:trPr>
          <w:tblHeader/>
        </w:trPr>
        <w:tc>
          <w:tcPr>
            <w:tcW w:w="1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研究环节</w:t>
            </w:r>
          </w:p>
        </w:tc>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对应章节</w:t>
            </w:r>
          </w:p>
        </w:tc>
        <w:tc>
          <w:tcPr>
            <w:tcW w:w="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人数</w:t>
            </w:r>
          </w:p>
        </w:tc>
        <w:tc>
          <w:tcPr>
            <w:tcW w:w="32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专业领域构成</w:t>
            </w:r>
          </w:p>
        </w:tc>
        <w:tc>
          <w:tcPr>
            <w:tcW w:w="19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职称层次</w:t>
            </w:r>
          </w:p>
        </w:tc>
      </w:tr>
      <w:tr>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交通环境特征要素筛选</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4.1.1</w:t>
            </w:r>
          </w:p>
        </w:tc>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交通工程4人、城市规划3人、安全管理3人、校园管理2人</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正高5人、副高5人、中级2人</w:t>
            </w:r>
          </w:p>
        </w:tc>
      </w:tr>
      <w:tr>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理论要素重要性论证</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4.2.1</w:t>
            </w:r>
          </w:p>
        </w:tc>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交通工程3人、行为心理学2人</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正高5人</w:t>
            </w:r>
          </w:p>
        </w:tc>
      </w:tr>
      <w:tr>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量表题项语言评估</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4.2.1</w:t>
            </w:r>
          </w:p>
        </w:tc>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设计学4人、心理测量3人、交通工程3人</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正高3人、副高5人、中级2人</w:t>
            </w:r>
          </w:p>
        </w:tc>
      </w:tr>
      <w:tr>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客观安全指标赋权</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4.3.1</w:t>
            </w:r>
          </w:p>
        </w:tc>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15</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交通工程5人、设计实践5人、管理部门5人</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正高6人、副高6人、中级3人</w:t>
            </w:r>
          </w:p>
        </w:tc>
      </w:tr>
      <w:tr>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AI场景图像盲评</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4.3.1</w:t>
            </w:r>
          </w:p>
        </w:tc>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环境设计5人</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副高3人、中级2人</w:t>
            </w:r>
          </w:p>
        </w:tc>
      </w:tr>
      <w:tr>
        <w:tc>
          <w:tcPr>
            <w:tcW w:w="18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安全引导策略评估</w:t>
            </w:r>
          </w:p>
        </w:tc>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4.4.2</w:t>
            </w:r>
          </w:p>
        </w:tc>
        <w:tc>
          <w:tcPr>
            <w:tcW w:w="6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w:t>
            </w:r>
          </w:p>
        </w:tc>
        <w:tc>
          <w:tcPr>
            <w:tcW w:w="32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交通工程4人、视觉设计4人、校园管理4人</w:t>
            </w:r>
          </w:p>
        </w:tc>
        <w:tc>
          <w:tcPr>
            <w:tcW w:w="19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正高4人、副高5人、中级3人</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F-2汇总了正文4.1.1节所述德尔菲法两轮咨询的评分结果。12位专家依据理论重要性、测量可行性与可改善性三项标准对18项候选环境要素评分，每项1至5分，单项总分区间为3至15分。第一轮咨询的肯德尔协调系数为0.58，第二轮提升至0.76，两轮均在0.001水平上显著，表明专家意见趋于收敛。经两轮咨询，道路宽度、视距条件、标识系统、照明水平与路面质量五项得分显著高于其余各项，最终确定为核心研究要素。</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附表F-2  德尔菲两轮专家评分汇总</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600"/>
        <w:gridCol w:w="1900"/>
        <w:gridCol w:w="1150"/>
        <w:gridCol w:w="1250"/>
        <w:gridCol w:w="1150"/>
        <w:gridCol w:w="1250"/>
        <w:gridCol w:w="1196"/>
      </w:tblGrid>
      <w:tr>
        <w:trPr>
          <w:tblHeader/>
        </w:trPr>
        <w:tc>
          <w:tcPr>
            <w:tcW w:w="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序号</w:t>
            </w:r>
          </w:p>
        </w:tc>
        <w:tc>
          <w:tcPr>
            <w:tcW w:w="1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候选环境要素</w:t>
            </w:r>
          </w:p>
        </w:tc>
        <w:tc>
          <w:tcPr>
            <w:tcW w:w="11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第一轮均值</w:t>
            </w:r>
          </w:p>
        </w:tc>
        <w:tc>
          <w:tcPr>
            <w:tcW w:w="12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第一轮标准差</w:t>
            </w:r>
          </w:p>
        </w:tc>
        <w:tc>
          <w:tcPr>
            <w:tcW w:w="11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第二轮均值</w:t>
            </w:r>
          </w:p>
        </w:tc>
        <w:tc>
          <w:tcPr>
            <w:tcW w:w="12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第二轮标准差</w:t>
            </w:r>
          </w:p>
        </w:tc>
        <w:tc>
          <w:tcPr>
            <w:tcW w:w="11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是否入选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13.6</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1.42</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14.2</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0.83</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13.2</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1.55</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13.8</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0.94</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12.8</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1.61</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13.5</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1.02</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12.1</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1.78</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12.9</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1.11</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路面平整度</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11.5</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1.83</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12.1</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1.24</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交通信号</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10.4</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2.10</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10.1</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1.66</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减速设施</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10.1</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2.22</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9.8</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1.71</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路缘石高度</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9.6</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2.05</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9.2</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1.58</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护栏设置</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9.2</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2.31</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8.9</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1.74</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路面颜色</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8.9</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2.14</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8.5</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1.69</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11</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纵坡坡度</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8.6</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2.28</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8.2</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1.80</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弯道半径</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8.3</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2.19</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7.9</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1.77</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绿化遮挡</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8.1</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2.36</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7.6</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1.83</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路面材质</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7.8</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2.25</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7.3</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1.79</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15</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噪声水平</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6.4</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2.41</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5.9</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1.88</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16</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排水系统</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6.1</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2.33</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5.6</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1.85</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温度条件</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5.2</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2.47</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4.7</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1.91</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风力条件</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4.8</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2.52</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1.94</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19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肯德尔协调系数W</w:t>
            </w:r>
          </w:p>
        </w:tc>
        <w:tc>
          <w:tcPr>
            <w:tcW w:w="115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0.58</w:t>
            </w:r>
          </w:p>
        </w:tc>
        <w:tc>
          <w:tcPr>
            <w:tcW w:w="125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p&lt;0.001</w:t>
            </w:r>
          </w:p>
        </w:tc>
        <w:tc>
          <w:tcPr>
            <w:tcW w:w="115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0.76</w:t>
            </w:r>
          </w:p>
        </w:tc>
        <w:tc>
          <w:tcPr>
            <w:tcW w:w="125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p&lt;0.001</w:t>
            </w:r>
          </w:p>
        </w:tc>
        <w:tc>
          <w:tcPr>
            <w:tcW w:w="11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r>
    </w:tbl>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附录G  研究伦理声明与知情同意要点</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G1  研究伦理声明</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本研究涉及公共区域视频观测、问卷调查、深度访谈与设计工作坊四类数据采集活动，全过程遵循自愿参与、知情同意、匿名处理与最小必要原则。</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视频观测方面，全部观测点位均设于校园公共通行区域，观测方案事前报请学校相关管理部门审核同意，并在各点位显著位置设置观测告示，说明拍摄目的、时段与数据用途，供通行者知悉。录像资料仅用于冲突事件的识别与行为编码，不用于任何形式的个体身份识别。原始录像在完成标注后即进行人脸与车牌区域的模糊化处理，仅保留脱敏后的轨迹数据与事件片段，原始文件在研究结题后统一销毁。</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问卷与访谈方面，全部参与者在参与前均获知研究目的、参与内容、预计耗时、数据用途以及可随时无条件退出的权利，并签署知情同意书。问卷不采集姓名、学号、联系方式等直接身份信息；访谈录音在转录完成后即行删除，转录文本以受访者编号替代姓名，涉及具体人员、院系的表述在整理阶段一并作模糊化处理。</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数据管理方面，全部研究数据存储于课题组专用加密存储设备，访问权限限于课题组成员。研究成果中呈现的所有个体层面资料均为匿名化处理后的结果，访谈引文在不改变原意的前提下删除了可能指向特定个人的细节。</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G2  知情同意书要点</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研究所使用的知情同意书涵盖以下要点：一是研究的名称、承担单位与负责人联系方式；二是研究目的与参与者需要完成的具体事项；三是预计耗时与参与方式；四是参与本研究可能带来的收益与风险说明，本研究不涉及超出日常出行范围的额外风险；五是数据的采集范围、使用方式、保存期限与销毁安排；六是匿名与保密承诺；七是参与者可在任何阶段无需说明理由退出研究，且不因退出承担任何不利后果；八是参与者对研究数据的查询与撤回权利；九是参与者签名与日期栏。</w:t>
      </w:r>
    </w:p>
    <w:sectPr>
      <w:footerReference r:id="rId6" w:type="first"/>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Times New Roman Regular">
    <w:altName w:val="Times New Roman"/>
    <w:panose1 w:val="02020503050405090304"/>
    <w:charset w:val="00"/>
    <w:family w:val="auto"/>
    <w:pitch w:val="default"/>
    <w:sig w:usb0="00000000" w:usb1="00000000" w:usb2="00000001" w:usb3="00000000" w:csb0="400001BF" w:csb1="DFF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96299F">
    <w:pPr>
      <w:pStyle w:val="5"/>
      <w:rPr>
        <w:rFonts w:hint="default" w:ascii="Times New Roman" w:hAnsi="Times New Roman" w:cs="Times New Roman"/>
      </w:rPr>
    </w:pPr>
    <w:r>
      <w:rPr>
        <w:rFonts w:hint="default" w:ascii="Times New Roman" w:hAnsi="Times New Roman" w:cs="Times New Roman"/>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DB5986">
                          <w:pPr>
                            <w:pStyle w:val="5"/>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FDB5986">
                    <w:pPr>
                      <w:pStyle w:val="5"/>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3F2B8">
    <w:pPr>
      <w:pStyle w:val="5"/>
      <w:rPr>
        <w:rFonts w:hint="default" w:ascii="Times New Roman" w:hAnsi="Times New Roman" w:cs="Times New Roman"/>
      </w:rPr>
    </w:pPr>
    <w:r>
      <w:rPr>
        <w:rFonts w:hint="default" w:ascii="Times New Roman" w:hAnsi="Times New Roman" w:cs="Times New Roman"/>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828D5E">
                          <w:pPr>
                            <w:pStyle w:val="5"/>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32828D5E">
                    <w:pPr>
                      <w:pStyle w:val="5"/>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A4AF2">
    <w:pPr>
      <w:pStyle w:val="5"/>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C5C88E">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15C5C88E">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3A84D">
    <w:pPr>
      <w:pStyle w:val="6"/>
      <w:pBdr>
        <w:bottom w:val="single" w:color="auto" w:sz="4" w:space="1"/>
      </w:pBdr>
      <w:jc w:val="center"/>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lang w:val="en-US" w:eastAsia="zh-CN"/>
      </w:rPr>
      <w:t>2025年度武汉市社科联课题</w:t>
    </w:r>
    <w:r>
      <w:rPr>
        <w:rFonts w:hint="eastAsia" w:ascii="Times New Roman" w:hAnsi="Times New Roman" w:cs="Times New Roman"/>
        <w:sz w:val="24"/>
        <w:szCs w:val="24"/>
        <w:lang w:val="en-US" w:eastAsia="zh-CN"/>
      </w:rPr>
      <w:t>研究</w:t>
    </w:r>
    <w:r>
      <w:rPr>
        <w:rFonts w:hint="default" w:ascii="Times New Roman" w:hAnsi="Times New Roman" w:cs="Times New Roman"/>
        <w:sz w:val="24"/>
        <w:szCs w:val="24"/>
        <w:lang w:val="en-US" w:eastAsia="zh-CN"/>
      </w:rPr>
      <w:t>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9C33C8"/>
    <w:multiLevelType w:val="singleLevel"/>
    <w:tmpl w:val="829C33C8"/>
    <w:lvl w:ilvl="0" w:tentative="0">
      <w:start w:val="1"/>
      <w:numFmt w:val="decimal"/>
      <w:suff w:val="nothing"/>
      <w:lvlText w:val="（%1）"/>
      <w:lvlJc w:val="left"/>
      <w:rPr>
        <w:rFonts w:hint="default" w:ascii="黑体" w:hAnsi="黑体" w:eastAsia="黑体" w:cs="黑体"/>
      </w:rPr>
    </w:lvl>
  </w:abstractNum>
  <w:abstractNum w:abstractNumId="1">
    <w:nsid w:val="A2C2AF36"/>
    <w:multiLevelType w:val="singleLevel"/>
    <w:tmpl w:val="A2C2AF36"/>
    <w:lvl w:ilvl="0" w:tentative="0">
      <w:start w:val="1"/>
      <w:numFmt w:val="decimal"/>
      <w:suff w:val="nothing"/>
      <w:lvlText w:val="（%1）"/>
      <w:lvlJc w:val="left"/>
      <w:rPr>
        <w:rFonts w:hint="default" w:ascii="黑体" w:hAnsi="黑体" w:eastAsia="黑体" w:cs="黑体"/>
      </w:rPr>
    </w:lvl>
  </w:abstractNum>
  <w:abstractNum w:abstractNumId="2">
    <w:nsid w:val="EA1CF8C1"/>
    <w:multiLevelType w:val="singleLevel"/>
    <w:tmpl w:val="EA1CF8C1"/>
    <w:lvl w:ilvl="0" w:tentative="0">
      <w:start w:val="1"/>
      <w:numFmt w:val="decimal"/>
      <w:suff w:val="nothing"/>
      <w:lvlText w:val="（%1）"/>
      <w:lvlJc w:val="left"/>
    </w:lvl>
  </w:abstractNum>
  <w:abstractNum w:abstractNumId="3">
    <w:nsid w:val="35E46E77"/>
    <w:multiLevelType w:val="singleLevel"/>
    <w:tmpl w:val="35E46E77"/>
    <w:lvl w:ilvl="0" w:tentative="0">
      <w:start w:val="1"/>
      <w:numFmt w:val="decimal"/>
      <w:suff w:val="nothing"/>
      <w:lvlText w:val="（%1）"/>
      <w:lvlJc w:val="left"/>
      <w:rPr>
        <w:rFonts w:hint="default" w:ascii="黑体" w:hAnsi="黑体" w:eastAsia="黑体" w:cs="黑体"/>
      </w:rPr>
    </w:lvl>
  </w:abstractNum>
  <w:abstractNum w:abstractNumId="4">
    <w:nsid w:val="379009E1"/>
    <w:multiLevelType w:val="singleLevel"/>
    <w:tmpl w:val="379009E1"/>
    <w:lvl w:ilvl="0" w:tentative="0">
      <w:start w:val="1"/>
      <w:numFmt w:val="chineseCounting"/>
      <w:suff w:val="nothing"/>
      <w:lvlText w:val="第%1，"/>
      <w:lvlJc w:val="left"/>
      <w:rPr>
        <w:rFonts w:hint="eastAsia"/>
      </w:r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updateFields w:val="true"/>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323CFC"/>
    <w:rsid w:val="000E0E28"/>
    <w:rsid w:val="00610597"/>
    <w:rsid w:val="009224FE"/>
    <w:rsid w:val="00E803CB"/>
    <w:rsid w:val="013243F9"/>
    <w:rsid w:val="01A13D77"/>
    <w:rsid w:val="01B67601"/>
    <w:rsid w:val="020000B3"/>
    <w:rsid w:val="0215299B"/>
    <w:rsid w:val="026C6FEE"/>
    <w:rsid w:val="026E7509"/>
    <w:rsid w:val="02777BFD"/>
    <w:rsid w:val="028969D5"/>
    <w:rsid w:val="028B5DD1"/>
    <w:rsid w:val="02AF2CDD"/>
    <w:rsid w:val="02DA05CB"/>
    <w:rsid w:val="02E34F3D"/>
    <w:rsid w:val="02E36377"/>
    <w:rsid w:val="0304012D"/>
    <w:rsid w:val="039D18E6"/>
    <w:rsid w:val="03C17D46"/>
    <w:rsid w:val="03D25D2F"/>
    <w:rsid w:val="03E94E31"/>
    <w:rsid w:val="0402322C"/>
    <w:rsid w:val="04373E15"/>
    <w:rsid w:val="044004C3"/>
    <w:rsid w:val="04780182"/>
    <w:rsid w:val="049A3DD9"/>
    <w:rsid w:val="04B14F1D"/>
    <w:rsid w:val="04FB7792"/>
    <w:rsid w:val="05294D64"/>
    <w:rsid w:val="057F2DF2"/>
    <w:rsid w:val="05B922DB"/>
    <w:rsid w:val="060E0E99"/>
    <w:rsid w:val="06255E28"/>
    <w:rsid w:val="064E2059"/>
    <w:rsid w:val="069845E6"/>
    <w:rsid w:val="06B80F28"/>
    <w:rsid w:val="06D01345"/>
    <w:rsid w:val="07503593"/>
    <w:rsid w:val="07900320"/>
    <w:rsid w:val="07B477CE"/>
    <w:rsid w:val="07D7350F"/>
    <w:rsid w:val="080F19E9"/>
    <w:rsid w:val="08191757"/>
    <w:rsid w:val="083727C0"/>
    <w:rsid w:val="083F6B7A"/>
    <w:rsid w:val="087C1A65"/>
    <w:rsid w:val="08AC11F3"/>
    <w:rsid w:val="08B4450F"/>
    <w:rsid w:val="08E25FED"/>
    <w:rsid w:val="09300255"/>
    <w:rsid w:val="09420839"/>
    <w:rsid w:val="09643EED"/>
    <w:rsid w:val="09992B4F"/>
    <w:rsid w:val="09CA0F5B"/>
    <w:rsid w:val="09EC383A"/>
    <w:rsid w:val="0A173A74"/>
    <w:rsid w:val="0A4E002C"/>
    <w:rsid w:val="0AA252F0"/>
    <w:rsid w:val="0AC01458"/>
    <w:rsid w:val="0B5ED0F7"/>
    <w:rsid w:val="0B9A61FB"/>
    <w:rsid w:val="0BBE124B"/>
    <w:rsid w:val="0BF52FA0"/>
    <w:rsid w:val="0C061FF2"/>
    <w:rsid w:val="0C1803D6"/>
    <w:rsid w:val="0C192317"/>
    <w:rsid w:val="0C1A42EF"/>
    <w:rsid w:val="0C43716A"/>
    <w:rsid w:val="0C5D659A"/>
    <w:rsid w:val="0CA21D1B"/>
    <w:rsid w:val="0CC936D8"/>
    <w:rsid w:val="0D78403C"/>
    <w:rsid w:val="0DB066B9"/>
    <w:rsid w:val="0DD9531C"/>
    <w:rsid w:val="0DEA1E65"/>
    <w:rsid w:val="0DEB0981"/>
    <w:rsid w:val="0DEB76F2"/>
    <w:rsid w:val="0E333F9D"/>
    <w:rsid w:val="0E337665"/>
    <w:rsid w:val="0E3F3599"/>
    <w:rsid w:val="0EB969C0"/>
    <w:rsid w:val="0EC20452"/>
    <w:rsid w:val="0EC71E62"/>
    <w:rsid w:val="0ECD4C5E"/>
    <w:rsid w:val="0F427144"/>
    <w:rsid w:val="0F9D532E"/>
    <w:rsid w:val="0FC0550E"/>
    <w:rsid w:val="10376C1E"/>
    <w:rsid w:val="10433815"/>
    <w:rsid w:val="10450267"/>
    <w:rsid w:val="10487732"/>
    <w:rsid w:val="104C7395"/>
    <w:rsid w:val="10D630F1"/>
    <w:rsid w:val="11190C87"/>
    <w:rsid w:val="117F4AC3"/>
    <w:rsid w:val="11B106B8"/>
    <w:rsid w:val="11B36778"/>
    <w:rsid w:val="11EE7B3B"/>
    <w:rsid w:val="120A1364"/>
    <w:rsid w:val="1217406C"/>
    <w:rsid w:val="1220319B"/>
    <w:rsid w:val="125C50FB"/>
    <w:rsid w:val="12637B18"/>
    <w:rsid w:val="128272C8"/>
    <w:rsid w:val="12D746E8"/>
    <w:rsid w:val="12EE2027"/>
    <w:rsid w:val="131C2522"/>
    <w:rsid w:val="132F475B"/>
    <w:rsid w:val="137A5471"/>
    <w:rsid w:val="13806473"/>
    <w:rsid w:val="138537DC"/>
    <w:rsid w:val="13B575EC"/>
    <w:rsid w:val="14413B07"/>
    <w:rsid w:val="14985E63"/>
    <w:rsid w:val="14BF77D4"/>
    <w:rsid w:val="15757A6F"/>
    <w:rsid w:val="15C603C9"/>
    <w:rsid w:val="15F638C3"/>
    <w:rsid w:val="15FA4890"/>
    <w:rsid w:val="15FC2B6A"/>
    <w:rsid w:val="164E3C95"/>
    <w:rsid w:val="16786FA1"/>
    <w:rsid w:val="16B958C4"/>
    <w:rsid w:val="16C13B63"/>
    <w:rsid w:val="16E4792D"/>
    <w:rsid w:val="16F17D1E"/>
    <w:rsid w:val="17127177"/>
    <w:rsid w:val="17527900"/>
    <w:rsid w:val="175F378B"/>
    <w:rsid w:val="17AF321D"/>
    <w:rsid w:val="181E6800"/>
    <w:rsid w:val="18B4483E"/>
    <w:rsid w:val="18E047AA"/>
    <w:rsid w:val="18E53FBC"/>
    <w:rsid w:val="18F54DF5"/>
    <w:rsid w:val="19061883"/>
    <w:rsid w:val="197D7D98"/>
    <w:rsid w:val="1985457D"/>
    <w:rsid w:val="198F7ACB"/>
    <w:rsid w:val="19E62BAB"/>
    <w:rsid w:val="1A061133"/>
    <w:rsid w:val="1A1D50D7"/>
    <w:rsid w:val="1ABD6C40"/>
    <w:rsid w:val="1AC60D6B"/>
    <w:rsid w:val="1AD63D01"/>
    <w:rsid w:val="1B0E5853"/>
    <w:rsid w:val="1B772A10"/>
    <w:rsid w:val="1BC0765E"/>
    <w:rsid w:val="1C2C33AF"/>
    <w:rsid w:val="1CA70C88"/>
    <w:rsid w:val="1CB729C0"/>
    <w:rsid w:val="1CBF06C7"/>
    <w:rsid w:val="1D180A37"/>
    <w:rsid w:val="1D570900"/>
    <w:rsid w:val="1D776170"/>
    <w:rsid w:val="1D9A4940"/>
    <w:rsid w:val="1DA10708"/>
    <w:rsid w:val="1DAF6AD1"/>
    <w:rsid w:val="1DF919B7"/>
    <w:rsid w:val="1E9235F6"/>
    <w:rsid w:val="1F8374A3"/>
    <w:rsid w:val="1FC51F1A"/>
    <w:rsid w:val="1FE3647B"/>
    <w:rsid w:val="20303324"/>
    <w:rsid w:val="209715B1"/>
    <w:rsid w:val="20A07A41"/>
    <w:rsid w:val="20C363D8"/>
    <w:rsid w:val="21085104"/>
    <w:rsid w:val="21527574"/>
    <w:rsid w:val="215548D1"/>
    <w:rsid w:val="216D06F2"/>
    <w:rsid w:val="21793303"/>
    <w:rsid w:val="21B93462"/>
    <w:rsid w:val="21C4241E"/>
    <w:rsid w:val="21C63ED4"/>
    <w:rsid w:val="21DA0C87"/>
    <w:rsid w:val="22140B6D"/>
    <w:rsid w:val="22342FBD"/>
    <w:rsid w:val="22AA5F7F"/>
    <w:rsid w:val="22B801D1"/>
    <w:rsid w:val="23040BE2"/>
    <w:rsid w:val="233629CD"/>
    <w:rsid w:val="235420DC"/>
    <w:rsid w:val="236A64B3"/>
    <w:rsid w:val="2375388E"/>
    <w:rsid w:val="237870F8"/>
    <w:rsid w:val="237F4826"/>
    <w:rsid w:val="238B30B1"/>
    <w:rsid w:val="239435C9"/>
    <w:rsid w:val="23B50848"/>
    <w:rsid w:val="23DF1103"/>
    <w:rsid w:val="23FF4CA7"/>
    <w:rsid w:val="240508B2"/>
    <w:rsid w:val="24AF2705"/>
    <w:rsid w:val="25021151"/>
    <w:rsid w:val="251C461B"/>
    <w:rsid w:val="253E6EE8"/>
    <w:rsid w:val="254973BC"/>
    <w:rsid w:val="25A91F14"/>
    <w:rsid w:val="25BF5294"/>
    <w:rsid w:val="25F56254"/>
    <w:rsid w:val="26217F51"/>
    <w:rsid w:val="26812EB0"/>
    <w:rsid w:val="26B11CFF"/>
    <w:rsid w:val="26D32EC2"/>
    <w:rsid w:val="270D0281"/>
    <w:rsid w:val="277D17B0"/>
    <w:rsid w:val="27BF5635"/>
    <w:rsid w:val="27C70430"/>
    <w:rsid w:val="281A0EA7"/>
    <w:rsid w:val="281C5F26"/>
    <w:rsid w:val="28CF0D0C"/>
    <w:rsid w:val="28DD1A9A"/>
    <w:rsid w:val="28F22577"/>
    <w:rsid w:val="291032FF"/>
    <w:rsid w:val="2911750D"/>
    <w:rsid w:val="2939535D"/>
    <w:rsid w:val="29872D20"/>
    <w:rsid w:val="29C67614"/>
    <w:rsid w:val="2A336FAE"/>
    <w:rsid w:val="2A41096D"/>
    <w:rsid w:val="2A6805D6"/>
    <w:rsid w:val="2AD46A97"/>
    <w:rsid w:val="2B1902B2"/>
    <w:rsid w:val="2BD30FEC"/>
    <w:rsid w:val="2C1A2780"/>
    <w:rsid w:val="2C3A4196"/>
    <w:rsid w:val="2C3B319A"/>
    <w:rsid w:val="2C7E7C57"/>
    <w:rsid w:val="2CE73597"/>
    <w:rsid w:val="2D1E0925"/>
    <w:rsid w:val="2D7A6FB8"/>
    <w:rsid w:val="2D95786F"/>
    <w:rsid w:val="2DA059AB"/>
    <w:rsid w:val="2DE422FF"/>
    <w:rsid w:val="2E0E076F"/>
    <w:rsid w:val="2E0F4CE4"/>
    <w:rsid w:val="2E1E087E"/>
    <w:rsid w:val="2EB92AB6"/>
    <w:rsid w:val="2F2E761D"/>
    <w:rsid w:val="2F332920"/>
    <w:rsid w:val="2F5729E1"/>
    <w:rsid w:val="2FCE1F78"/>
    <w:rsid w:val="30073895"/>
    <w:rsid w:val="30213F78"/>
    <w:rsid w:val="30432BEE"/>
    <w:rsid w:val="30590D3B"/>
    <w:rsid w:val="30E6401D"/>
    <w:rsid w:val="311C2969"/>
    <w:rsid w:val="31202E64"/>
    <w:rsid w:val="31574D65"/>
    <w:rsid w:val="322E5285"/>
    <w:rsid w:val="32404663"/>
    <w:rsid w:val="32737B32"/>
    <w:rsid w:val="327D37D4"/>
    <w:rsid w:val="32855C23"/>
    <w:rsid w:val="32977E9B"/>
    <w:rsid w:val="32F131FD"/>
    <w:rsid w:val="33162E27"/>
    <w:rsid w:val="332826CA"/>
    <w:rsid w:val="33613E2E"/>
    <w:rsid w:val="33664FA1"/>
    <w:rsid w:val="33746B9D"/>
    <w:rsid w:val="33941B0E"/>
    <w:rsid w:val="33D5092E"/>
    <w:rsid w:val="33F7209D"/>
    <w:rsid w:val="33FB1B8D"/>
    <w:rsid w:val="340D25AE"/>
    <w:rsid w:val="34522550"/>
    <w:rsid w:val="34B51D60"/>
    <w:rsid w:val="34CB78BC"/>
    <w:rsid w:val="34ED2E14"/>
    <w:rsid w:val="35072585"/>
    <w:rsid w:val="356E45E1"/>
    <w:rsid w:val="35725E7F"/>
    <w:rsid w:val="35752642"/>
    <w:rsid w:val="35784B06"/>
    <w:rsid w:val="36146D1E"/>
    <w:rsid w:val="369969FF"/>
    <w:rsid w:val="36CC15BF"/>
    <w:rsid w:val="36D241B0"/>
    <w:rsid w:val="36E45762"/>
    <w:rsid w:val="37227431"/>
    <w:rsid w:val="374A6392"/>
    <w:rsid w:val="375E1638"/>
    <w:rsid w:val="376260A7"/>
    <w:rsid w:val="376B0829"/>
    <w:rsid w:val="37737A4B"/>
    <w:rsid w:val="3783321D"/>
    <w:rsid w:val="37DD50CE"/>
    <w:rsid w:val="37E42938"/>
    <w:rsid w:val="37FE2C20"/>
    <w:rsid w:val="38754708"/>
    <w:rsid w:val="38AB44D8"/>
    <w:rsid w:val="38DF324A"/>
    <w:rsid w:val="390A4620"/>
    <w:rsid w:val="397F34E4"/>
    <w:rsid w:val="39A74A1A"/>
    <w:rsid w:val="39D86DD9"/>
    <w:rsid w:val="3A033B36"/>
    <w:rsid w:val="3A0B68A2"/>
    <w:rsid w:val="3A126977"/>
    <w:rsid w:val="3A1D52D2"/>
    <w:rsid w:val="3AD07E3B"/>
    <w:rsid w:val="3AD1361B"/>
    <w:rsid w:val="3B0D76DD"/>
    <w:rsid w:val="3B1B0D67"/>
    <w:rsid w:val="3B331C0C"/>
    <w:rsid w:val="3B566CE4"/>
    <w:rsid w:val="3B9F6305"/>
    <w:rsid w:val="3CBA73A1"/>
    <w:rsid w:val="3CF77608"/>
    <w:rsid w:val="3D821A5B"/>
    <w:rsid w:val="3DE713D4"/>
    <w:rsid w:val="3DF62301"/>
    <w:rsid w:val="3E323CFC"/>
    <w:rsid w:val="3EF6C923"/>
    <w:rsid w:val="3EF83813"/>
    <w:rsid w:val="3F4E4A01"/>
    <w:rsid w:val="3F5D5973"/>
    <w:rsid w:val="3FBDD455"/>
    <w:rsid w:val="3FCF5D54"/>
    <w:rsid w:val="3FDA11F0"/>
    <w:rsid w:val="3FDB6D16"/>
    <w:rsid w:val="3FED711E"/>
    <w:rsid w:val="4028049C"/>
    <w:rsid w:val="40300E10"/>
    <w:rsid w:val="40351E18"/>
    <w:rsid w:val="403F410A"/>
    <w:rsid w:val="40B03CFF"/>
    <w:rsid w:val="41021214"/>
    <w:rsid w:val="41377F7D"/>
    <w:rsid w:val="415C005D"/>
    <w:rsid w:val="418331C2"/>
    <w:rsid w:val="418615CC"/>
    <w:rsid w:val="42342697"/>
    <w:rsid w:val="42723962"/>
    <w:rsid w:val="427856AF"/>
    <w:rsid w:val="428750D1"/>
    <w:rsid w:val="42E457AE"/>
    <w:rsid w:val="431B4707"/>
    <w:rsid w:val="43821597"/>
    <w:rsid w:val="43881B76"/>
    <w:rsid w:val="444A4FF2"/>
    <w:rsid w:val="44DD1BBC"/>
    <w:rsid w:val="451261E7"/>
    <w:rsid w:val="452935CB"/>
    <w:rsid w:val="459B7FA8"/>
    <w:rsid w:val="45D458CE"/>
    <w:rsid w:val="45E11743"/>
    <w:rsid w:val="462135E4"/>
    <w:rsid w:val="46687A77"/>
    <w:rsid w:val="46801C9C"/>
    <w:rsid w:val="46B00F72"/>
    <w:rsid w:val="46B74A1C"/>
    <w:rsid w:val="46C8165F"/>
    <w:rsid w:val="46EC4E76"/>
    <w:rsid w:val="471532B9"/>
    <w:rsid w:val="473374D6"/>
    <w:rsid w:val="47BF4E29"/>
    <w:rsid w:val="47F83F34"/>
    <w:rsid w:val="481B604A"/>
    <w:rsid w:val="49663936"/>
    <w:rsid w:val="49802948"/>
    <w:rsid w:val="498126DD"/>
    <w:rsid w:val="4A1479AD"/>
    <w:rsid w:val="4A3947A9"/>
    <w:rsid w:val="4A4200BE"/>
    <w:rsid w:val="4AEB26B3"/>
    <w:rsid w:val="4B084CA7"/>
    <w:rsid w:val="4B3C4B0D"/>
    <w:rsid w:val="4B630235"/>
    <w:rsid w:val="4B90263B"/>
    <w:rsid w:val="4B9E7576"/>
    <w:rsid w:val="4BA26273"/>
    <w:rsid w:val="4C5D4E5A"/>
    <w:rsid w:val="4CC50B32"/>
    <w:rsid w:val="4CCE6F2D"/>
    <w:rsid w:val="4CD52988"/>
    <w:rsid w:val="4D3B2BA3"/>
    <w:rsid w:val="4E0538DC"/>
    <w:rsid w:val="4E1874E8"/>
    <w:rsid w:val="4ED9170A"/>
    <w:rsid w:val="4F0F02C3"/>
    <w:rsid w:val="4F245FE4"/>
    <w:rsid w:val="4F506DD9"/>
    <w:rsid w:val="4F9D0B54"/>
    <w:rsid w:val="4FCB2F05"/>
    <w:rsid w:val="4FD11CE0"/>
    <w:rsid w:val="4FE33077"/>
    <w:rsid w:val="4FF263FB"/>
    <w:rsid w:val="4FF515BC"/>
    <w:rsid w:val="50396271"/>
    <w:rsid w:val="50595F65"/>
    <w:rsid w:val="51556929"/>
    <w:rsid w:val="5201554D"/>
    <w:rsid w:val="523A167B"/>
    <w:rsid w:val="52A6753F"/>
    <w:rsid w:val="52F53032"/>
    <w:rsid w:val="53475632"/>
    <w:rsid w:val="53A16574"/>
    <w:rsid w:val="53DF552A"/>
    <w:rsid w:val="54B84BBE"/>
    <w:rsid w:val="54C730CC"/>
    <w:rsid w:val="54D041C2"/>
    <w:rsid w:val="551335A1"/>
    <w:rsid w:val="557B15C4"/>
    <w:rsid w:val="557B26D6"/>
    <w:rsid w:val="55AA7F4A"/>
    <w:rsid w:val="56424FA2"/>
    <w:rsid w:val="56825340"/>
    <w:rsid w:val="56B84232"/>
    <w:rsid w:val="56FF5614"/>
    <w:rsid w:val="57407733"/>
    <w:rsid w:val="576D7422"/>
    <w:rsid w:val="578332CF"/>
    <w:rsid w:val="57B421FF"/>
    <w:rsid w:val="57FB30B4"/>
    <w:rsid w:val="57FC08E5"/>
    <w:rsid w:val="59722042"/>
    <w:rsid w:val="598B6C60"/>
    <w:rsid w:val="59ED743E"/>
    <w:rsid w:val="5A27795C"/>
    <w:rsid w:val="5A28422F"/>
    <w:rsid w:val="5A551621"/>
    <w:rsid w:val="5A8D302A"/>
    <w:rsid w:val="5AC578CC"/>
    <w:rsid w:val="5B417F1E"/>
    <w:rsid w:val="5B4A6DD2"/>
    <w:rsid w:val="5B57504B"/>
    <w:rsid w:val="5C02299A"/>
    <w:rsid w:val="5C0E4BEE"/>
    <w:rsid w:val="5C3D035D"/>
    <w:rsid w:val="5C4B536A"/>
    <w:rsid w:val="5C4F1C45"/>
    <w:rsid w:val="5C5E5408"/>
    <w:rsid w:val="5C6FAD28"/>
    <w:rsid w:val="5C941B9E"/>
    <w:rsid w:val="5CBD5B0A"/>
    <w:rsid w:val="5CD858CA"/>
    <w:rsid w:val="5D587BEC"/>
    <w:rsid w:val="5DA36667"/>
    <w:rsid w:val="5DAF1219"/>
    <w:rsid w:val="5DB24C2C"/>
    <w:rsid w:val="5DDE2503"/>
    <w:rsid w:val="5DE132F2"/>
    <w:rsid w:val="5E371164"/>
    <w:rsid w:val="5E4958B0"/>
    <w:rsid w:val="5E7D3D41"/>
    <w:rsid w:val="5EAC04E9"/>
    <w:rsid w:val="5EAE0678"/>
    <w:rsid w:val="5EC549C2"/>
    <w:rsid w:val="5ED63DF3"/>
    <w:rsid w:val="5F0C249C"/>
    <w:rsid w:val="5F0FF292"/>
    <w:rsid w:val="5F426EFF"/>
    <w:rsid w:val="5F71212B"/>
    <w:rsid w:val="5FB50457"/>
    <w:rsid w:val="5FB52F23"/>
    <w:rsid w:val="5FC91A22"/>
    <w:rsid w:val="5FCE4A2E"/>
    <w:rsid w:val="5FFE8B76"/>
    <w:rsid w:val="5FFF29FE"/>
    <w:rsid w:val="616D69D4"/>
    <w:rsid w:val="616F1092"/>
    <w:rsid w:val="617B4A06"/>
    <w:rsid w:val="61BF548E"/>
    <w:rsid w:val="62312A9A"/>
    <w:rsid w:val="623D39D4"/>
    <w:rsid w:val="62436329"/>
    <w:rsid w:val="624C0A27"/>
    <w:rsid w:val="62BFC336"/>
    <w:rsid w:val="62EB3D1F"/>
    <w:rsid w:val="62F13FD7"/>
    <w:rsid w:val="63061884"/>
    <w:rsid w:val="6353510B"/>
    <w:rsid w:val="6367500A"/>
    <w:rsid w:val="639B14F1"/>
    <w:rsid w:val="63DA2876"/>
    <w:rsid w:val="642108EC"/>
    <w:rsid w:val="642537B3"/>
    <w:rsid w:val="64425847"/>
    <w:rsid w:val="645A2BAC"/>
    <w:rsid w:val="64656A2B"/>
    <w:rsid w:val="648061F5"/>
    <w:rsid w:val="6482420D"/>
    <w:rsid w:val="65270184"/>
    <w:rsid w:val="65A64EE1"/>
    <w:rsid w:val="65C60144"/>
    <w:rsid w:val="65E16585"/>
    <w:rsid w:val="66494CB0"/>
    <w:rsid w:val="664D10C7"/>
    <w:rsid w:val="66723681"/>
    <w:rsid w:val="66AA4BC9"/>
    <w:rsid w:val="66F429D3"/>
    <w:rsid w:val="675E7762"/>
    <w:rsid w:val="676A25AA"/>
    <w:rsid w:val="676A7B7C"/>
    <w:rsid w:val="677F7E04"/>
    <w:rsid w:val="678707B4"/>
    <w:rsid w:val="67904E80"/>
    <w:rsid w:val="67955F7A"/>
    <w:rsid w:val="67A27F96"/>
    <w:rsid w:val="67B00EF8"/>
    <w:rsid w:val="68380492"/>
    <w:rsid w:val="68905759"/>
    <w:rsid w:val="68AC01EF"/>
    <w:rsid w:val="68F93BE6"/>
    <w:rsid w:val="692B22B4"/>
    <w:rsid w:val="69504122"/>
    <w:rsid w:val="695F6EE0"/>
    <w:rsid w:val="69670BC7"/>
    <w:rsid w:val="699B10A1"/>
    <w:rsid w:val="69CC6D87"/>
    <w:rsid w:val="6A9455F7"/>
    <w:rsid w:val="6AA45DD3"/>
    <w:rsid w:val="6B2D7B77"/>
    <w:rsid w:val="6B4132A3"/>
    <w:rsid w:val="6B4357AF"/>
    <w:rsid w:val="6B9722FD"/>
    <w:rsid w:val="6B9A4761"/>
    <w:rsid w:val="6BDD334B"/>
    <w:rsid w:val="6C0658A3"/>
    <w:rsid w:val="6CB611D0"/>
    <w:rsid w:val="6CFC1E06"/>
    <w:rsid w:val="6D0F2FC0"/>
    <w:rsid w:val="6D5373CF"/>
    <w:rsid w:val="6D7B79BF"/>
    <w:rsid w:val="6D7BE532"/>
    <w:rsid w:val="6D9F18FC"/>
    <w:rsid w:val="6E4B3BB8"/>
    <w:rsid w:val="6E7E1B48"/>
    <w:rsid w:val="6F087423"/>
    <w:rsid w:val="6F683B8E"/>
    <w:rsid w:val="6F727A5D"/>
    <w:rsid w:val="6F79782E"/>
    <w:rsid w:val="6F7F36D1"/>
    <w:rsid w:val="6FBA6AA7"/>
    <w:rsid w:val="6FF39EBC"/>
    <w:rsid w:val="702E0619"/>
    <w:rsid w:val="70360A9C"/>
    <w:rsid w:val="7036571F"/>
    <w:rsid w:val="706400D6"/>
    <w:rsid w:val="70862F0B"/>
    <w:rsid w:val="714E48D5"/>
    <w:rsid w:val="71A746DF"/>
    <w:rsid w:val="71AD1A11"/>
    <w:rsid w:val="72077373"/>
    <w:rsid w:val="726C367A"/>
    <w:rsid w:val="728F13F9"/>
    <w:rsid w:val="72C1593C"/>
    <w:rsid w:val="72D773C6"/>
    <w:rsid w:val="72FA5CB5"/>
    <w:rsid w:val="72FC13FF"/>
    <w:rsid w:val="73043513"/>
    <w:rsid w:val="73262E9D"/>
    <w:rsid w:val="73410CFE"/>
    <w:rsid w:val="73A530FF"/>
    <w:rsid w:val="73C137AD"/>
    <w:rsid w:val="741B1982"/>
    <w:rsid w:val="74604CCB"/>
    <w:rsid w:val="74EB7AAA"/>
    <w:rsid w:val="74F4431E"/>
    <w:rsid w:val="751F2C26"/>
    <w:rsid w:val="753A476D"/>
    <w:rsid w:val="7582387F"/>
    <w:rsid w:val="759009C7"/>
    <w:rsid w:val="761775BF"/>
    <w:rsid w:val="76BF7B13"/>
    <w:rsid w:val="776BFFD6"/>
    <w:rsid w:val="77B5AF61"/>
    <w:rsid w:val="77CB4ADD"/>
    <w:rsid w:val="780F1431"/>
    <w:rsid w:val="782A4F3F"/>
    <w:rsid w:val="788B1C67"/>
    <w:rsid w:val="78B10FC6"/>
    <w:rsid w:val="78C83393"/>
    <w:rsid w:val="78D65BEF"/>
    <w:rsid w:val="791E763E"/>
    <w:rsid w:val="793842B6"/>
    <w:rsid w:val="794F0342"/>
    <w:rsid w:val="799A06C8"/>
    <w:rsid w:val="79E3549E"/>
    <w:rsid w:val="7A9E73BC"/>
    <w:rsid w:val="7AAF2356"/>
    <w:rsid w:val="7ABC50AB"/>
    <w:rsid w:val="7AD101C8"/>
    <w:rsid w:val="7B0663E0"/>
    <w:rsid w:val="7B2060D8"/>
    <w:rsid w:val="7B510A55"/>
    <w:rsid w:val="7B696CAE"/>
    <w:rsid w:val="7BB87930"/>
    <w:rsid w:val="7BF65AC7"/>
    <w:rsid w:val="7C4101D9"/>
    <w:rsid w:val="7C4C347A"/>
    <w:rsid w:val="7C723083"/>
    <w:rsid w:val="7C7262AA"/>
    <w:rsid w:val="7C920BAF"/>
    <w:rsid w:val="7C945CA8"/>
    <w:rsid w:val="7CFB5D27"/>
    <w:rsid w:val="7D11554A"/>
    <w:rsid w:val="7D3905FD"/>
    <w:rsid w:val="7DD33ED5"/>
    <w:rsid w:val="7DDD2456"/>
    <w:rsid w:val="7DEA3FF1"/>
    <w:rsid w:val="7DFF8A3B"/>
    <w:rsid w:val="7E184044"/>
    <w:rsid w:val="7E1870F5"/>
    <w:rsid w:val="7E4C62D2"/>
    <w:rsid w:val="7E5F18DE"/>
    <w:rsid w:val="7E8B2353"/>
    <w:rsid w:val="7EEF1B68"/>
    <w:rsid w:val="7EF7EAC9"/>
    <w:rsid w:val="7EFF7A60"/>
    <w:rsid w:val="7F9D1F6A"/>
    <w:rsid w:val="7FB036FD"/>
    <w:rsid w:val="7FD17D13"/>
    <w:rsid w:val="7FF7704E"/>
    <w:rsid w:val="7FFDD5AB"/>
    <w:rsid w:val="9E48FC8D"/>
    <w:rsid w:val="B93A9A10"/>
    <w:rsid w:val="BBF5AC1D"/>
    <w:rsid w:val="BFE303B2"/>
    <w:rsid w:val="CA7A1B27"/>
    <w:rsid w:val="D7DD186C"/>
    <w:rsid w:val="DAFE22D5"/>
    <w:rsid w:val="DB7F7FD1"/>
    <w:rsid w:val="DBCF338D"/>
    <w:rsid w:val="DD58A571"/>
    <w:rsid w:val="DF7E6813"/>
    <w:rsid w:val="DFFED8E5"/>
    <w:rsid w:val="E55F15E9"/>
    <w:rsid w:val="EB5FD3B4"/>
    <w:rsid w:val="EBD55EC3"/>
    <w:rsid w:val="EFFD67EC"/>
    <w:rsid w:val="F0BB9231"/>
    <w:rsid w:val="F339DD1A"/>
    <w:rsid w:val="F6DF88BB"/>
    <w:rsid w:val="FB5F58A0"/>
    <w:rsid w:val="FB7BE591"/>
    <w:rsid w:val="FBBF171F"/>
    <w:rsid w:val="FBFF7E87"/>
    <w:rsid w:val="FCFB0470"/>
    <w:rsid w:val="FD7B54D3"/>
    <w:rsid w:val="FDB37FD5"/>
    <w:rsid w:val="FDD99835"/>
    <w:rsid w:val="FE5E27AD"/>
    <w:rsid w:val="FECD25E1"/>
    <w:rsid w:val="FEDE84D4"/>
    <w:rsid w:val="FF34B64E"/>
    <w:rsid w:val="FF6DBB41"/>
    <w:rsid w:val="FFADB744"/>
    <w:rsid w:val="FFB345C6"/>
    <w:rsid w:val="FFF48B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9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Body Text"/>
    <w:qFormat/>
    <w:uiPriority w:val="0"/>
    <w:pPr>
      <w:spacing w:before="120" w:after="120" w:line="360" w:lineRule="auto"/>
      <w:ind w:firstLine="480"/>
    </w:pPr>
    <w:rPr>
      <w:rFonts w:ascii="宋体" w:hAnsi="宋体" w:eastAsia="宋体" w:cs="宋体"/>
      <w:color w:val="000000"/>
      <w:sz w:val="24"/>
      <w:szCs w:val="24"/>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paragraph" w:customStyle="1" w:styleId="12">
    <w:name w:val="Table Text"/>
    <w:basedOn w:val="1"/>
    <w:semiHidden/>
    <w:qFormat/>
    <w:uiPriority w:val="0"/>
    <w:rPr>
      <w:rFonts w:ascii="宋体" w:hAnsi="宋体" w:eastAsia="宋体" w:cs="宋体"/>
      <w:sz w:val="20"/>
      <w:szCs w:val="20"/>
      <w:lang w:val="en-US" w:eastAsia="en-US" w:bidi="ar-SA"/>
    </w:rPr>
  </w:style>
  <w:style w:type="table" w:customStyle="1" w:styleId="13">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reviewItem>
      <errorID>753f545c-d1c8-44c0-95e3-646fd06bcf4a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502042FB</paraID>
      <start>276</start>
      <end>277</end>
      <status>unmodified</status>
      <modifiedWord/>
      <trackRevisions>false</trackRevisions>
    </reviewItem>
    <reviewItem>
      <errorID>a19adf50-7ac9-411f-97b4-113026b76509</errorID>
      <errorWord>-</errorWord>
      <group>L1_Format</group>
      <groupName>格式问题</groupName>
      <ability>L2_HalfPunc</ability>
      <abilityName>全半角检查</abilityName>
      <candidateList>
        <item>－</item>
      </candidateList>
      <explain>文本全半角错误。</explain>
      <paraID>6B899940</paraID>
      <start>131</start>
      <end>132</end>
      <status>unmodified</status>
      <modifiedWord/>
      <trackRevisions>false</trackRevisions>
    </reviewItem>
    <reviewItem>
      <errorID>c6ab70c9-7eba-45e4-be60-4b6a37352a54</errorID>
      <errorWord>-</errorWord>
      <group>L1_Format</group>
      <groupName>格式问题</groupName>
      <ability>L2_HalfPunc</ability>
      <abilityName>全半角检查</abilityName>
      <candidateList>
        <item>－</item>
      </candidateList>
      <explain>文本全半角错误。</explain>
      <paraID>104A5DDB</paraID>
      <start>30</start>
      <end>31</end>
      <status>unmodified</status>
      <modifiedWord/>
      <trackRevisions>false</trackRevisions>
    </reviewItem>
    <reviewItem>
      <errorID>b4a16339-e06f-442d-9f2c-0c04213fa6dd</errorID>
      <errorWord>-</errorWord>
      <group>L1_Format</group>
      <groupName>格式问题</groupName>
      <ability>L2_HalfPunc</ability>
      <abilityName>全半角检查</abilityName>
      <candidateList>
        <item>－</item>
      </candidateList>
      <explain>文本全半角错误。</explain>
      <paraID>104A5DDB</paraID>
      <start>33</start>
      <end>34</end>
      <status>unmodified</status>
      <modifiedWord/>
      <trackRevisions>false</trackRevisions>
    </reviewItem>
    <reviewItem>
      <errorID>798410f3-25af-4bd9-bf60-46368187642e</errorID>
      <errorWord>冲突特</errorWord>
      <group>L1_Word</group>
      <groupName>字词问题</groupName>
      <ability>L2_Typo</ability>
      <abilityName>字词错误</abilityName>
      <candidateList>
        <item>冲突</item>
      </candidateList>
      <explain/>
      <paraID>287AA0DF</paraID>
      <start>11</start>
      <end>13</end>
      <status>modified</status>
      <modifiedWord>冲突</modifiedWord>
      <trackRevisions>false</trackRevisions>
    </reviewItem>
    <reviewItem>
      <errorID>ac1b0425-0e97-4b62-9dbb-5f6c4f0069a1</errorID>
      <errorWord>-</errorWord>
      <group>L1_Format</group>
      <groupName>格式问题</groupName>
      <ability>L2_HalfPunc</ability>
      <abilityName>全半角检查</abilityName>
      <candidateList>
        <item>－</item>
      </candidateList>
      <explain>文本全半角错误。</explain>
      <paraID>13CBD1BC</paraID>
      <start>183</start>
      <end>184</end>
      <status>unmodified</status>
      <modifiedWord/>
      <trackRevisions>false</trackRevisions>
    </reviewItem>
    <reviewItem>
      <errorID>2429607b-180c-4dd2-9c85-12a4302b1d4c</errorID>
      <errorWord>-</errorWord>
      <group>L1_Format</group>
      <groupName>格式问题</groupName>
      <ability>L2_HalfPunc</ability>
      <abilityName>全半角检查</abilityName>
      <candidateList>
        <item>－</item>
      </candidateList>
      <explain>文本全半角错误。</explain>
      <paraID>13CBD1BC</paraID>
      <start>186</start>
      <end>187</end>
      <status>unmodified</status>
      <modifiedWord/>
      <trackRevisions>false</trackRevisions>
    </reviewItem>
    <reviewItem>
      <errorID>7104b92c-9485-49e9-996d-48441f17d3ce</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35589A88</paraID>
      <start>315</start>
      <end>316</end>
      <status>unmodified</status>
      <modifiedWord/>
      <trackRevisions>false</trackRevisions>
    </reviewItem>
    <reviewItem>
      <errorID>166ceb25-dceb-428c-8fbc-0781fbb4ccb6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35589A88</paraID>
      <start>322</start>
      <end>323</end>
      <status>unmodified</status>
      <modifiedWord/>
      <trackRevisions>false</trackRevisions>
    </reviewItem>
    <reviewItem>
      <errorID>3a9f4ee2-3bfa-46f2-878a-573cbc03cc56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2B17CD15</paraID>
      <start>163</start>
      <end>164</end>
      <status>unmodified</status>
      <modifiedWord/>
      <trackRevisions>false</trackRevisions>
    </reviewItem>
    <reviewItem>
      <errorID>f4f2824b-f7bc-4ace-a0a0-3c7d60de5f7a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2B17CD15</paraID>
      <start>173</start>
      <end>174</end>
      <status>unmodified</status>
      <modifiedWord/>
      <trackRevisions>false</trackRevisions>
    </reviewItem>
    <reviewItem>
      <errorID>a0739908-6f72-4db6-a126-4ce21ab71f78</errorID>
      <errorWord>下午16时</errorWord>
      <group>L1_Knowledge</group>
      <groupName>知识性问题</groupName>
      <ability>L2_Time</ability>
      <abilityName>日期时间</abilityName>
      <candidateList>
        <item>16时</item>
      </candidateList>
      <explain>24小时制的时间，不需要强调“下午”。</explain>
      <paraID>39DEB66D</paraID>
      <start>294</start>
      <end>299</end>
      <status>unmodified</status>
      <modifiedWord/>
      <trackRevisions>false</trackRevisions>
    </reviewItem>
    <reviewItem>
      <errorID>3fa583bd-6603-489c-85a6-0b3b30a655a1</errorID>
      <errorWord>（</errorWord>
      <group>L1_Format</group>
      <groupName>格式问题</groupName>
      <ability>L2_HalfPunc</ability>
      <abilityName>全半角检查</abilityName>
      <candidateList>
        <item>(</item>
      </candidateList>
      <explain>文本全半角错误。</explain>
      <paraID> C739D24</paraID>
      <start>0</start>
      <end>1</end>
      <status>unmodified</status>
      <modifiedWord/>
      <trackRevisions>false</trackRevisions>
    </reviewItem>
    <reviewItem>
      <errorID>f8ecfbeb-19cc-4ca3-a5e1-8f877327f484</errorID>
      <errorWord>）</errorWord>
      <group>L1_Format</group>
      <groupName>格式问题</groupName>
      <ability>L2_HalfPunc</ability>
      <abilityName>全半角检查</abilityName>
      <candidateList>
        <item>)</item>
      </candidateList>
      <explain>文本全半角错误。</explain>
      <paraID> C739D24</paraID>
      <start>35</start>
      <end>36</end>
      <status>unmodified</status>
      <modifiedWord/>
      <trackRevisions>false</trackRevisions>
    </reviewItem>
    <reviewItem>
      <errorID>0dd724cb-0581-4586-a790-032b573459e1</errorID>
      <errorWord>简单明确</errorWord>
      <group>L1_Knowledge</group>
      <groupName>知识性问题</groupName>
      <ability>L2_Idiom</ability>
      <abilityName>成语和诗歌</abilityName>
      <candidateList>
        <item>简单明了</item>
      </candidateList>
      <explain/>
      <paraID>66FD2A9E</paraID>
      <start>4</start>
      <end>8</end>
      <status>modified</status>
      <modifiedWord>简单明了</modifiedWord>
      <trackRevisions>false</trackRevisions>
    </reviewItem>
    <reviewItem>
      <errorID>f8defe6a-39a5-4fdb-8b14-af1d4e5efa30</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5605055D</paraID>
      <start>118</start>
      <end>119</end>
      <status>unmodified</status>
      <modifiedWord/>
      <trackRevisions>false</trackRevisions>
    </reviewItem>
    <reviewItem>
      <errorID>72f4a9e5-699d-4c54-869a-00232cf95f83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5605055D</paraID>
      <start>197</start>
      <end>198</end>
      <status>unmodified</status>
      <modifiedWord/>
      <trackRevisions>false</trackRevisions>
    </reviewItem>
    <reviewItem>
      <errorID>0c1c96ba-c882-4201-a3e6-48661723a54f</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628B8CF4</paraID>
      <start>133</start>
      <end>134</end>
      <status>unmodified</status>
      <modifiedWord/>
      <trackRevisions>false</trackRevisions>
    </reviewItem>
    <reviewItem>
      <errorID>6fbf98cf-7e0e-411a-bd10-5a3103e42533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628B8CF4</paraID>
      <start>160</start>
      <end>161</end>
      <status>unmodified</status>
      <modifiedWord/>
      <trackRevisions>false</trackRevisions>
    </reviewItem>
    <reviewItem>
      <errorID>c3115c5f-e31a-4b66-8bb1-64264e03fa3c</errorID>
      <errorWord>&gt;</errorWord>
      <group>L1_Punc</group>
      <groupName>标点问题</groupName>
      <ability>L2_Punc</ability>
      <abilityName>标点符号检查</abilityName>
      <candidateList/>
      <explain/>
      <paraID>74B40F63</paraID>
      <start>0</start>
      <end>1</end>
      <status>unmodified</status>
      <modifiedWord/>
      <trackRevisions>false</trackRevisions>
    </reviewItem>
    <reviewItem>
      <errorID>8ede3205-247b-473a-9818-8956bbe1a332</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6A8A36CD</paraID>
      <start>1</start>
      <end>2</end>
      <status>unmodified</status>
      <modifiedWord/>
      <trackRevisions>false</trackRevisions>
    </reviewItem>
    <reviewItem>
      <errorID>886a9e3a-87ae-492a-91f4-468041746615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71C98EA9</paraID>
      <start>1</start>
      <end>2</end>
      <status>unmodified</status>
      <modifiedWord/>
      <trackRevisions>false</trackRevisions>
    </reviewItem>
    <reviewItem>
      <errorID>921a75ce-bf03-452d-899b-b4c60c3abeb6</errorID>
      <errorWord>&gt;</errorWord>
      <group>L1_Punc</group>
      <groupName>标点问题</groupName>
      <ability>L2_Punc</ability>
      <abilityName>标点符号检查</abilityName>
      <candidateList/>
      <explain/>
      <paraID>3CC755BC</paraID>
      <start>0</start>
      <end>1</end>
      <status>unmodified</status>
      <modifiedWord/>
      <trackRevisions>false</trackRevisions>
    </reviewItem>
    <reviewItem>
      <errorID>c21f0544-e67a-4d65-a306-b56d44bdf95d</errorID>
      <errorWord>进行</errorWord>
      <group>L1_Word</group>
      <groupName>字词问题</groupName>
      <ability>L2_Typo</ability>
      <abilityName>字词错误</abilityName>
      <candidateList>
        <item>开展</item>
      </candidateList>
      <explain>“载荷～进行”搭配不当，建议修改为“载荷～开展”。</explain>
      <paraID>4A663793</paraID>
      <start>8</start>
      <end>10</end>
      <status>modified</status>
      <modifiedWord>开展</modifiedWord>
      <trackRevisions>false</trackRevisions>
    </reviewItem>
    <reviewItem>
      <errorID>73073eff-8d4b-43b5-83f0-57e73d2da857</errorID>
      <errorWord>(</errorWord>
      <group>L1_Format</group>
      <groupName>格式问题</groupName>
      <ability>L2_HalfPunc</ability>
      <abilityName>全半角检查</abilityName>
      <candidateList>
        <item>（</item>
      </candidateList>
      <explain>文本全半角错误。</explain>
      <paraID>4103CBD6</paraID>
      <start>5</start>
      <end>6</end>
      <status>unmodified</status>
      <modifiedWord/>
      <trackRevisions>false</trackRevisions>
    </reviewItem>
    <reviewItem>
      <errorID>c26558ac-7366-4730-b38f-63d0c48e5179</errorID>
      <errorWord>)</errorWord>
      <group>L1_Format</group>
      <groupName>格式问题</groupName>
      <ability>L2_HalfPunc</ability>
      <abilityName>全半角检查</abilityName>
      <candidateList>
        <item>）</item>
      </candidateList>
      <explain>文本全半角错误。</explain>
      <paraID>4103CBD6</paraID>
      <start>7</start>
      <end>8</end>
      <status>unmodified</status>
      <modifiedWord/>
      <trackRevisions>false</trackRevisions>
    </reviewItem>
    <reviewItem>
      <errorID>314f4aa6-75ac-4d54-9dfb-e78d542a424a</errorID>
      <errorWord>(</errorWord>
      <group>L1_Format</group>
      <groupName>格式问题</groupName>
      <ability>L2_HalfPunc</ability>
      <abilityName>全半角检查</abilityName>
      <candidateList>
        <item>（</item>
      </candidateList>
      <explain>文本全半角错误。</explain>
      <paraID>59A3EA28</paraID>
      <start>5</start>
      <end>6</end>
      <status>unmodified</status>
      <modifiedWord/>
      <trackRevisions>false</trackRevisions>
    </reviewItem>
    <reviewItem>
      <errorID>0b3a8f17-b816-4336-a606-1ce68348f76c</errorID>
      <errorWord>)</errorWord>
      <group>L1_Format</group>
      <groupName>格式问题</groupName>
      <ability>L2_HalfPunc</ability>
      <abilityName>全半角检查</abilityName>
      <candidateList>
        <item>）</item>
      </candidateList>
      <explain>文本全半角错误。</explain>
      <paraID>59A3EA28</paraID>
      <start>7</start>
      <end>8</end>
      <status>unmodified</status>
      <modifiedWord/>
      <trackRevisions>false</trackRevisions>
    </reviewItem>
    <reviewItem>
      <errorID>749e1ef8-2e18-4a22-aaaa-92e555ed1707</errorID>
      <errorWord>-</errorWord>
      <group>L1_Format</group>
      <groupName>格式问题</groupName>
      <ability>L2_HalfPunc</ability>
      <abilityName>全半角检查</abilityName>
      <candidateList>
        <item>－</item>
      </candidateList>
      <explain>文本全半角错误。</explain>
      <paraID>29105CE8</paraID>
      <start>34</start>
      <end>35</end>
      <status>unmodified</status>
      <modifiedWord/>
      <trackRevisions>false</trackRevisions>
    </reviewItem>
    <reviewItem>
      <errorID>6e935d4d-922c-4ead-bdcf-0931402b4385</errorID>
      <errorWord>-</errorWord>
      <group>L1_Format</group>
      <groupName>格式问题</groupName>
      <ability>L2_HalfPunc</ability>
      <abilityName>全半角检查</abilityName>
      <candidateList>
        <item>－</item>
      </candidateList>
      <explain>文本全半角错误。</explain>
      <paraID>29105CE8</paraID>
      <start>37</start>
      <end>38</end>
      <status>unmodified</status>
      <modifiedWord/>
      <trackRevisions>false</trackRevisions>
    </reviewItem>
    <reviewItem>
      <errorID>2175097c-6ef9-4a66-9511-cf7124f78f11</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723F8174</paraID>
      <start>4</start>
      <end>5</end>
      <status>unmodified</status>
      <modifiedWord/>
      <trackRevisions>false</trackRevisions>
    </reviewItem>
    <reviewItem>
      <errorID>1828b853-e393-4fe8-bcac-c09a69faaf63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3224D750</paraID>
      <start>4</start>
      <end>5</end>
      <status>unmodified</status>
      <modifiedWord/>
      <trackRevisions>false</trackRevisions>
    </reviewItem>
    <reviewItem>
      <errorID>cd066edd-4ad7-4585-96ec-f22c0ca54afb</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59202FAD</paraID>
      <start>5</start>
      <end>6</end>
      <status>unmodified</status>
      <modifiedWord/>
      <trackRevisions>false</trackRevisions>
    </reviewItem>
    <reviewItem>
      <errorID>4624dcbc-2e72-4e86-8e1f-c70b830ec51f</errorID>
      <errorWord>认知偏差</errorWord>
      <group>L1_Knowledge</group>
      <groupName>知识性问题</groupName>
      <ability>L2_Term</ability>
      <abilityName>专业术语</abilityName>
      <candidateList>
        <item>认知偏倚</item>
      </candidateList>
      <explain/>
      <paraID>797046D5</paraID>
      <start>356</start>
      <end>360</end>
      <status>unmodified</status>
      <modifiedWord/>
      <trackRevisions>false</trackRevisions>
    </reviewItem>
    <reviewItem>
      <errorID>4d701504-58ed-4eab-877e-b829feef93a2</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179DEB45</paraID>
      <start>2</start>
      <end>3</end>
      <status>unmodified</status>
      <modifiedWord/>
      <trackRevisions>false</trackRevisions>
    </reviewItem>
    <reviewItem>
      <errorID>8a3079a1-1634-4cae-9b99-4acf5a130f28</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179DEB45</paraID>
      <start>13</start>
      <end>14</end>
      <status>unmodified</status>
      <modifiedWord/>
      <trackRevisions>false</trackRevisions>
    </reviewItem>
    <reviewItem>
      <errorID>65489c0b-848f-4284-9dbd-03ef9aff4e73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179DEB45</paraID>
      <start>23</start>
      <end>24</end>
      <status>unmodified</status>
      <modifiedWord/>
      <trackRevisions>false</trackRevisions>
    </reviewItem>
    <reviewItem>
      <errorID>946b219c-615b-4845-9256-049395c79efd</errorID>
      <errorWord>5：3分</errorWord>
      <group>L1_Knowledge</group>
      <groupName>知识性问题</groupName>
      <ability>L2_Time</ability>
      <abilityName>日期时间</abilityName>
      <candidateList>
        <item>5:3</item>
      </candidateList>
      <explain>冒号时间格式（XX:XX）后不需要加“分”，并且冒号应使用半角。</explain>
      <paraID> C8AD918</paraID>
      <start>13</start>
      <end>16</end>
      <status>modified</status>
      <modifiedWord>5:3</modifiedWord>
      <trackRevisions>false</trackRevisions>
    </reviewItem>
    <reviewItem>
      <errorID>7307d9d9-883f-4625-b135-c71e4d22a628</errorID>
      <errorWord>5：2分</errorWord>
      <group>L1_Knowledge</group>
      <groupName>知识性问题</groupName>
      <ability>L2_Time</ability>
      <abilityName>日期时间</abilityName>
      <candidateList>
        <item>5:2</item>
      </candidateList>
      <explain>冒号时间格式（XX:XX）后不需要加“分”，并且冒号应使用半角。</explain>
      <paraID> C8AD918</paraID>
      <start>37</start>
      <end>40</end>
      <status>modified</status>
      <modifiedWord>5:2</modifiedWord>
      <trackRevisions>false</trackRevisions>
    </reviewItem>
    <reviewItem>
      <errorID>0dfc3420-fdcb-4ea8-9e11-2a04cc1fc642</errorID>
      <errorWord>4：1分</errorWord>
      <group>L1_Knowledge</group>
      <groupName>知识性问题</groupName>
      <ability>L2_Time</ability>
      <abilityName>日期时间</abilityName>
      <candidateList>
        <item>4:1</item>
      </candidateList>
      <explain>冒号时间格式（XX:XX）后不需要加“分”，并且冒号应使用半角。</explain>
      <paraID> C8AD918</paraID>
      <start>60</start>
      <end>63</end>
      <status>modified</status>
      <modifiedWord>4:1</modifiedWord>
      <trackRevisions>false</trackRevisions>
    </reviewItem>
    <reviewItem>
      <errorID>b4f46fd6-9a79-487f-9497-463b8a3b6a85</errorID>
      <errorWord>3：0分</errorWord>
      <group>L1_Knowledge</group>
      <groupName>知识性问题</groupName>
      <ability>L2_Time</ability>
      <abilityName>日期时间</abilityName>
      <candidateList>
        <item>3:0</item>
      </candidateList>
      <explain>冒号时间格式（XX:XX）后不需要加“分”，并且冒号应使用半角。</explain>
      <paraID> C8AD918</paraID>
      <start>76</start>
      <end>79</end>
      <status>modified</status>
      <modifiedWord>3:0</modifiedWord>
      <trackRevisions>false</trackRevisions>
    </reviewItem>
    <reviewItem>
      <errorID>0d44e42d-541a-437c-82f9-2b706044c079</errorID>
      <errorWord>研就</errorWord>
      <group>L1_Word</group>
      <groupName>字词问题</groupName>
      <ability>L2_Typo</ability>
      <abilityName>字词错误</abilityName>
      <candidateList>
        <item>研究</item>
      </candidateList>
      <explain>〈动〉❶探求事物的真相、性质、规律等：～语言｜学术～｜调查～。❷考虑或商讨（意见、问题）：今天的会议，准备～三个重要问题｜这个方案领导上正在～。</explain>
      <paraID>78B3D629</paraID>
      <start>17</start>
      <end>19</end>
      <status>modified</status>
      <modifiedWord>研究</modifiedWord>
      <trackRevisions>false</trackRevisions>
    </reviewItem>
    <reviewItem>
      <errorID>b7b2b5f3-394e-4191-a0c2-69a07149e81f</errorID>
      <errorWord>-</errorWord>
      <group>L1_Format</group>
      <groupName>格式问题</groupName>
      <ability>L2_HalfPunc</ability>
      <abilityName>全半角检查</abilityName>
      <candidateList>
        <item>－</item>
      </candidateList>
      <explain>文本全半角错误。</explain>
      <paraID> E4AA272</paraID>
      <start>580</start>
      <end>581</end>
      <status>unmodified</status>
      <modifiedWord/>
      <trackRevisions>false</trackRevisions>
    </reviewItem>
    <reviewItem>
      <errorID>863a465b-228b-4175-bffa-0df98495f471</errorID>
      <errorWord>)</errorWord>
      <group>L1_Format</group>
      <groupName>格式问题</groupName>
      <ability>L2_HalfPunc</ability>
      <abilityName>全半角检查</abilityName>
      <candidateList>
        <item>）</item>
      </candidateList>
      <explain>文本全半角错误。</explain>
      <paraID> 4FDCFAD</paraID>
      <start>84</start>
      <end>85</end>
      <status>unmodified</status>
      <modifiedWord/>
      <trackRevisions>false</trackRevisions>
    </reviewItem>
    <reviewItem>
      <errorID>d1d1429a-b4aa-43ed-a62b-36452facaea2</errorID>
      <errorWord>)</errorWord>
      <group>L1_Format</group>
      <groupName>格式问题</groupName>
      <ability>L2_HalfPunc</ability>
      <abilityName>全半角检查</abilityName>
      <candidateList>
        <item>）</item>
      </candidateList>
      <explain>文本全半角错误。</explain>
      <paraID> 4FDCFAD</paraID>
      <start>108</start>
      <end>109</end>
      <status>unmodified</status>
      <modifiedWord/>
      <trackRevisions>false</trackRevisions>
    </reviewItem>
    <reviewItem>
      <errorID>b4b5d27a-1695-4eec-8390-50f85adcddef</errorID>
      <errorWord>-</errorWord>
      <group>L1_Format</group>
      <groupName>格式问题</groupName>
      <ability>L2_HalfPunc</ability>
      <abilityName>全半角检查</abilityName>
      <candidateList>
        <item>－</item>
      </candidateList>
      <explain>文本全半角错误。</explain>
      <paraID>1715C775</paraID>
      <start>27</start>
      <end>28</end>
      <status>unmodified</status>
      <modifiedWord/>
      <trackRevisions>false</trackRevisions>
    </reviewItem>
    <reviewItem>
      <errorID>455dc5e4-75a3-4cb2-9d1f-924c0a33cb89</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1715C775</paraID>
      <start>177</start>
      <end>178</end>
      <status>unmodified</status>
      <modifiedWord/>
      <trackRevisions>false</trackRevisions>
    </reviewItem>
    <reviewItem>
      <errorID>93d77782-bf3d-495a-8f44-68f45859ff2b</errorID>
      <errorWord>-</errorWord>
      <group>L1_Format</group>
      <groupName>格式问题</groupName>
      <ability>L2_HalfPunc</ability>
      <abilityName>全半角检查</abilityName>
      <candidateList>
        <item>－</item>
      </candidateList>
      <explain>文本全半角错误。</explain>
      <paraID>1715C775</paraID>
      <start>284</start>
      <end>285</end>
      <status>unmodified</status>
      <modifiedWord/>
      <trackRevisions>false</trackRevisions>
    </reviewItem>
    <reviewItem>
      <errorID>fc09d1d3-2086-409f-a2ad-b9fdab4c944a</errorID>
      <errorWord>-</errorWord>
      <group>L1_Format</group>
      <groupName>格式问题</groupName>
      <ability>L2_HalfPunc</ability>
      <abilityName>全半角检查</abilityName>
      <candidateList>
        <item>－</item>
      </candidateList>
      <explain>文本全半角错误。</explain>
      <paraID>1715C775</paraID>
      <start>292</start>
      <end>293</end>
      <status>unmodified</status>
      <modifiedWord/>
      <trackRevisions>false</trackRevisions>
    </reviewItem>
    <reviewItem>
      <errorID>2e8cf66d-d98b-4e81-85a7-78c9c281a6fb</errorID>
      <errorWord>-</errorWord>
      <group>L1_Format</group>
      <groupName>格式问题</groupName>
      <ability>L2_HalfPunc</ability>
      <abilityName>全半角检查</abilityName>
      <candidateList>
        <item>－</item>
      </candidateList>
      <explain>文本全半角错误。</explain>
      <paraID>1715C775</paraID>
      <start>300</start>
      <end>301</end>
      <status>unmodified</status>
      <modifiedWord/>
      <trackRevisions>false</trackRevisions>
    </reviewItem>
    <reviewItem>
      <errorID>760a2a8c-a211-4cdb-9033-7c07d3c00908</errorID>
      <errorWord>-</errorWord>
      <group>L1_Format</group>
      <groupName>格式问题</groupName>
      <ability>L2_HalfPunc</ability>
      <abilityName>全半角检查</abilityName>
      <candidateList>
        <item>－</item>
      </candidateList>
      <explain>文本全半角错误。</explain>
      <paraID>1715C775</paraID>
      <start>308</start>
      <end>309</end>
      <status>unmodified</status>
      <modifiedWord/>
      <trackRevisions>false</trackRevisions>
    </reviewItem>
    <reviewItem>
      <errorID>973a9e1e-a5af-44ca-8041-5fd3d7ff458e</errorID>
      <errorWord>-</errorWord>
      <group>L1_Format</group>
      <groupName>格式问题</groupName>
      <ability>L2_HalfPunc</ability>
      <abilityName>全半角检查</abilityName>
      <candidateList>
        <item>－</item>
      </candidateList>
      <explain>文本全半角错误。</explain>
      <paraID>1715C775</paraID>
      <start>322</start>
      <end>323</end>
      <status>unmodified</status>
      <modifiedWord/>
      <trackRevisions>false</trackRevisions>
    </reviewItem>
    <reviewItem>
      <errorID>83c31f4a-9734-45eb-8910-d8e427ca88b2</errorID>
      <errorWord>旨</errorWord>
      <group>L1_Word</group>
      <groupName>字词问题</groupName>
      <ability>L2_Typo</ability>
      <abilityName>字词错误</abilityName>
      <candidateList>
        <item>旨在</item>
      </candidateList>
      <explain/>
      <paraID>769C5B28</paraID>
      <start>3</start>
      <end>5</end>
      <status>modified</status>
      <modifiedWord>旨在</modifiedWord>
      <trackRevisions>false</trackRevisions>
    </reviewItem>
    <reviewItem>
      <errorID>61d0bdb5-d58a-4a09-8482-7f41d21a4269</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769C5B28</paraID>
      <start>159</start>
      <end>160</end>
      <status>modified</status>
      <modifiedWord>地</modifiedWord>
      <trackRevisions>false</trackRevisions>
    </reviewItem>
    <reviewItem>
      <errorID>1841541c-b51d-4bb1-a89c-5f2ec757e661</errorID>
      <errorWord>-</errorWord>
      <group>L1_Format</group>
      <groupName>格式问题</groupName>
      <ability>L2_HalfPunc</ability>
      <abilityName>全半角检查</abilityName>
      <candidateList>
        <item>－</item>
      </candidateList>
      <explain>文本全半角错误。</explain>
      <paraID>498A535C</paraID>
      <start>10</start>
      <end>11</end>
      <status>unmodified</status>
      <modifiedWord/>
      <trackRevisions>false</trackRevisions>
    </reviewItem>
    <reviewItem>
      <errorID>ee5747cb-a108-45b4-95d7-50d80b48490b</errorID>
      <errorWord>-</errorWord>
      <group>L1_Format</group>
      <groupName>格式问题</groupName>
      <ability>L2_HalfPunc</ability>
      <abilityName>全半角检查</abilityName>
      <candidateList>
        <item>－</item>
      </candidateList>
      <explain>文本全半角错误。</explain>
      <paraID>621AF45F</paraID>
      <start>73</start>
      <end>74</end>
      <status>unmodified</status>
      <modifiedWord/>
      <trackRevisions>false</trackRevisions>
    </reviewItem>
    <reviewItem>
      <errorID>9491174f-4cba-4d34-99f0-950cf7a9eefb</errorID>
      <errorWord>-</errorWord>
      <group>L1_Format</group>
      <groupName>格式问题</groupName>
      <ability>L2_HalfPunc</ability>
      <abilityName>全半角检查</abilityName>
      <candidateList>
        <item>－</item>
      </candidateList>
      <explain>文本全半角错误。</explain>
      <paraID>621AF45F</paraID>
      <start>76</start>
      <end>77</end>
      <status>unmodified</status>
      <modifiedWord/>
      <trackRevisions>false</trackRevisions>
    </reviewItem>
    <reviewItem>
      <errorID>05a4766d-18d2-434c-b6ae-b0299738e4df</errorID>
      <errorWord>的</errorWord>
      <group>L1_Word</group>
      <groupName>字词问题</groupName>
      <ability>L2_Typo</ability>
      <abilityName>字词错误</abilityName>
      <candidateList>
        <item>的设</item>
      </candidateList>
      <explain/>
      <paraID>5A507A35</paraID>
      <start>26</start>
      <end>28</end>
      <status>modified</status>
      <modifiedWord>的设</modifiedWord>
      <trackRevisions>false</trackRevisions>
    </reviewItem>
    <reviewItem>
      <errorID>b9ba6dff-a3fa-492d-9913-6655962354f7</errorID>
      <errorWord>-</errorWord>
      <group>L1_Format</group>
      <groupName>格式问题</groupName>
      <ability>L2_HalfPunc</ability>
      <abilityName>全半角检查</abilityName>
      <candidateList>
        <item>－</item>
      </candidateList>
      <explain>文本全半角错误。</explain>
      <paraID>3D07C7DC</paraID>
      <start>123</start>
      <end>124</end>
      <status>unmodified</status>
      <modifiedWord/>
      <trackRevisions>false</trackRevisions>
    </reviewItem>
    <reviewItem>
      <errorID>2526fcb6-6f8b-480d-a6b4-070708fc3792</errorID>
      <errorWord>;</errorWord>
      <group>L1_Format</group>
      <groupName>格式问题</groupName>
      <ability>L2_HalfPunc</ability>
      <abilityName>全半角检查</abilityName>
      <candidateList>
        <item>；</item>
      </candidateList>
      <explain>文本全半角错误。</explain>
      <paraID>13DC394D</paraID>
      <start>30</start>
      <end>31</end>
      <status>unmodified</status>
      <modifiedWord/>
      <trackRevisions>false</trackRevisions>
    </reviewItem>
    <reviewItem>
      <errorID>5df17a2e-21b9-46fc-804e-32a059cc80fd</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595CD258</paraID>
      <start>182</start>
      <end>183</end>
      <status>unmodified</status>
      <modifiedWord/>
      <trackRevisions>false</trackRevisions>
    </reviewItem>
    <reviewItem>
      <errorID>4a89ccd9-ed73-4919-95b6-bfb9413753c2</errorID>
      <errorWord>流量地图</errorWord>
      <group>L1_Knowledge</group>
      <groupName>知识性问题</groupName>
      <ability>L2_Term</ability>
      <abilityName>专业术语</abilityName>
      <candidateList>
        <item>矢量地图</item>
      </candidateList>
      <explain/>
      <paraID>6A4F114D</paraID>
      <start>58</start>
      <end>62</end>
      <status>unmodified</status>
      <modifiedWord/>
      <trackRevisions>false</trackRevisions>
    </reviewItem>
    <reviewItem>
      <errorID>7aa9d14f-6711-4bdc-99d7-4470b2bcfd4d</errorID>
      <errorWord>参与这</errorWord>
      <group>L1_Word</group>
      <groupName>字词问题</groupName>
      <ability>L2_Typo</ability>
      <abilityName>字词错误</abilityName>
      <candidateList>
        <item>参与者</item>
      </candidateList>
      <explain/>
      <paraID>11B4E882</paraID>
      <start>14</start>
      <end>17</end>
      <status>modified</status>
      <modifiedWord>参与者</modifiedWord>
      <trackRevisions>false</trackRevisions>
    </reviewItem>
    <reviewItem>
      <errorID>584c534d-a5e1-4ccf-b4b9-28a2e125a290</errorID>
      <errorWord>-</errorWord>
      <group>L1_Format</group>
      <groupName>格式问题</groupName>
      <ability>L2_HalfPunc</ability>
      <abilityName>全半角检查</abilityName>
      <candidateList>
        <item>－</item>
      </candidateList>
      <explain>文本全半角错误。</explain>
      <paraID>5CB5F017</paraID>
      <start>50</start>
      <end>51</end>
      <status>unmodified</status>
      <modifiedWord/>
      <trackRevisions>false</trackRevisions>
    </reviewItem>
    <reviewItem>
      <errorID>0d5aa34d-5b8a-456d-b905-c34a6dc4f4f0</errorID>
      <errorWord>-</errorWord>
      <group>L1_Format</group>
      <groupName>格式问题</groupName>
      <ability>L2_HalfPunc</ability>
      <abilityName>全半角检查</abilityName>
      <candidateList>
        <item>－</item>
      </candidateList>
      <explain>文本全半角错误。</explain>
      <paraID>5CB5F017</paraID>
      <start>55</start>
      <end>56</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08926c3-8fcc-4cef-826f-0f6a83b7824d}">
  <ds:schemaRefs/>
</ds:datastoreItem>
</file>

<file path=docProps/app.xml><?xml version="1.0" encoding="utf-8"?>
<Properties xmlns="http://schemas.openxmlformats.org/officeDocument/2006/extended-properties" xmlns:vt="http://schemas.openxmlformats.org/officeDocument/2006/docPropsVTypes">
  <Template>Normal.dotm</Template>
  <Pages>57</Pages>
  <Words>7657</Words>
  <Characters>8060</Characters>
  <Lines>0</Lines>
  <Paragraphs>0</Paragraphs>
  <TotalTime>29</TotalTime>
  <ScaleCrop>false</ScaleCrop>
  <LinksUpToDate>false</LinksUpToDate>
  <CharactersWithSpaces>8097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2024-12-07T21:13:00Z</dcterms:created>
  <dc:creator>M</dc:creator>
  <cp:lastModifiedBy>M</cp:lastModifiedBy>
  <dcterms:modified xsi:type="dcterms:W3CDTF">2026-09-03T14:25:33Z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AE8D17A90BC94B62BF9D2F482D65FBD9_13</vt:lpwstr>
  </property>
  <property fmtid="{D5CDD505-2E9C-101B-9397-08002B2CF9AE}" pid="4" name="KSOTemplateDocerSaveRecord">
    <vt:lpwstr>eyJoZGlkIjoiZWI0MmI4NDA5OTNkY2YyZTIwYjJlMmU2OTE0YmM3YTAiLCJ1c2VySWQiOiI0NzkxNzQxMzgifQ==</vt:lpwstr>
  </property>
</Properties>
</file>