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line="360" w:lineRule="auto"/>
        <w:jc w:val="center"/>
      </w:pPr>
      <w:r>
        <w:rPr>
          <w:rFonts w:ascii="Times New Roman" w:cs="Times New Roman" w:eastAsia="黑体" w:hAnsi="Times New Roman"/>
          <w:b w:val="false"/>
          <w:bCs w:val="false"/>
          <w:sz w:val="32"/>
          <w:szCs w:val="32"/>
        </w:rPr>
        <w:t xml:space="preserve">第4章　认知卸载边界的识别与判断保留区</w:t>
      </w:r>
    </w:p>
    <w:p>
      <w:pPr>
        <w:spacing w:after="60" w:before="0" w:line="400" w:lineRule="auto"/>
        <w:ind w:firstLine="480"/>
        <w:jc w:val="both"/>
      </w:pPr>
      <w:r>
        <w:rPr>
          <w:rFonts w:ascii="Times New Roman" w:cs="Times New Roman" w:eastAsia="宋体" w:hAnsi="Times New Roman"/>
          <w:sz w:val="24"/>
          <w:szCs w:val="24"/>
        </w:rPr>
        <w:t xml:space="preserve">第3章确立了本书的学理命题，即人工智能时代设计学范式转型的实质发生于知识生产的主体条件层面。但这一命题止于学理，尚未回答一个实践层面的问题：既然并非全部认知劳动都须由人亲自承担，那么在人机协同的设计活动中，何者可以交付机器，何者必须由设计者亲自作出？此种分界的依据何在？</w:t>
      </w:r>
    </w:p>
    <w:p>
      <w:pPr>
        <w:spacing w:after="60" w:before="0" w:line="400" w:lineRule="auto"/>
        <w:ind w:firstLine="480"/>
        <w:jc w:val="both"/>
      </w:pPr>
      <w:r>
        <w:rPr>
          <w:rFonts w:ascii="Times New Roman" w:cs="Times New Roman" w:eastAsia="宋体" w:hAnsi="Times New Roman"/>
          <w:sz w:val="24"/>
          <w:szCs w:val="24"/>
        </w:rPr>
        <w:t xml:space="preserve">本章即处理这一问题，其工作包括四个部分。第一，说明为何需要一套划界判据，检讨既有划界思路的限度，并提出本书判据应当满足的四项要求。第二，提出判断保留区的三条判据，即缄默性、不可撤回性与署名性，逐条给出其定义、提问形式与判定依据，并对每一条判据分别施以正面例证与反例检验。第三，以判据逐一判定设计全流程五个环节的典型任务节点，形成认知卸载边界图谱。第四，以陪伴机器人外部表面材料选择为完整案例，检验判据的可操作性并暴露其适用限度。本章是本书由批判性诊断迈向建设性设计的逻辑枢纽，其所划定的边界构成第5章衰减机制、第6章干预策略与第7章溯源制度的共同依据。</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4.1　边界识别的前提与既有做法的检讨</w:t>
      </w:r>
    </w:p>
    <w:p>
      <w:pPr>
        <w:spacing w:after="60" w:before="0" w:line="400" w:lineRule="auto"/>
        <w:ind w:firstLine="480"/>
        <w:jc w:val="both"/>
      </w:pPr>
      <w:r>
        <w:rPr>
          <w:rFonts w:ascii="Times New Roman" w:cs="Times New Roman" w:eastAsia="宋体" w:hAnsi="Times New Roman"/>
          <w:sz w:val="24"/>
          <w:szCs w:val="24"/>
        </w:rPr>
        <w:t xml:space="preserve">在提出判据之前，须先说明为何需要判据。本节首先指出当前认知卸载边界的实际形成方式及其正当性缺陷，其次检讨既有的三类划界思路及其限度，最后提出本书判据应当满足的四项要求。</w:t>
      </w:r>
    </w:p>
    <w:p>
      <w:pPr>
        <w:pStyle w:val="Heading3"/>
        <w:spacing w:after="160" w:before="240" w:line="360" w:lineRule="auto"/>
        <w:jc w:val="left"/>
      </w:pPr>
      <w:r>
        <w:rPr>
          <w:rFonts w:ascii="Times New Roman" w:cs="Times New Roman" w:eastAsia="黑体" w:hAnsi="Times New Roman"/>
          <w:b/>
          <w:bCs/>
          <w:sz w:val="24"/>
          <w:szCs w:val="24"/>
        </w:rPr>
        <w:t xml:space="preserve">4.1.1　当前边界的形成方式及其正当性缺陷</w:t>
      </w:r>
    </w:p>
    <w:p>
      <w:pPr>
        <w:spacing w:after="60" w:before="0" w:line="400" w:lineRule="auto"/>
        <w:ind w:firstLine="480"/>
        <w:jc w:val="both"/>
      </w:pPr>
      <w:r>
        <w:rPr>
          <w:rFonts w:ascii="Times New Roman" w:cs="Times New Roman" w:eastAsia="宋体" w:hAnsi="Times New Roman"/>
          <w:sz w:val="24"/>
          <w:szCs w:val="24"/>
        </w:rPr>
        <w:t xml:space="preserve">第1章的渗透图谱已经表明，认知卸载的实际边界既非由任务性质所决定，亦非由设计者的自觉选择所决定，而在很大程度上由工具能力的分布与输出的可视化程度所决定。换言之，划界的权力已经在事实上转移至工具一侧，且这一转移的完成通常不为使用者所察觉。</w:t>
      </w:r>
    </w:p>
    <w:p>
      <w:pPr>
        <w:spacing w:after="60" w:before="0" w:line="400" w:lineRule="auto"/>
        <w:ind w:firstLine="480"/>
        <w:jc w:val="both"/>
      </w:pPr>
      <w:r>
        <w:rPr>
          <w:rFonts w:ascii="Times New Roman" w:cs="Times New Roman" w:eastAsia="宋体" w:hAnsi="Times New Roman"/>
          <w:sz w:val="24"/>
          <w:szCs w:val="24"/>
        </w:rPr>
        <w:t xml:space="preserve">这一形成方式存在三项正当性缺陷。第一，划界依据与划界目的不相干。工具所依循的是能不能做与做出来是否好看，而划界所应依循的是该不该由人做，二者之间没有必然关联。第二，边界处于持续外推之中且无停止机制。工具能力每提升一次，边界便自动外推一次，而外推的幅度不经任何审议。第三，边界的实际位置不可见。使用者只能观察到工具做了什么，无法观察到工具替他决定了什么，第1章所述范围性让渡即为其例，即让渡发生在上一环节，却在下一环节才产生实际后果。</w:t>
      </w:r>
    </w:p>
    <w:p>
      <w:pPr>
        <w:spacing w:after="60" w:before="0" w:line="400" w:lineRule="auto"/>
        <w:ind w:firstLine="480"/>
        <w:jc w:val="both"/>
      </w:pPr>
      <w:r>
        <w:rPr>
          <w:rFonts w:ascii="Times New Roman" w:cs="Times New Roman" w:eastAsia="宋体" w:hAnsi="Times New Roman"/>
          <w:sz w:val="24"/>
          <w:szCs w:val="24"/>
        </w:rPr>
        <w:t xml:space="preserve">因此，重新夺回边界的设定权，构成任何干预方案的逻辑起点。而夺回设定权的第一步，是给出一套不依赖工具能力、可由人事先判定的划界判据。</w:t>
      </w:r>
    </w:p>
    <w:p>
      <w:pPr>
        <w:pStyle w:val="Heading3"/>
        <w:spacing w:after="160" w:before="240" w:line="360" w:lineRule="auto"/>
        <w:jc w:val="left"/>
      </w:pPr>
      <w:r>
        <w:rPr>
          <w:rFonts w:ascii="Times New Roman" w:cs="Times New Roman" w:eastAsia="黑体" w:hAnsi="Times New Roman"/>
          <w:b/>
          <w:bCs/>
          <w:sz w:val="24"/>
          <w:szCs w:val="24"/>
        </w:rPr>
        <w:t xml:space="preserve">4.1.2　既有划界思路及其限度</w:t>
      </w:r>
    </w:p>
    <w:p>
      <w:pPr>
        <w:spacing w:after="60" w:before="0" w:line="400" w:lineRule="auto"/>
        <w:ind w:firstLine="480"/>
        <w:jc w:val="both"/>
      </w:pPr>
      <w:r>
        <w:rPr>
          <w:rFonts w:ascii="Times New Roman" w:cs="Times New Roman" w:eastAsia="宋体" w:hAnsi="Times New Roman"/>
          <w:sz w:val="24"/>
          <w:szCs w:val="24"/>
        </w:rPr>
        <w:t xml:space="preserve">既有研究中可资借鉴的划界思路大致有三类，其各自的贡献与限度如表4-1所示。</w:t>
      </w:r>
    </w:p>
    <w:p>
      <w:pPr>
        <w:spacing w:after="60" w:before="0" w:line="400" w:lineRule="auto"/>
        <w:ind w:firstLine="480"/>
        <w:jc w:val="both"/>
      </w:pPr>
      <w:r>
        <w:rPr>
          <w:rFonts w:ascii="Times New Roman" w:cs="Times New Roman" w:eastAsia="宋体" w:hAnsi="Times New Roman"/>
          <w:sz w:val="24"/>
          <w:szCs w:val="24"/>
        </w:rPr>
        <w:t xml:space="preserve">第一类是自动化层级思路。谢里丹与弗普兰克（Sheridan &amp; Verplank，1978）提出的自动化层级（levels of automation）将人机分工由完全人工至完全自动划分为十级</w:t>
      </w:r>
      <w:r>
        <w:rPr>
          <w:rFonts w:ascii="Times New Roman" w:cs="Times New Roman" w:eastAsia="宋体" w:hAnsi="Times New Roman"/>
          <w:sz w:val="24"/>
          <w:szCs w:val="24"/>
          <w:vertAlign w:val="superscript"/>
        </w:rPr>
        <w:t xml:space="preserve">[1]</w:t>
      </w:r>
      <w:r>
        <w:rPr>
          <w:rFonts w:ascii="Times New Roman" w:cs="Times New Roman" w:eastAsia="宋体" w:hAnsi="Times New Roman"/>
          <w:sz w:val="24"/>
          <w:szCs w:val="24"/>
        </w:rPr>
        <w:t xml:space="preserve">；帕拉苏拉曼、谢里丹与威肯斯（Parasuraman，Sheridan &amp; Wickens，2000）进一步将其扩展为信息获取、信息分析、决策选择与动作执行四类功能，各自可独立设定自动化程度</w:t>
      </w:r>
      <w:r>
        <w:rPr>
          <w:rFonts w:ascii="Times New Roman" w:cs="Times New Roman" w:eastAsia="宋体" w:hAnsi="Times New Roman"/>
          <w:sz w:val="24"/>
          <w:szCs w:val="24"/>
          <w:vertAlign w:val="superscript"/>
        </w:rPr>
        <w:t xml:space="preserve">[2]</w:t>
      </w:r>
      <w:r>
        <w:rPr>
          <w:rFonts w:ascii="Times New Roman" w:cs="Times New Roman" w:eastAsia="宋体" w:hAnsi="Times New Roman"/>
          <w:sz w:val="24"/>
          <w:szCs w:val="24"/>
        </w:rPr>
        <w:t xml:space="preserve">。这一思路的贡献在于它把分工由整体判断细化为可分别设定的功能维度。但其限度在于，它所回答的是自动化可以做到何种程度，而非应当做到何种程度；层级的选择依据仍须另行给出。</w:t>
      </w:r>
    </w:p>
    <w:p>
      <w:pPr>
        <w:spacing w:after="60" w:before="0" w:line="400" w:lineRule="auto"/>
        <w:ind w:firstLine="480"/>
        <w:jc w:val="both"/>
      </w:pPr>
      <w:r>
        <w:rPr>
          <w:rFonts w:ascii="Times New Roman" w:cs="Times New Roman" w:eastAsia="宋体" w:hAnsi="Times New Roman"/>
          <w:sz w:val="24"/>
          <w:szCs w:val="24"/>
        </w:rPr>
        <w:t xml:space="preserve">第二类是人的监督形态思路。欧盟《可信人工智能伦理指南》（2019）依据人在回路中的位置，区分了人在环内、人在环上与人作主宰三种监督形态</w:t>
      </w:r>
      <w:r>
        <w:rPr>
          <w:rFonts w:ascii="Times New Roman" w:cs="Times New Roman" w:eastAsia="宋体" w:hAnsi="Times New Roman"/>
          <w:sz w:val="24"/>
          <w:szCs w:val="24"/>
          <w:vertAlign w:val="superscript"/>
        </w:rPr>
        <w:t xml:space="preserve">[3]</w:t>
      </w:r>
      <w:r>
        <w:rPr>
          <w:rFonts w:ascii="Times New Roman" w:cs="Times New Roman" w:eastAsia="宋体" w:hAnsi="Times New Roman"/>
          <w:sz w:val="24"/>
          <w:szCs w:val="24"/>
        </w:rPr>
        <w:t xml:space="preserve">。这一思路的贡献在于它确立了人的监督不可取消这一原则。但其限度在于，它是面向系统治理的原则性框架，并未说明在一项具体的设计任务内部，哪一个节点须由人亲自作出。</w:t>
      </w:r>
    </w:p>
    <w:p>
      <w:pPr>
        <w:spacing w:after="60" w:before="0" w:line="400" w:lineRule="auto"/>
        <w:ind w:firstLine="480"/>
        <w:jc w:val="both"/>
      </w:pPr>
      <w:r>
        <w:rPr>
          <w:rFonts w:ascii="Times New Roman" w:cs="Times New Roman" w:eastAsia="宋体" w:hAnsi="Times New Roman"/>
          <w:sz w:val="24"/>
          <w:szCs w:val="24"/>
        </w:rPr>
        <w:t xml:space="preserve">第三类是风险等级思路。此类思路依据任务失误后果的严重程度设定人的介入强度，在医疗、交通与金融等领域已有制度化的应用</w:t>
      </w:r>
      <w:r>
        <w:rPr>
          <w:rFonts w:ascii="Times New Roman" w:cs="Times New Roman" w:eastAsia="宋体" w:hAnsi="Times New Roman"/>
          <w:color w:val="C00000"/>
          <w:sz w:val="24"/>
          <w:szCs w:val="24"/>
        </w:rPr>
        <w:t xml:space="preserve">【待补：风险分级在医疗、交通与金融等领域制度化应用的代表性规范或文献】</w:t>
      </w:r>
      <w:r>
        <w:rPr>
          <w:rFonts w:ascii="Times New Roman" w:cs="Times New Roman" w:eastAsia="宋体" w:hAnsi="Times New Roman"/>
          <w:sz w:val="24"/>
          <w:szCs w:val="24"/>
        </w:rPr>
        <w:t xml:space="preserve">，欧盟《人工智能法案》按风险等级实施分级监管亦属此类</w:t>
      </w:r>
      <w:r>
        <w:rPr>
          <w:rFonts w:ascii="Times New Roman" w:cs="Times New Roman" w:eastAsia="宋体" w:hAnsi="Times New Roman"/>
          <w:sz w:val="24"/>
          <w:szCs w:val="24"/>
          <w:vertAlign w:val="superscript"/>
        </w:rPr>
        <w:t xml:space="preserve">[4]</w:t>
      </w:r>
      <w:r>
        <w:rPr>
          <w:rFonts w:ascii="Times New Roman" w:cs="Times New Roman" w:eastAsia="宋体" w:hAnsi="Times New Roman"/>
          <w:sz w:val="24"/>
          <w:szCs w:val="24"/>
        </w:rPr>
        <w:t xml:space="preserve">。这一思路的贡献在于它引入了后果这一实质性依据。但其限度在于，它以可量化的损害为前提，而设计领域的多数失误不造成即时的、可计量的损害，因而大量关键判断将被风险等级筛为低风险而落入可自动化的一侧。</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表4-1 三类既有划界思路的贡献与限度</w:t>
      </w:r>
    </w:p>
    <w:p>
      <w:pPr>
        <w:spacing w:after="0" w:before="0" w:line="300" w:lineRule="auto"/>
        <w:jc w:val="center"/>
      </w:pPr>
      <w:r>
        <w:rPr>
          <w:rFonts w:ascii="Times New Roman" w:cs="Times New Roman" w:eastAsia="宋体" w:hAnsi="Times New Roman"/>
          <w:sz w:val="18"/>
          <w:szCs w:val="18"/>
        </w:rPr>
        <w:t xml:space="preserve">Contributions and Limitations of Three Existing Approaches to Boundary Setting</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划界思路</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划界依据</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主要贡献</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主要限度</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对本书的可借鉴之处</w:t>
            </w:r>
          </w:p>
        </w:tc>
      </w:tr>
      <w:tr>
        <w:trPr>
          <w:tblHeader w:val="false"/>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自动化层级</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机器可承担的功能与程度</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将整体分工细化为可分别设定的功能维度</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回答的是能做到何种程度，而非应做到何种程度</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分功能设定的思路，即边界须落到功能节点而非整个任务</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人的监督形态</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人在回路中的位置</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确立人的监督不可取消这一原则</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属系统治理的原则框架，未及具体任务内部</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监督不可取消的原则底线</w:t>
            </w:r>
          </w:p>
        </w:tc>
      </w:tr>
      <w:tr>
        <w:trPr>
          <w:tblHeader w:val="false"/>
        </w:trPr>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风险等级</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失误后果的严重程度</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引入后果这一实质性依据</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以可量化损害为前提，设计领域多数关键判断将被筛为低风险</w:t>
            </w:r>
          </w:p>
        </w:tc>
        <w:tc>
          <w:tcPr>
            <w:tcW w:type="dxa" w:w="18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后果的不可逆性可作为判据之一，但须重新界定</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4.1.3　本书判据应当满足的四项要求</w:t>
      </w:r>
    </w:p>
    <w:p>
      <w:pPr>
        <w:spacing w:after="60" w:before="0" w:line="400" w:lineRule="auto"/>
        <w:ind w:firstLine="480"/>
        <w:jc w:val="both"/>
      </w:pPr>
      <w:r>
        <w:rPr>
          <w:rFonts w:ascii="Times New Roman" w:cs="Times New Roman" w:eastAsia="宋体" w:hAnsi="Times New Roman"/>
          <w:sz w:val="24"/>
          <w:szCs w:val="24"/>
        </w:rPr>
        <w:t xml:space="preserve">综合以上检讨，本书认为一套可用的划界判据须同时满足四项要求。第一为可事先判定，即判定须在任务开始之前完成，而不能依赖任务完成后的效果评价，否则边界将始终滞后于工具能力。第二为可操作，即判据须能落实为具体的提问，使不同的判定者面对同一任务时能够得出大体一致的结论。第三为不依赖工具能力，即判据的内容只涉及任务本身的性质，不涉及当前模型能否胜任，否则判据将随模型迭代而失效。第四为宽窄适中，即判据既不可过宽，以致保留区吞没整个流程而失去实践意义；亦不可过窄，以致关键判断被排除在外。</w:t>
      </w:r>
    </w:p>
    <w:p>
      <w:pPr>
        <w:spacing w:after="60" w:before="0" w:line="400" w:lineRule="auto"/>
        <w:ind w:firstLine="480"/>
        <w:jc w:val="both"/>
      </w:pPr>
      <w:r>
        <w:rPr>
          <w:rFonts w:ascii="Times New Roman" w:cs="Times New Roman" w:eastAsia="宋体" w:hAnsi="Times New Roman"/>
          <w:sz w:val="24"/>
          <w:szCs w:val="24"/>
        </w:rPr>
        <w:t xml:space="preserve">其中，第四项要求最难满足，也最须在方法上予以专门处理。本书的处理方式是：</w:t>
      </w:r>
      <w:r>
        <w:rPr>
          <w:rFonts w:ascii="Times New Roman" w:cs="Times New Roman" w:eastAsia="宋体" w:hAnsi="Times New Roman"/>
          <w:b/>
          <w:bCs/>
          <w:sz w:val="24"/>
          <w:szCs w:val="24"/>
        </w:rPr>
        <w:t xml:space="preserve">判据的施加对象是任务节点而非流程环节</w:t>
      </w:r>
      <w:r>
        <w:rPr>
          <w:rFonts w:ascii="Times New Roman" w:cs="Times New Roman" w:eastAsia="宋体" w:hAnsi="Times New Roman"/>
          <w:sz w:val="24"/>
          <w:szCs w:val="24"/>
        </w:rPr>
        <w:t xml:space="preserve">。一个环节内部通常包含若干性质不同的节点，例如信息收集环节既包含参数检索这一工具性节点，也包含信息可靠性核验这一判断性节点；若以环节为单位判定，则无论判入哪一侧都会失当。以节点为单位，保留区便不再是流程中的某几个整段，而是散布于全流程的若干具体位置，其总量因而可控。这一处理方式是本章全部工作得以成立的前提，也是后文形成边界图谱的操作基础。</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4.2　判断保留区的三条判据</w:t>
      </w:r>
    </w:p>
    <w:p>
      <w:pPr>
        <w:spacing w:after="60" w:before="0" w:line="400" w:lineRule="auto"/>
        <w:ind w:firstLine="480"/>
        <w:jc w:val="both"/>
      </w:pPr>
      <w:r>
        <w:rPr>
          <w:rFonts w:ascii="Times New Roman" w:cs="Times New Roman" w:eastAsia="宋体" w:hAnsi="Times New Roman"/>
          <w:sz w:val="24"/>
          <w:szCs w:val="24"/>
        </w:rPr>
        <w:t xml:space="preserve">本节提出判断保留区的三条判据。以下依次给出每条判据的定义、提问形式、判定依据与理论来源，其次说明三者之间的逻辑关系与判定规则，最后对每一条判据分别施以正面例证与反例检验，以确认其宽窄适中。</w:t>
      </w:r>
    </w:p>
    <w:p>
      <w:pPr>
        <w:pStyle w:val="Heading3"/>
        <w:spacing w:after="160" w:before="240" w:line="360" w:lineRule="auto"/>
        <w:jc w:val="left"/>
      </w:pPr>
      <w:r>
        <w:rPr>
          <w:rFonts w:ascii="Times New Roman" w:cs="Times New Roman" w:eastAsia="黑体" w:hAnsi="Times New Roman"/>
          <w:b/>
          <w:bCs/>
          <w:sz w:val="24"/>
          <w:szCs w:val="24"/>
        </w:rPr>
        <w:t xml:space="preserve">4.2.1　三条判据的内容</w:t>
      </w:r>
    </w:p>
    <w:p>
      <w:pPr>
        <w:spacing w:after="60" w:before="0" w:line="400" w:lineRule="auto"/>
        <w:ind w:firstLine="480"/>
        <w:jc w:val="both"/>
      </w:pPr>
      <w:r>
        <w:rPr>
          <w:rFonts w:ascii="Times New Roman" w:cs="Times New Roman" w:eastAsia="宋体" w:hAnsi="Times New Roman"/>
          <w:sz w:val="24"/>
          <w:szCs w:val="24"/>
        </w:rPr>
        <w:t xml:space="preserve">判断保留区（judgment reserve zone）指认知卸载边界之内始终应由设计者亲自作出的那部分关键设计判断。本书提出三条判据用以识别这一区域，其内容如表4-2所示。</w:t>
      </w:r>
    </w:p>
    <w:p>
      <w:pPr>
        <w:spacing w:after="60" w:before="0" w:line="400" w:lineRule="auto"/>
        <w:ind w:firstLine="480"/>
        <w:jc w:val="both"/>
      </w:pPr>
      <w:r>
        <w:rPr>
          <w:rFonts w:ascii="Times New Roman" w:cs="Times New Roman" w:eastAsia="宋体" w:hAnsi="Times New Roman"/>
          <w:b/>
          <w:bCs/>
          <w:sz w:val="24"/>
          <w:szCs w:val="24"/>
        </w:rPr>
        <w:t xml:space="preserve">判据一，缄默性判据</w:t>
      </w:r>
      <w:r>
        <w:rPr>
          <w:rFonts w:ascii="Times New Roman" w:cs="Times New Roman" w:eastAsia="宋体" w:hAnsi="Times New Roman"/>
          <w:sz w:val="24"/>
          <w:szCs w:val="24"/>
        </w:rPr>
        <w:t xml:space="preserve">。该节点的判断是否依赖长期积累的缄默经验与专业直觉？其提问形式为：作出这一判断所依据的理由，能否被完整地写成可供他人照做的规则？若不能，则该节点依赖缄默知识。其理论依据来自第2章：缄默知识不可寄存，一旦交付机器便不是被转移而是被消散；且专业水平愈高，判断的缄默成分愈重，因而此类节点恰是最不应被替代的部分。</w:t>
      </w:r>
    </w:p>
    <w:p>
      <w:pPr>
        <w:spacing w:after="60" w:before="0" w:line="400" w:lineRule="auto"/>
        <w:ind w:firstLine="480"/>
        <w:jc w:val="both"/>
      </w:pPr>
      <w:r>
        <w:rPr>
          <w:rFonts w:ascii="Times New Roman" w:cs="Times New Roman" w:eastAsia="宋体" w:hAnsi="Times New Roman"/>
          <w:b/>
          <w:bCs/>
          <w:sz w:val="24"/>
          <w:szCs w:val="24"/>
        </w:rPr>
        <w:t xml:space="preserve">判据二，不可撤回性判据</w:t>
      </w:r>
      <w:r>
        <w:rPr>
          <w:rFonts w:ascii="Times New Roman" w:cs="Times New Roman" w:eastAsia="宋体" w:hAnsi="Times New Roman"/>
          <w:sz w:val="24"/>
          <w:szCs w:val="24"/>
        </w:rPr>
        <w:t xml:space="preserve">。该节点一旦判断失误，是否难以撤回？其提问形式为：若这一判断被证明是错的，纠正它需要付出何种代价，是修改一个参数，还是推翻已经建立于其上的全部后续工作？此处的不可撤回不限于物理意义上的不可逆，还包括三种情形：一是后续工作已大量建立于该判断之上，推翻的成本超出重做的成本；二是该判断限定了后续环节的可选范围，即第1章所述范围性让渡；三是失误的后果由使用者而非设计者承担，且承担者无从追索。</w:t>
      </w:r>
    </w:p>
    <w:p>
      <w:pPr>
        <w:spacing w:after="60" w:before="0" w:line="400" w:lineRule="auto"/>
        <w:ind w:firstLine="480"/>
        <w:jc w:val="both"/>
      </w:pPr>
      <w:r>
        <w:rPr>
          <w:rFonts w:ascii="Times New Roman" w:cs="Times New Roman" w:eastAsia="宋体" w:hAnsi="Times New Roman"/>
          <w:b/>
          <w:bCs/>
          <w:sz w:val="24"/>
          <w:szCs w:val="24"/>
        </w:rPr>
        <w:t xml:space="preserve">判据三，署名性判据</w:t>
      </w:r>
      <w:r>
        <w:rPr>
          <w:rFonts w:ascii="Times New Roman" w:cs="Times New Roman" w:eastAsia="宋体" w:hAnsi="Times New Roman"/>
          <w:sz w:val="24"/>
          <w:szCs w:val="24"/>
        </w:rPr>
        <w:t xml:space="preserve">。该节点是否承载设计者的审美主张与创作署名？其提问形式为：设计者是否会在署名意义上认领这一判断，并在受到质疑时为之辩护？其依据在于第2章所辨析的设计判断第三项特征，即主体承担性：生成可以是无主体的，判断则不能。凡设计者须为之负责、并以其个人主张标识作品身份的判断，不可让渡于一个不承担责任的系统。就制度层面而言，我国《中华人民共和国著作权法》所规定的署名权即以作者与作品之间的这种认领关系为基础</w:t>
      </w:r>
      <w:r>
        <w:rPr>
          <w:rFonts w:ascii="Times New Roman" w:cs="Times New Roman" w:eastAsia="宋体" w:hAnsi="Times New Roman"/>
          <w:sz w:val="24"/>
          <w:szCs w:val="24"/>
          <w:vertAlign w:val="superscript"/>
        </w:rPr>
        <w:t xml:space="preserve">[5]</w:t>
      </w:r>
      <w:r>
        <w:rPr>
          <w:rFonts w:ascii="Times New Roman" w:cs="Times New Roman" w:eastAsia="宋体" w:hAnsi="Times New Roman"/>
          <w:sz w:val="24"/>
          <w:szCs w:val="24"/>
        </w:rPr>
        <w:t xml:space="preserve">，而一个不具备法律主体资格的系统无法承担此种认领。</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表4-2 判断保留区的三条判据</w:t>
      </w:r>
    </w:p>
    <w:p>
      <w:pPr>
        <w:spacing w:after="0" w:before="0" w:line="300" w:lineRule="auto"/>
        <w:jc w:val="center"/>
      </w:pPr>
      <w:r>
        <w:rPr>
          <w:rFonts w:ascii="Times New Roman" w:cs="Times New Roman" w:eastAsia="宋体" w:hAnsi="Times New Roman"/>
          <w:sz w:val="18"/>
          <w:szCs w:val="18"/>
        </w:rPr>
        <w:t xml:space="preserve">Three Criteria for Identifying the Judgment Reserve Zone</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判据</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核心问题</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操作性提问</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理论来源</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判定为「是」的典型信号</w:t>
            </w:r>
          </w:p>
        </w:tc>
      </w:tr>
      <w:tr>
        <w:trPr>
          <w:tblHeader w:val="false"/>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判据一 缄默性</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是否依赖长期积累的缄默经验与专业直觉</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作出这一判断的理由，能否被完整写成可供他人照做的规则</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第2章 缄默知识理论；德雷福斯阶段论</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只能给出「看上去不对」一类回答；专家与新手的差别集中体现于此</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判据二 不可撤回性</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一旦失误是否难以撤回</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若这一判断被证明是错的，纠正的代价是修改一个参数，还是推翻全部后续工作</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第1章 范围性让渡；风险等级思路的重新界定</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后续工作大量建立于其上；限定了后续的可选范围；后果由使用者承担</w:t>
            </w:r>
          </w:p>
        </w:tc>
      </w:tr>
      <w:tr>
        <w:trPr>
          <w:tblHeader w:val="false"/>
        </w:trPr>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判据三 署名性</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是否承载审美主张与创作署名</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设计者是否会在署名意义上认领这一判断，并为之辩护</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第2章 设计判断的主体承担性；著作权法署名权</w:t>
            </w:r>
          </w:p>
        </w:tc>
        <w:tc>
          <w:tcPr>
            <w:tcW w:type="dxa" w:w="18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该判断构成作品身份的标识；被追问时须由设计者本人回答</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4.2.2　判定规则与三条判据的关系</w:t>
      </w:r>
    </w:p>
    <w:p>
      <w:pPr>
        <w:spacing w:after="60" w:before="0" w:line="400" w:lineRule="auto"/>
        <w:ind w:firstLine="480"/>
        <w:jc w:val="both"/>
      </w:pPr>
      <w:r>
        <w:rPr>
          <w:rFonts w:ascii="Times New Roman" w:cs="Times New Roman" w:eastAsia="宋体" w:hAnsi="Times New Roman"/>
          <w:sz w:val="24"/>
          <w:szCs w:val="24"/>
        </w:rPr>
        <w:t xml:space="preserve">三条判据的判定规则为析取，即凡满足其中任何一条者，即归入判断保留区；三条皆不满足者，归入可委托区。析取而非合取的理由在于，三条判据所刻画的是三种彼此独立的不可让渡理由：缄默性关乎能力的存续，不可撤回性关乎后果的承担，署名性关乎主体的认领。任何一项理由单独成立，均足以使该节点不宜交付机器，无须三者叠加。</w:t>
      </w:r>
    </w:p>
    <w:p>
      <w:pPr>
        <w:spacing w:after="60" w:before="0" w:line="400" w:lineRule="auto"/>
        <w:ind w:firstLine="480"/>
        <w:jc w:val="both"/>
      </w:pPr>
      <w:r>
        <w:rPr>
          <w:rFonts w:ascii="Times New Roman" w:cs="Times New Roman" w:eastAsia="宋体" w:hAnsi="Times New Roman"/>
          <w:sz w:val="24"/>
          <w:szCs w:val="24"/>
        </w:rPr>
        <w:t xml:space="preserve">需要说明的是，析取规则本身有扩大保留区的倾向，这正是 4.1.3 所述第四项要求的风险所在。本书以两项限制加以约束。第一，如前所述，判据的施加对象是任务节点而非流程环节，判定的粒度足够细，保留区因而不会成片吞没流程。第二，归入可委托区并不意味着可以不加核验地采用。本书主张，可委托区的每一个节点均附带一项核验义务，即设计者须对其输出的可靠性负责，只是核验的成本远低于亲自作出。因此，边界所划分的不是管与不管，而是亲自作出与委托后核验两种不同的介入方式，判定流程如图4-1所示。</w:t>
      </w:r>
    </w:p>
    <w:p>
      <w:pPr>
        <w:spacing w:after="120" w:before="120" w:line="400" w:lineRule="auto"/>
        <w:jc w:val="center"/>
      </w:pPr>
      <w:r>
        <w:rPr>
          <w:rFonts w:ascii="Times New Roman" w:cs="Times New Roman" w:eastAsia="宋体" w:hAnsi="Times New Roman"/>
          <w:color w:val="808080"/>
          <w:sz w:val="24"/>
          <w:szCs w:val="24"/>
        </w:rPr>
        <w:t xml:space="preserve">［此处插入图4-1］</w:t>
      </w:r>
    </w:p>
    <w:p>
      <w:pPr>
        <w:spacing w:after="0" w:before="0" w:line="300" w:lineRule="auto"/>
        <w:jc w:val="center"/>
      </w:pPr>
      <w:r>
        <w:rPr>
          <w:rFonts w:ascii="Times New Roman" w:cs="Times New Roman" w:eastAsia="宋体" w:hAnsi="Times New Roman"/>
          <w:sz w:val="18"/>
          <w:szCs w:val="18"/>
        </w:rPr>
        <w:t xml:space="preserve">图4-1 判断保留区与可委托区的判定流程</w:t>
      </w:r>
    </w:p>
    <w:p>
      <w:pPr>
        <w:spacing w:after="0" w:before="0" w:line="300" w:lineRule="auto"/>
        <w:jc w:val="center"/>
      </w:pPr>
      <w:r>
        <w:rPr>
          <w:rFonts w:ascii="Times New Roman" w:cs="Times New Roman" w:eastAsia="宋体" w:hAnsi="Times New Roman"/>
          <w:sz w:val="18"/>
          <w:szCs w:val="18"/>
        </w:rPr>
        <w:t xml:space="preserve">The Decision Flow for the Judgment Reserve Zone and the Delegatable Zone</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另外还须指出三条判据之间的经验关联。三者虽在逻辑上独立，但在实际判定中往往同时出现：一个高度依赖缄默经验的节点，通常也是设计者愿意署名的节点，且其失误往往难以撤回。因此，三条判据的析取在实践中并不导致保留区的无限扩张，而是形成一个由核心向边缘递减的分布，即三条皆满足者构成保留区的核心，仅满足其一者构成保留区的边缘。这一分布对第6章干预强度的分级具有直接意义，即干预的强度宜与满足判据的条数相称，而非一律施加同等强度的摩擦。</w:t>
      </w:r>
    </w:p>
    <w:p>
      <w:pPr>
        <w:pStyle w:val="Heading3"/>
        <w:spacing w:after="160" w:before="240" w:line="360" w:lineRule="auto"/>
        <w:jc w:val="left"/>
      </w:pPr>
      <w:r>
        <w:rPr>
          <w:rFonts w:ascii="Times New Roman" w:cs="Times New Roman" w:eastAsia="黑体" w:hAnsi="Times New Roman"/>
          <w:b/>
          <w:bCs/>
          <w:sz w:val="24"/>
          <w:szCs w:val="24"/>
        </w:rPr>
        <w:t xml:space="preserve">4.2.3　判据一的正面例证与反例检验</w:t>
      </w:r>
    </w:p>
    <w:p>
      <w:pPr>
        <w:spacing w:after="60" w:before="0" w:line="400" w:lineRule="auto"/>
        <w:ind w:firstLine="480"/>
        <w:jc w:val="both"/>
      </w:pPr>
      <w:r>
        <w:rPr>
          <w:rFonts w:ascii="Times New Roman" w:cs="Times New Roman" w:eastAsia="宋体" w:hAnsi="Times New Roman"/>
          <w:sz w:val="24"/>
          <w:szCs w:val="24"/>
        </w:rPr>
        <w:t xml:space="preserve">为确认判据一的宽窄适中，此处分别给出正面例证与反例。</w:t>
      </w:r>
    </w:p>
    <w:p>
      <w:pPr>
        <w:spacing w:after="60" w:before="0" w:line="400" w:lineRule="auto"/>
        <w:ind w:firstLine="480"/>
        <w:jc w:val="both"/>
      </w:pPr>
      <w:r>
        <w:rPr>
          <w:rFonts w:ascii="Times New Roman" w:cs="Times New Roman" w:eastAsia="宋体" w:hAnsi="Times New Roman"/>
          <w:b/>
          <w:bCs/>
          <w:sz w:val="24"/>
          <w:szCs w:val="24"/>
        </w:rPr>
        <w:t xml:space="preserve">正面例证：产品外表面质感的分寸把握</w:t>
      </w:r>
      <w:r>
        <w:rPr>
          <w:rFonts w:ascii="Times New Roman" w:cs="Times New Roman" w:eastAsia="宋体" w:hAnsi="Times New Roman"/>
          <w:sz w:val="24"/>
          <w:szCs w:val="24"/>
        </w:rPr>
        <w:t xml:space="preserve">。为陪伴机器人的外壳确定表面质感时，设计者所要决定的不是粗糙还是光滑这一方向性问题，而是粗糙到何种程度这一分寸问题。这一判断可以事后以表面平均粗糙度的量值加以描述，但在作出判断的当时，设计者所依据的是手指划过样板时的整体感受，以及这种感受与使用对象、使用情境和产品性格的相称与否。若要求他写出可供他人照做的规则，其所能给出的往往只是若干事后的合理化重构。因此，该节点满足判据一。</w:t>
      </w:r>
    </w:p>
    <w:p>
      <w:pPr>
        <w:spacing w:after="60" w:before="0" w:line="400" w:lineRule="auto"/>
        <w:ind w:firstLine="480"/>
        <w:jc w:val="both"/>
      </w:pPr>
      <w:r>
        <w:rPr>
          <w:rFonts w:ascii="Times New Roman" w:cs="Times New Roman" w:eastAsia="宋体" w:hAnsi="Times New Roman"/>
          <w:b/>
          <w:bCs/>
          <w:sz w:val="24"/>
          <w:szCs w:val="24"/>
        </w:rPr>
        <w:t xml:space="preserve">反例一：材料性能参数的检索</w:t>
      </w:r>
      <w:r>
        <w:rPr>
          <w:rFonts w:ascii="Times New Roman" w:cs="Times New Roman" w:eastAsia="宋体" w:hAnsi="Times New Roman"/>
          <w:sz w:val="24"/>
          <w:szCs w:val="24"/>
        </w:rPr>
        <w:t xml:space="preserve">。查询某种热塑性弹性体的导热系数与比热容，其结果为客观量值，不同的人查询同一材料应当得到相同的结果，判断的依据可以被完整写成检索步骤。因此，该节点不满足判据一，属可委托区，惟须承担核验义务，因为生成式模型可能给出看似合理而实不存在的参数。</w:t>
      </w:r>
    </w:p>
    <w:p>
      <w:pPr>
        <w:spacing w:after="60" w:before="0" w:line="400" w:lineRule="auto"/>
        <w:ind w:firstLine="480"/>
        <w:jc w:val="both"/>
      </w:pPr>
      <w:r>
        <w:rPr>
          <w:rFonts w:ascii="Times New Roman" w:cs="Times New Roman" w:eastAsia="宋体" w:hAnsi="Times New Roman"/>
          <w:b/>
          <w:bCs/>
          <w:sz w:val="24"/>
          <w:szCs w:val="24"/>
        </w:rPr>
        <w:t xml:space="preserve">反例二：设计原则的陈述</w:t>
      </w:r>
      <w:r>
        <w:rPr>
          <w:rFonts w:ascii="Times New Roman" w:cs="Times New Roman" w:eastAsia="宋体" w:hAnsi="Times New Roman"/>
          <w:sz w:val="24"/>
          <w:szCs w:val="24"/>
        </w:rPr>
        <w:t xml:space="preserve">。「圆角半径愈大，观感愈亲和」一类原则可以被明确陈述，也可以被写入规则。此处须予辨析的是：能够陈述原则与能够运用原则是两回事，前者不满足判据一，后者往往满足。第2章所引德雷福斯阶段论已经说明，专家与新手的差别通常不在于能否说出原则，而在于落笔时对分寸的把握。因此，本书在运用判据一时，判定的对象是原则的运用而非原则的陈述。</w:t>
      </w:r>
    </w:p>
    <w:p>
      <w:pPr>
        <w:spacing w:after="60" w:before="0" w:line="400" w:lineRule="auto"/>
        <w:ind w:firstLine="480"/>
        <w:jc w:val="both"/>
      </w:pPr>
      <w:r>
        <w:rPr>
          <w:rFonts w:ascii="Times New Roman" w:cs="Times New Roman" w:eastAsia="宋体" w:hAnsi="Times New Roman"/>
          <w:sz w:val="24"/>
          <w:szCs w:val="24"/>
        </w:rPr>
        <w:t xml:space="preserve">以上检验表明，判据一既不过宽，因为它把可陈述、可检索、可复现的部分排除在外；也不过窄，因为它捕捉到了专业能力中最有价值而最易流失的那一部分。判据一的正反例证汇总如表4-3所示。</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表4-3 判据一（缄默性）的正面例证与反例</w:t>
      </w:r>
    </w:p>
    <w:p>
      <w:pPr>
        <w:spacing w:after="0" w:before="0" w:line="300" w:lineRule="auto"/>
        <w:jc w:val="center"/>
      </w:pPr>
      <w:r>
        <w:rPr>
          <w:rFonts w:ascii="Times New Roman" w:cs="Times New Roman" w:eastAsia="宋体" w:hAnsi="Times New Roman"/>
          <w:sz w:val="18"/>
          <w:szCs w:val="18"/>
        </w:rPr>
        <w:t xml:space="preserve">Positive and Negative Cases for Criterion One (Tacitness)</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例证类型</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任务节点</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判定</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理由</w:t>
            </w:r>
          </w:p>
        </w:tc>
      </w:tr>
      <w:tr>
        <w:trPr>
          <w:tblHeader w:val="false"/>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正面例证</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产品外表面质感的分寸把握</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满足</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依据为整体感受与相称与否，无法写成可供照做的规则</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反例一</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材料性能参数的检索</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不满足</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结果为客观量值，依据可完整写成检索步骤</w:t>
            </w:r>
          </w:p>
        </w:tc>
      </w:tr>
      <w:tr>
        <w:trPr>
          <w:tblHeader w:val="false"/>
        </w:trPr>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反例二</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设计原则的陈述</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不满足</w:t>
            </w:r>
          </w:p>
        </w:tc>
        <w:tc>
          <w:tcPr>
            <w:tcW w:type="dxa" w:w="22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原则的陈述可形式化；惟原则的运用仍满足判据一，二者须分别判定</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4.2.4　判据二的正面例证与反例检验</w:t>
      </w:r>
    </w:p>
    <w:p>
      <w:pPr>
        <w:spacing w:after="60" w:before="0" w:line="400" w:lineRule="auto"/>
        <w:ind w:firstLine="480"/>
        <w:jc w:val="both"/>
      </w:pPr>
      <w:r>
        <w:rPr>
          <w:rFonts w:ascii="Times New Roman" w:cs="Times New Roman" w:eastAsia="宋体" w:hAnsi="Times New Roman"/>
          <w:b/>
          <w:bCs/>
          <w:sz w:val="24"/>
          <w:szCs w:val="24"/>
        </w:rPr>
        <w:t xml:space="preserve">正面例证：使用对象与使用情境的界定</w:t>
      </w:r>
      <w:r>
        <w:rPr>
          <w:rFonts w:ascii="Times New Roman" w:cs="Times New Roman" w:eastAsia="宋体" w:hAnsi="Times New Roman"/>
          <w:sz w:val="24"/>
          <w:szCs w:val="24"/>
        </w:rPr>
        <w:t xml:space="preserve">。为陪伴机器人界定其使用对象是学龄前儿童还是失能老人，这一判断限定了此后全部环节的可选范围，包括尺度、重量、材料、交互方式与安全标准。若这一判断有误，则后续所有工作均须推翻重做。因此，该节点满足判据二。此处尤须注意，该节点在流程上位于最前端，其判断成本低而撤回成本极高，恰恰是最容易被草率交付的位置。</w:t>
      </w:r>
    </w:p>
    <w:p>
      <w:pPr>
        <w:spacing w:after="60" w:before="0" w:line="400" w:lineRule="auto"/>
        <w:ind w:firstLine="480"/>
        <w:jc w:val="both"/>
      </w:pPr>
      <w:r>
        <w:rPr>
          <w:rFonts w:ascii="Times New Roman" w:cs="Times New Roman" w:eastAsia="宋体" w:hAnsi="Times New Roman"/>
          <w:b/>
          <w:bCs/>
          <w:sz w:val="24"/>
          <w:szCs w:val="24"/>
        </w:rPr>
        <w:t xml:space="preserve">反例一：效果图的渲染参数设定</w:t>
      </w:r>
      <w:r>
        <w:rPr>
          <w:rFonts w:ascii="Times New Roman" w:cs="Times New Roman" w:eastAsia="宋体" w:hAnsi="Times New Roman"/>
          <w:sz w:val="24"/>
          <w:szCs w:val="24"/>
        </w:rPr>
        <w:t xml:space="preserve">。渲染的光照、材质与视角设定若不理想，重新渲染即可，代价仅为一次计算时间，不影响任何已完成的工作。因此，该节点不满足判据二。</w:t>
      </w:r>
    </w:p>
    <w:p>
      <w:pPr>
        <w:spacing w:after="60" w:before="0" w:line="400" w:lineRule="auto"/>
        <w:ind w:firstLine="480"/>
        <w:jc w:val="both"/>
      </w:pPr>
      <w:r>
        <w:rPr>
          <w:rFonts w:ascii="Times New Roman" w:cs="Times New Roman" w:eastAsia="宋体" w:hAnsi="Times New Roman"/>
          <w:b/>
          <w:bCs/>
          <w:sz w:val="24"/>
          <w:szCs w:val="24"/>
        </w:rPr>
        <w:t xml:space="preserve">反例二：方案的初步排序</w:t>
      </w:r>
      <w:r>
        <w:rPr>
          <w:rFonts w:ascii="Times New Roman" w:cs="Times New Roman" w:eastAsia="宋体" w:hAnsi="Times New Roman"/>
          <w:sz w:val="24"/>
          <w:szCs w:val="24"/>
        </w:rPr>
        <w:t xml:space="preserve">。在若干候选方案之间给出初步排序，若排序不当，设计者在后续比较中仍可推翻，代价有限。因此，该节点不满足判据二。但此处须作一项重要辨析：初步排序不满足判据二，而候选方案集合的生成则满足，因为集合一旦给定，后续的全部选择便被限定在该集合之内，此即第1章所述范围性让渡。同一环节内部的两个相邻节点，其判定结果可以完全不同，这正是以节点而非环节为判定单位的必要性所在。</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表4-4 判据二（不可撤回性）的正面例证与反例</w:t>
      </w:r>
    </w:p>
    <w:p>
      <w:pPr>
        <w:spacing w:after="0" w:before="0" w:line="300" w:lineRule="auto"/>
        <w:jc w:val="center"/>
      </w:pPr>
      <w:r>
        <w:rPr>
          <w:rFonts w:ascii="Times New Roman" w:cs="Times New Roman" w:eastAsia="宋体" w:hAnsi="Times New Roman"/>
          <w:sz w:val="18"/>
          <w:szCs w:val="18"/>
        </w:rPr>
        <w:t xml:space="preserve">Positive and Negative Cases for Criterion Two (Irreversibility)</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例证类型</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任务节点</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判定</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理由</w:t>
            </w:r>
          </w:p>
        </w:tc>
      </w:tr>
      <w:tr>
        <w:trPr>
          <w:tblHeader w:val="false"/>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正面例证</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使用对象与使用情境的界定</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满足</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限定此后全部环节的可选范围，有误则须整体推翻</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反例一</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效果图的渲染参数设定</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不满足</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重新渲染即可，不影响已完成的工作</w:t>
            </w:r>
          </w:p>
        </w:tc>
      </w:tr>
      <w:tr>
        <w:trPr>
          <w:tblHeader w:val="false"/>
        </w:trPr>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反例二</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方案的初步排序</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不满足</w:t>
            </w:r>
          </w:p>
        </w:tc>
        <w:tc>
          <w:tcPr>
            <w:tcW w:type="dxa" w:w="22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排序不当仍可在后续推翻；惟候选集合的生成满足判据二</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4.2.5　判据三的正面例证与反例检验</w:t>
      </w:r>
    </w:p>
    <w:p>
      <w:pPr>
        <w:spacing w:after="60" w:before="0" w:line="400" w:lineRule="auto"/>
        <w:ind w:firstLine="480"/>
        <w:jc w:val="both"/>
      </w:pPr>
      <w:r>
        <w:rPr>
          <w:rFonts w:ascii="Times New Roman" w:cs="Times New Roman" w:eastAsia="宋体" w:hAnsi="Times New Roman"/>
          <w:b/>
          <w:bCs/>
          <w:sz w:val="24"/>
          <w:szCs w:val="24"/>
        </w:rPr>
        <w:t xml:space="preserve">正面例证：文化符号的选用与转译</w:t>
      </w:r>
      <w:r>
        <w:rPr>
          <w:rFonts w:ascii="Times New Roman" w:cs="Times New Roman" w:eastAsia="宋体" w:hAnsi="Times New Roman"/>
          <w:sz w:val="24"/>
          <w:szCs w:val="24"/>
        </w:rPr>
        <w:t xml:space="preserve">。在产品形态中采用某一地域性纹样或造型母题，这一判断直接构成作品的身份标识，设计者须在署名意义上认领它，并在被质疑其是否恰当、是否流于符号堆砌时为之辩护。因此，该节点满足判据三。此类节点亦是第1章所述地域性表达稀释的发生处：当模型依其训练分布代为决定文化意涵而设计者未加察觉时，作品的身份标识实际上已由训练分布所给出。</w:t>
      </w:r>
    </w:p>
    <w:p>
      <w:pPr>
        <w:spacing w:after="60" w:before="0" w:line="400" w:lineRule="auto"/>
        <w:ind w:firstLine="480"/>
        <w:jc w:val="both"/>
      </w:pPr>
      <w:r>
        <w:rPr>
          <w:rFonts w:ascii="Times New Roman" w:cs="Times New Roman" w:eastAsia="宋体" w:hAnsi="Times New Roman"/>
          <w:b/>
          <w:bCs/>
          <w:sz w:val="24"/>
          <w:szCs w:val="24"/>
        </w:rPr>
        <w:t xml:space="preserve">反例一：施工图的标注规范化</w:t>
      </w:r>
      <w:r>
        <w:rPr>
          <w:rFonts w:ascii="Times New Roman" w:cs="Times New Roman" w:eastAsia="宋体" w:hAnsi="Times New Roman"/>
          <w:sz w:val="24"/>
          <w:szCs w:val="24"/>
        </w:rPr>
        <w:t xml:space="preserve">。图纸标注须符合制图标准，其正确与否有客观依据，不承载任何个人主张，设计者也不会在署名意义上认领某一处标注。因此，该节点不满足判据三。</w:t>
      </w:r>
    </w:p>
    <w:p>
      <w:pPr>
        <w:spacing w:after="60" w:before="0" w:line="400" w:lineRule="auto"/>
        <w:ind w:firstLine="480"/>
        <w:jc w:val="both"/>
      </w:pPr>
      <w:r>
        <w:rPr>
          <w:rFonts w:ascii="Times New Roman" w:cs="Times New Roman" w:eastAsia="宋体" w:hAnsi="Times New Roman"/>
          <w:b/>
          <w:bCs/>
          <w:sz w:val="24"/>
          <w:szCs w:val="24"/>
        </w:rPr>
        <w:t xml:space="preserve">反例二：设计说明文本的润色</w:t>
      </w:r>
      <w:r>
        <w:rPr>
          <w:rFonts w:ascii="Times New Roman" w:cs="Times New Roman" w:eastAsia="宋体" w:hAnsi="Times New Roman"/>
          <w:sz w:val="24"/>
          <w:szCs w:val="24"/>
        </w:rPr>
        <w:t xml:space="preserve">。将已经确定的设计意图整理为通顺的文字，其内容由既有判断所决定，润色本身不改变主张。因此，该节点不满足判据三。但须辨析的是，若润色过程中改变了对设计意图的表述重心，例如把原本以使用者处境为核心的说明改写为以技术亮点为核心，则该节点已不再是润色而是主张的重新表述，判定结果随之改变。此例说明，判定的对象是节点的实际内容而非其名义。</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表4-5 判据三（署名性）的正面例证与反例</w:t>
      </w:r>
    </w:p>
    <w:p>
      <w:pPr>
        <w:spacing w:after="0" w:before="0" w:line="300" w:lineRule="auto"/>
        <w:jc w:val="center"/>
      </w:pPr>
      <w:r>
        <w:rPr>
          <w:rFonts w:ascii="Times New Roman" w:cs="Times New Roman" w:eastAsia="宋体" w:hAnsi="Times New Roman"/>
          <w:sz w:val="18"/>
          <w:szCs w:val="18"/>
        </w:rPr>
        <w:t xml:space="preserve">Positive and Negative Cases for Criterion Three (Authorship)</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例证类型</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任务节点</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判定</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理由</w:t>
            </w:r>
          </w:p>
        </w:tc>
      </w:tr>
      <w:tr>
        <w:trPr>
          <w:tblHeader w:val="false"/>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正面例证</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文化符号的选用与转译</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满足</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直接构成作品的身份标识，须由设计者认领并辩护</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反例一</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施工图的标注规范化</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不满足</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有客观依据，不承载个人主张</w:t>
            </w:r>
          </w:p>
        </w:tc>
      </w:tr>
      <w:tr>
        <w:trPr>
          <w:tblHeader w:val="false"/>
        </w:trPr>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反例二</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设计说明文本的润色</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不满足</w:t>
            </w:r>
          </w:p>
        </w:tc>
        <w:tc>
          <w:tcPr>
            <w:tcW w:type="dxa" w:w="22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内容由既有判断决定；惟若改变表述重心则转为主张的重新表述</w:t>
            </w:r>
          </w:p>
        </w:tc>
      </w:tr>
    </w:tbl>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综合以上三组检验可以看出，三条判据在划分上具有一致的取向：凡结果客观、依据可陈述、失误可低成本纠正、不承载个人主张者，归入可委托区；凡依据只能意会、后果难以撤回、须由本人认领者，归入判断保留区。以上检验同时暴露出一项须予强调的操作要点，即判定的对象必须是节点的实际内容而非其名义，同名的任务在不同情境中可能落入不同的一侧。</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4.3　设计全流程五环节的逐一判定</w:t>
      </w:r>
    </w:p>
    <w:p>
      <w:pPr>
        <w:spacing w:after="60" w:before="0" w:line="400" w:lineRule="auto"/>
        <w:ind w:firstLine="480"/>
        <w:jc w:val="both"/>
      </w:pPr>
      <w:r>
        <w:rPr>
          <w:rFonts w:ascii="Times New Roman" w:cs="Times New Roman" w:eastAsia="宋体" w:hAnsi="Times New Roman"/>
          <w:sz w:val="24"/>
          <w:szCs w:val="24"/>
        </w:rPr>
        <w:t xml:space="preserve">三条判据确立之后，本节将其运用于设计全流程。本节首先说明判定的操作步骤，其次依第1章所划分的需求理解、信息收集、方案生成、方案筛选与验证优化五个环节，逐一识别其典型节点并作出判定，最后汇总为认知卸载边界图谱。</w:t>
      </w:r>
    </w:p>
    <w:p>
      <w:pPr>
        <w:pStyle w:val="Heading3"/>
        <w:spacing w:after="160" w:before="240" w:line="360" w:lineRule="auto"/>
        <w:jc w:val="left"/>
      </w:pPr>
      <w:r>
        <w:rPr>
          <w:rFonts w:ascii="Times New Roman" w:cs="Times New Roman" w:eastAsia="黑体" w:hAnsi="Times New Roman"/>
          <w:b/>
          <w:bCs/>
          <w:sz w:val="24"/>
          <w:szCs w:val="24"/>
        </w:rPr>
        <w:t xml:space="preserve">4.3.1　判定的操作步骤</w:t>
      </w:r>
    </w:p>
    <w:p>
      <w:pPr>
        <w:spacing w:after="60" w:before="0" w:line="400" w:lineRule="auto"/>
        <w:ind w:firstLine="480"/>
        <w:jc w:val="both"/>
      </w:pPr>
      <w:r>
        <w:rPr>
          <w:rFonts w:ascii="Times New Roman" w:cs="Times New Roman" w:eastAsia="宋体" w:hAnsi="Times New Roman"/>
          <w:sz w:val="24"/>
          <w:szCs w:val="24"/>
        </w:rPr>
        <w:t xml:space="preserve">判定依四个步骤进行。第一步，任务分解，即将一个环节拆解为若干可分辨的操作节点，拆解的粒度以该节点具有单一的判断性质为准。第二步，逐节点提问，即对每一节点依次施以三条判据的操作性提问。第三步，归类，即凡满足任何一条判据者归入判断保留区，三条皆不满足者归入可委托区并附核验义务。第四步，标注满足条数，即记录该节点满足了几条判据，作为后续干预强度分级的依据。</w:t>
      </w:r>
    </w:p>
    <w:p>
      <w:pPr>
        <w:spacing w:after="60" w:before="0" w:line="400" w:lineRule="auto"/>
        <w:ind w:firstLine="480"/>
        <w:jc w:val="both"/>
      </w:pPr>
      <w:r>
        <w:rPr>
          <w:rFonts w:ascii="Times New Roman" w:cs="Times New Roman" w:eastAsia="宋体" w:hAnsi="Times New Roman"/>
          <w:sz w:val="24"/>
          <w:szCs w:val="24"/>
        </w:rPr>
        <w:t xml:space="preserve">需要说明的是，本节所判定的是各环节的典型节点，其目的在于呈现边界的总体形态，而非提供一份适用于一切项目的固定清单。真实项目的节点构成因产品类型、团队分工与工作方法而异，实际运用时须依 4.3.1 的步骤重新分解。</w:t>
      </w:r>
    </w:p>
    <w:p>
      <w:pPr>
        <w:pStyle w:val="Heading3"/>
        <w:spacing w:after="160" w:before="240" w:line="360" w:lineRule="auto"/>
        <w:jc w:val="left"/>
      </w:pPr>
      <w:r>
        <w:rPr>
          <w:rFonts w:ascii="Times New Roman" w:cs="Times New Roman" w:eastAsia="黑体" w:hAnsi="Times New Roman"/>
          <w:b/>
          <w:bCs/>
          <w:sz w:val="24"/>
          <w:szCs w:val="24"/>
        </w:rPr>
        <w:t xml:space="preserve">4.3.2　需求理解环节</w:t>
      </w:r>
    </w:p>
    <w:p>
      <w:pPr>
        <w:spacing w:after="60" w:before="0" w:line="400" w:lineRule="auto"/>
        <w:ind w:firstLine="480"/>
        <w:jc w:val="both"/>
      </w:pPr>
      <w:r>
        <w:rPr>
          <w:rFonts w:ascii="Times New Roman" w:cs="Times New Roman" w:eastAsia="宋体" w:hAnsi="Times New Roman"/>
          <w:sz w:val="24"/>
          <w:szCs w:val="24"/>
        </w:rPr>
        <w:t xml:space="preserve">该环节可分解为四个典型节点。第一，使用对象与使用情境的界定，满足判据二，且因其依赖对使用者处境的体察而亦满足判据一，归入保留区。第二，需求文本与访谈记录的整理归纳，三条皆不满足，归入可委托区。第三，需求真伪与轻重的判别，即分辨使用者所陈述的需要与其在真实使用情境中所遭遇的困难之间的落差，满足判据一，归入保留区。第四，需求条目的结构化输出，三条皆不满足，归入可委托区。</w:t>
      </w:r>
    </w:p>
    <w:p>
      <w:pPr>
        <w:spacing w:after="60" w:before="0" w:line="400" w:lineRule="auto"/>
        <w:ind w:firstLine="480"/>
        <w:jc w:val="both"/>
      </w:pPr>
      <w:r>
        <w:rPr>
          <w:rFonts w:ascii="Times New Roman" w:cs="Times New Roman" w:eastAsia="宋体" w:hAnsi="Times New Roman"/>
          <w:sz w:val="24"/>
          <w:szCs w:val="24"/>
        </w:rPr>
        <w:t xml:space="preserve">由此可见，第1章所指出的形式完备对内容缺失的掩盖，其发生位置正是第二节点与第三节点的混淆：模型所输出的需求清单条理分明，使设计者误以为第三节点已经完成，而实际上完成的只是第二节点。</w:t>
      </w:r>
    </w:p>
    <w:p>
      <w:pPr>
        <w:pStyle w:val="Heading3"/>
        <w:spacing w:after="160" w:before="240" w:line="360" w:lineRule="auto"/>
        <w:jc w:val="left"/>
      </w:pPr>
      <w:r>
        <w:rPr>
          <w:rFonts w:ascii="Times New Roman" w:cs="Times New Roman" w:eastAsia="黑体" w:hAnsi="Times New Roman"/>
          <w:b/>
          <w:bCs/>
          <w:sz w:val="24"/>
          <w:szCs w:val="24"/>
        </w:rPr>
        <w:t xml:space="preserve">4.3.3　信息收集环节</w:t>
      </w:r>
    </w:p>
    <w:p>
      <w:pPr>
        <w:spacing w:after="60" w:before="0" w:line="400" w:lineRule="auto"/>
        <w:ind w:firstLine="480"/>
        <w:jc w:val="both"/>
      </w:pPr>
      <w:r>
        <w:rPr>
          <w:rFonts w:ascii="Times New Roman" w:cs="Times New Roman" w:eastAsia="宋体" w:hAnsi="Times New Roman"/>
          <w:sz w:val="24"/>
          <w:szCs w:val="24"/>
        </w:rPr>
        <w:t xml:space="preserve">该环节可分解为三个典型节点。第一，材料数据库检索、性能参数比对与同类案例搜集，三条皆不满足，归入可委托区。第二，技术标准与法规的查询，三条皆不满足，归入可委托区，但其核验义务的强度最高，因为标准适用与否直接关系安全。第三，信息可靠性的核验，满足判据二，因为未经核验的错误信息将沿流程传导至全部后续判断，归入保留区。</w:t>
      </w:r>
    </w:p>
    <w:p>
      <w:pPr>
        <w:spacing w:after="60" w:before="0" w:line="400" w:lineRule="auto"/>
        <w:ind w:firstLine="480"/>
        <w:jc w:val="both"/>
      </w:pPr>
      <w:r>
        <w:rPr>
          <w:rFonts w:ascii="Times New Roman" w:cs="Times New Roman" w:eastAsia="宋体" w:hAnsi="Times New Roman"/>
          <w:sz w:val="24"/>
          <w:szCs w:val="24"/>
        </w:rPr>
        <w:t xml:space="preserve">因此，本环节是五个环节中可委托比例最高者，但其保留区节点的重要性并不因此降低。第1章所述核验成本与生成成本的不对称，其后果正是第三节点被系统性地省略。</w:t>
      </w:r>
    </w:p>
    <w:p>
      <w:pPr>
        <w:pStyle w:val="Heading3"/>
        <w:spacing w:after="160" w:before="240" w:line="360" w:lineRule="auto"/>
        <w:jc w:val="left"/>
      </w:pPr>
      <w:r>
        <w:rPr>
          <w:rFonts w:ascii="Times New Roman" w:cs="Times New Roman" w:eastAsia="黑体" w:hAnsi="Times New Roman"/>
          <w:b/>
          <w:bCs/>
          <w:sz w:val="24"/>
          <w:szCs w:val="24"/>
        </w:rPr>
        <w:t xml:space="preserve">4.3.4　方案生成环节</w:t>
      </w:r>
    </w:p>
    <w:p>
      <w:pPr>
        <w:spacing w:after="60" w:before="0" w:line="400" w:lineRule="auto"/>
        <w:ind w:firstLine="480"/>
        <w:jc w:val="both"/>
      </w:pPr>
      <w:r>
        <w:rPr>
          <w:rFonts w:ascii="Times New Roman" w:cs="Times New Roman" w:eastAsia="宋体" w:hAnsi="Times New Roman"/>
          <w:sz w:val="24"/>
          <w:szCs w:val="24"/>
        </w:rPr>
        <w:t xml:space="preserve">该环节可分解为五个典型节点。第一，设计主张与方案方向的确定，满足判据一与判据三，归入保留区。第二，候选方案集合的生成，满足判据二，因为集合限定了后续筛选的全部可选范围，归入保留区；此处所谓由人掌控，并非要求设计者亲手绘制每一个候选，而是要求集合的构成范围由设计者设定，而非由模型的默认分布给出。第三，比例、分寸与材质取向的把握，满足判据一与判据三，归入保留区。第四，文化符号与意涵的选用，满足判据三，归入保留区。第五，方案的表现与渲染，三条皆不满足，归入可委托区。</w:t>
      </w:r>
    </w:p>
    <w:p>
      <w:pPr>
        <w:spacing w:after="60" w:before="0" w:line="400" w:lineRule="auto"/>
        <w:ind w:firstLine="480"/>
        <w:jc w:val="both"/>
      </w:pPr>
      <w:r>
        <w:rPr>
          <w:rFonts w:ascii="Times New Roman" w:cs="Times New Roman" w:eastAsia="宋体" w:hAnsi="Times New Roman"/>
          <w:sz w:val="24"/>
          <w:szCs w:val="24"/>
        </w:rPr>
        <w:t xml:space="preserve">由此可见，本环节的五个节点中有四个落入保留区，是五个环节中保留区密度最高者。而第1章的渗透图谱已经表明，本环节恰恰是人工智能渗透最深的环节。判断密度与渗透深度的错位，在本环节表现得最为集中，这一错位正是第6章干预设计的首要作用位置。</w:t>
      </w:r>
    </w:p>
    <w:p>
      <w:pPr>
        <w:pStyle w:val="Heading3"/>
        <w:spacing w:after="160" w:before="240" w:line="360" w:lineRule="auto"/>
        <w:jc w:val="left"/>
      </w:pPr>
      <w:r>
        <w:rPr>
          <w:rFonts w:ascii="Times New Roman" w:cs="Times New Roman" w:eastAsia="黑体" w:hAnsi="Times New Roman"/>
          <w:b/>
          <w:bCs/>
          <w:sz w:val="24"/>
          <w:szCs w:val="24"/>
        </w:rPr>
        <w:t xml:space="preserve">4.3.5　方案筛选环节</w:t>
      </w:r>
    </w:p>
    <w:p>
      <w:pPr>
        <w:spacing w:after="60" w:before="0" w:line="400" w:lineRule="auto"/>
        <w:ind w:firstLine="480"/>
        <w:jc w:val="both"/>
      </w:pPr>
      <w:r>
        <w:rPr>
          <w:rFonts w:ascii="Times New Roman" w:cs="Times New Roman" w:eastAsia="宋体" w:hAnsi="Times New Roman"/>
          <w:sz w:val="24"/>
          <w:szCs w:val="24"/>
        </w:rPr>
        <w:t xml:space="preserve">该环节可分解为三个典型节点。第一，多方案的属性对比与打分，三条皆不满足，归入可委托区。第二，冲突目标之间的权衡，即在效率、成本、情感体验与伦理规范之间作出取舍，满足判据一与判据三，归入保留区。第三，最终方案的确定，满足判据二与判据三，归入保留区。</w:t>
      </w:r>
    </w:p>
    <w:p>
      <w:pPr>
        <w:spacing w:after="60" w:before="0" w:line="400" w:lineRule="auto"/>
        <w:ind w:firstLine="480"/>
        <w:jc w:val="both"/>
      </w:pPr>
      <w:r>
        <w:rPr>
          <w:rFonts w:ascii="Times New Roman" w:cs="Times New Roman" w:eastAsia="宋体" w:hAnsi="Times New Roman"/>
          <w:sz w:val="24"/>
          <w:szCs w:val="24"/>
        </w:rPr>
        <w:t xml:space="preserve">此处须重申 4.2.4 所作的辨析：本环节的保留区节点，其实际的自由度取决于上一环节候选集合的构成。若集合已由模型的默认分布给出，则本环节纵然全部由人亲自作出，其判断的范围亦已被预先限定。这一点是范围性让渡在边界图谱中的具体位置，也是第7章溯源制度须记录候选集合来源的原因。</w:t>
      </w:r>
    </w:p>
    <w:p>
      <w:pPr>
        <w:pStyle w:val="Heading3"/>
        <w:spacing w:after="160" w:before="240" w:line="360" w:lineRule="auto"/>
        <w:jc w:val="left"/>
      </w:pPr>
      <w:r>
        <w:rPr>
          <w:rFonts w:ascii="Times New Roman" w:cs="Times New Roman" w:eastAsia="黑体" w:hAnsi="Times New Roman"/>
          <w:b/>
          <w:bCs/>
          <w:sz w:val="24"/>
          <w:szCs w:val="24"/>
        </w:rPr>
        <w:t xml:space="preserve">4.3.6　验证优化环节</w:t>
      </w:r>
    </w:p>
    <w:p>
      <w:pPr>
        <w:spacing w:after="60" w:before="0" w:line="400" w:lineRule="auto"/>
        <w:ind w:firstLine="480"/>
        <w:jc w:val="both"/>
      </w:pPr>
      <w:r>
        <w:rPr>
          <w:rFonts w:ascii="Times New Roman" w:cs="Times New Roman" w:eastAsia="宋体" w:hAnsi="Times New Roman"/>
          <w:sz w:val="24"/>
          <w:szCs w:val="24"/>
        </w:rPr>
        <w:t xml:space="preserve">该环节可分解为四个典型节点。第一，测试数据的统计分析，三条皆不满足，归入可委托区。第二，验证结果的解释，满足判据一，因为解释须结合具体使用情境与对象状态，归入保留区。第三，安全性与合规性的判定，满足判据二，因为其失误的后果由使用者承担且难以追索，归入保留区。第四，据验证结果作出的修正决策，满足判据二与判据三，归入保留区。</w:t>
      </w:r>
    </w:p>
    <w:p>
      <w:pPr>
        <w:spacing w:after="60" w:before="0" w:line="400" w:lineRule="auto"/>
        <w:ind w:firstLine="480"/>
        <w:jc w:val="both"/>
      </w:pPr>
      <w:r>
        <w:rPr>
          <w:rFonts w:ascii="Times New Roman" w:cs="Times New Roman" w:eastAsia="宋体" w:hAnsi="Times New Roman"/>
          <w:sz w:val="24"/>
          <w:szCs w:val="24"/>
        </w:rPr>
        <w:t xml:space="preserve">另需指出，第1章所述以增加生成轮次替代深入验证的倾向，在边界图谱上表现为本环节的保留区节点被整体绕过，而非被交付机器。这是一种不同于卸载的边界失效形式：节点既未由人作出，也未由机器作出，而是根本没有发生。本书建议将此种情形单列为节点缺失，与卸载分别处理，其识别方法留待第7章的溯源制度承担。</w:t>
      </w:r>
    </w:p>
    <w:p>
      <w:pPr>
        <w:pStyle w:val="Heading3"/>
        <w:spacing w:after="160" w:before="240" w:line="360" w:lineRule="auto"/>
        <w:jc w:val="left"/>
      </w:pPr>
      <w:r>
        <w:rPr>
          <w:rFonts w:ascii="Times New Roman" w:cs="Times New Roman" w:eastAsia="黑体" w:hAnsi="Times New Roman"/>
          <w:b/>
          <w:bCs/>
          <w:sz w:val="24"/>
          <w:szCs w:val="24"/>
        </w:rPr>
        <w:t xml:space="preserve">4.3.7　认知卸载边界图谱</w:t>
      </w:r>
    </w:p>
    <w:p>
      <w:pPr>
        <w:spacing w:after="60" w:before="0" w:line="400" w:lineRule="auto"/>
        <w:ind w:firstLine="480"/>
        <w:jc w:val="both"/>
      </w:pPr>
      <w:r>
        <w:rPr>
          <w:rFonts w:ascii="Times New Roman" w:cs="Times New Roman" w:eastAsia="宋体" w:hAnsi="Times New Roman"/>
          <w:sz w:val="24"/>
          <w:szCs w:val="24"/>
        </w:rPr>
        <w:t xml:space="preserve">汇总以上判定，可以形成认知卸载边界图谱，如表4-6与图4-2所示。</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表4-6 设计全流程五环节的认知卸载边界图谱</w:t>
      </w:r>
    </w:p>
    <w:p>
      <w:pPr>
        <w:spacing w:after="0" w:before="0" w:line="300" w:lineRule="auto"/>
        <w:jc w:val="center"/>
      </w:pPr>
      <w:r>
        <w:rPr>
          <w:rFonts w:ascii="Times New Roman" w:cs="Times New Roman" w:eastAsia="宋体" w:hAnsi="Times New Roman"/>
          <w:sz w:val="18"/>
          <w:szCs w:val="18"/>
        </w:rPr>
        <w:t xml:space="preserve">The Cognitive Offloading Boundary Map across Five Phases of the Design Process</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环节</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典型节点</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判据一</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判据二</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判据三</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归属</w:t>
            </w:r>
          </w:p>
        </w:tc>
        <w:tc>
          <w:tcPr>
            <w:tcW w:type="dxa" w:w="1292"/>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满足条数</w:t>
            </w:r>
          </w:p>
        </w:tc>
      </w:tr>
      <w:tr>
        <w:trPr>
          <w:tblHeader w:val="false"/>
        </w:trPr>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需求理解</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使用对象与使用情境的界定</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92"/>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需求理解</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需求文本与访谈记录的整理归纳</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可委托区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0</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需求理解</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需求真伪与轻重的判别</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需求理解</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需求条目的结构化输出</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可委托区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0</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信息收集</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数据库检索与参数比对</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可委托区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0</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信息收集</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技术标准与法规的查询</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可委托区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0</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信息收集</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信息可靠性的核验</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方案生成</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设计主张与方案方向的确定</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方案生成</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候选方案集合的生成</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方案生成</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比例、分寸与材质取向的把握</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方案生成</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文化符号与意涵的选用</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方案生成</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方案的表现与渲染</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可委托区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0</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方案筛选</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多方案的属性对比与打分</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可委托区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0</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方案筛选</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冲突目标之间的权衡</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方案筛选</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最终方案的确定</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验证优化</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测试数据的统计分析</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可委托区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0</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验证优化</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验证结果的解释</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验证优化</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安全性与合规性的判定</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r>
      <w:tr>
        <w:trPr>
          <w:tblHeader w:val="false"/>
        </w:trPr>
        <w:tc>
          <w:tcPr>
            <w:tcW w:type="dxa" w:w="12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验证优化</w:t>
            </w:r>
          </w:p>
        </w:tc>
        <w:tc>
          <w:tcPr>
            <w:tcW w:type="dxa" w:w="12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据验证结果作出的修正决策</w:t>
            </w:r>
          </w:p>
        </w:tc>
        <w:tc>
          <w:tcPr>
            <w:tcW w:type="dxa" w:w="12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9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w:t>
            </w:r>
          </w:p>
        </w:tc>
      </w:tr>
    </w:tbl>
    <w:p>
      <w:pPr>
        <w:spacing w:line="200" w:lineRule="auto"/>
      </w:pPr>
      <w:r>
        <w:rPr>
          <w:sz w:val="18"/>
          <w:szCs w:val="18"/>
        </w:rPr>
        <w:t xml:space="preserve"/>
      </w:r>
    </w:p>
    <w:p>
      <w:pPr>
        <w:spacing w:after="120" w:before="120" w:line="400" w:lineRule="auto"/>
        <w:jc w:val="center"/>
      </w:pPr>
      <w:r>
        <w:rPr>
          <w:rFonts w:ascii="Times New Roman" w:cs="Times New Roman" w:eastAsia="宋体" w:hAnsi="Times New Roman"/>
          <w:color w:val="808080"/>
          <w:sz w:val="24"/>
          <w:szCs w:val="24"/>
        </w:rPr>
        <w:t xml:space="preserve">［此处插入图4-2］</w:t>
      </w:r>
    </w:p>
    <w:p>
      <w:pPr>
        <w:spacing w:after="0" w:before="0" w:line="300" w:lineRule="auto"/>
        <w:jc w:val="center"/>
      </w:pPr>
      <w:r>
        <w:rPr>
          <w:rFonts w:ascii="Times New Roman" w:cs="Times New Roman" w:eastAsia="宋体" w:hAnsi="Times New Roman"/>
          <w:sz w:val="18"/>
          <w:szCs w:val="18"/>
        </w:rPr>
        <w:t xml:space="preserve">图4-2 认知卸载边界图谱</w:t>
      </w:r>
    </w:p>
    <w:p>
      <w:pPr>
        <w:spacing w:after="0" w:before="0" w:line="300" w:lineRule="auto"/>
        <w:jc w:val="center"/>
      </w:pPr>
      <w:r>
        <w:rPr>
          <w:rFonts w:ascii="Times New Roman" w:cs="Times New Roman" w:eastAsia="宋体" w:hAnsi="Times New Roman"/>
          <w:sz w:val="18"/>
          <w:szCs w:val="18"/>
        </w:rPr>
        <w:t xml:space="preserve">The Cognitive Offloading Boundary Map</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由图谱可以读出三项结论。第一，保留区并非成片分布，而是散布于全流程的十二个具体节点之上，占全部十九个典型节点的六成余；可委托区的七个节点则集中于整理、检索、计算与表现四类工具性劳动。这一分布证实了 4.1.3 所述以节点为判定单位的必要性，即若以环节为单位，五个环节将全部落入保留区，判据便失去实践意义。</w:t>
      </w:r>
    </w:p>
    <w:p>
      <w:pPr>
        <w:spacing w:after="60" w:before="0" w:line="400" w:lineRule="auto"/>
        <w:ind w:firstLine="480"/>
        <w:jc w:val="both"/>
      </w:pPr>
      <w:r>
        <w:rPr>
          <w:rFonts w:ascii="Times New Roman" w:cs="Times New Roman" w:eastAsia="宋体" w:hAnsi="Times New Roman"/>
          <w:sz w:val="24"/>
          <w:szCs w:val="24"/>
        </w:rPr>
        <w:t xml:space="preserve">第二，保留区节点的分布与第1章渗透图谱所呈现的渗透深度存在系统性错位，二者的对照如表4-7所示。其中，方案生成环节的错位最为严重，即保留区密度最高而渗透最深；信息收集环节则相反，即渗透同样深入但保留区密度最低，因而所引发的问题最为轻微。这一对照为第6章干预位置的选择提供了直接依据：干预资源应当优先投放于错位最严重的环节，而非平均分配于全流程。</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表4-7 保留区密度与渗透深度的对照</w:t>
      </w:r>
    </w:p>
    <w:p>
      <w:pPr>
        <w:spacing w:after="0" w:before="0" w:line="300" w:lineRule="auto"/>
        <w:jc w:val="center"/>
      </w:pPr>
      <w:r>
        <w:rPr>
          <w:rFonts w:ascii="Times New Roman" w:cs="Times New Roman" w:eastAsia="宋体" w:hAnsi="Times New Roman"/>
          <w:sz w:val="18"/>
          <w:szCs w:val="18"/>
        </w:rPr>
        <w:t xml:space="preserve">Comparison between Reserve Zone Density and Penetration Depth</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环节</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保留区节点数／典型节点数</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保留区密度</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第1章所判渗透深度</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错位程度</w:t>
            </w:r>
          </w:p>
        </w:tc>
        <w:tc>
          <w:tcPr>
            <w:tcW w:type="dxa" w:w="15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干预优先级</w:t>
            </w:r>
          </w:p>
        </w:tc>
      </w:tr>
      <w:tr>
        <w:trPr>
          <w:tblHeader w:val="false"/>
        </w:trPr>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需求理解</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2／4</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低</w:t>
            </w:r>
          </w:p>
        </w:tc>
        <w:tc>
          <w:tcPr>
            <w:tcW w:type="dxa" w:w="15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w:t>
            </w:r>
          </w:p>
        </w:tc>
      </w:tr>
      <w:tr>
        <w:trPr>
          <w:tblHeader w:val="false"/>
        </w:trPr>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信息收集</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1／3</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低</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深</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低</w:t>
            </w:r>
          </w:p>
        </w:tc>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低</w:t>
            </w:r>
          </w:p>
        </w:tc>
      </w:tr>
      <w:tr>
        <w:trPr>
          <w:tblHeader w:val="false"/>
        </w:trPr>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方案生成</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4／5</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最深</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w:t>
            </w:r>
          </w:p>
        </w:tc>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最高</w:t>
            </w:r>
          </w:p>
        </w:tc>
      </w:tr>
      <w:tr>
        <w:trPr>
          <w:tblHeader w:val="false"/>
        </w:trPr>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方案筛选</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2／3</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浅</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w:t>
            </w:r>
          </w:p>
        </w:tc>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w:t>
            </w:r>
          </w:p>
        </w:tc>
      </w:tr>
      <w:tr>
        <w:trPr>
          <w:tblHeader w:val="false"/>
        </w:trPr>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验证优化</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3／4</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最浅</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w:t>
            </w:r>
          </w:p>
        </w:tc>
        <w:tc>
          <w:tcPr>
            <w:tcW w:type="dxa" w:w="15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高（因存在节点缺失风险）</w:t>
            </w:r>
          </w:p>
        </w:tc>
      </w:tr>
    </w:tbl>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第三，满足两条及以上判据的节点共六个，构成保留区的核心，包括使用对象与使用情境的界定、设计主张与方案方向的确定、比例分寸与材质取向的把握、冲突目标之间的权衡、最终方案的确定与据验证结果作出的修正决策。以上节点应当获得最高强度的干预设计，这一点将在第6章展开。</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4.4　案例检验：陪伴机器人外部表面材料选择</w:t>
      </w:r>
    </w:p>
    <w:p>
      <w:pPr>
        <w:spacing w:after="60" w:before="0" w:line="400" w:lineRule="auto"/>
        <w:ind w:firstLine="480"/>
        <w:jc w:val="both"/>
      </w:pPr>
      <w:r>
        <w:rPr>
          <w:rFonts w:ascii="Times New Roman" w:cs="Times New Roman" w:eastAsia="宋体" w:hAnsi="Times New Roman"/>
          <w:sz w:val="24"/>
          <w:szCs w:val="24"/>
        </w:rPr>
        <w:t xml:space="preserve">判据与图谱确立之后，须以具体案例检验其可操作性。本节以陪伴机器人外部表面材料的选择为例，依 4.3.1 的四个步骤展开完整判定。需要说明的是，案例在本书中所承担的是检验与澄清的功能，而非证明的功能：单一案例不足以证明判据的普遍有效性，却足以显示判据能否被实际使用，以及在何处会遇到困难。</w:t>
      </w:r>
    </w:p>
    <w:p>
      <w:pPr>
        <w:pStyle w:val="Heading3"/>
        <w:spacing w:after="160" w:before="240" w:line="360" w:lineRule="auto"/>
        <w:jc w:val="left"/>
      </w:pPr>
      <w:r>
        <w:rPr>
          <w:rFonts w:ascii="Times New Roman" w:cs="Times New Roman" w:eastAsia="黑体" w:hAnsi="Times New Roman"/>
          <w:b/>
          <w:bCs/>
          <w:sz w:val="24"/>
          <w:szCs w:val="24"/>
        </w:rPr>
        <w:t xml:space="preserve">4.4.1　案例的选择理由与任务描述</w:t>
      </w:r>
    </w:p>
    <w:p>
      <w:pPr>
        <w:spacing w:after="60" w:before="0" w:line="400" w:lineRule="auto"/>
        <w:ind w:firstLine="480"/>
        <w:jc w:val="both"/>
      </w:pPr>
      <w:r>
        <w:rPr>
          <w:rFonts w:ascii="Times New Roman" w:cs="Times New Roman" w:eastAsia="宋体" w:hAnsi="Times New Roman"/>
          <w:sz w:val="24"/>
          <w:szCs w:val="24"/>
        </w:rPr>
        <w:t xml:space="preserve">选择这一案例的理由有三。第一，材料选择是一项判断密度与工具渗透度均高的任务，既有大量可检索的客观参数，也有大量难以言说的体验判断，因而能够同时检验判据的两侧。第二，其使用对象为儿童或需要照护的人群，安全性与情感体验的要求并存，判据二与判据三均有充分的作用对象。第三，该任务的成果可被具体描述，便于逐节点核对判定结论。</w:t>
      </w:r>
    </w:p>
    <w:p>
      <w:pPr>
        <w:spacing w:after="60" w:before="0" w:line="400" w:lineRule="auto"/>
        <w:ind w:firstLine="480"/>
        <w:jc w:val="both"/>
      </w:pPr>
      <w:r>
        <w:rPr>
          <w:rFonts w:ascii="Times New Roman" w:cs="Times New Roman" w:eastAsia="宋体" w:hAnsi="Times New Roman"/>
          <w:sz w:val="24"/>
          <w:szCs w:val="24"/>
        </w:rPr>
        <w:t xml:space="preserve">任务描述如下：为一款面向学龄前儿童的陪伴机器人选择其外部可触及表面的材料及表面处理方式，须同时满足安全与卫生要求、目标人群的触感与情感体验预期、照护者的接受度以及量产成本约束。</w:t>
      </w:r>
    </w:p>
    <w:p>
      <w:pPr>
        <w:pStyle w:val="Heading3"/>
        <w:spacing w:after="160" w:before="240" w:line="360" w:lineRule="auto"/>
        <w:jc w:val="left"/>
      </w:pPr>
      <w:r>
        <w:rPr>
          <w:rFonts w:ascii="Times New Roman" w:cs="Times New Roman" w:eastAsia="黑体" w:hAnsi="Times New Roman"/>
          <w:b/>
          <w:bCs/>
          <w:sz w:val="24"/>
          <w:szCs w:val="24"/>
        </w:rPr>
        <w:t xml:space="preserve">4.4.2　任务分解与节点识别</w:t>
      </w:r>
    </w:p>
    <w:p>
      <w:pPr>
        <w:spacing w:after="60" w:before="0" w:line="400" w:lineRule="auto"/>
        <w:ind w:firstLine="480"/>
        <w:jc w:val="both"/>
      </w:pPr>
      <w:r>
        <w:rPr>
          <w:rFonts w:ascii="Times New Roman" w:cs="Times New Roman" w:eastAsia="宋体" w:hAnsi="Times New Roman"/>
          <w:sz w:val="24"/>
          <w:szCs w:val="24"/>
        </w:rPr>
        <w:t xml:space="preserve">依 4.3.1 第一步，将该任务分解为十二个节点，如表4-8所示。分解的粒度以每一节点具有单一的判断性质为准，凡一个节点内部同时包含性质不同的两种判断者，进一步拆分。</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表4-8 案例的任务分解与节点清单</w:t>
      </w:r>
    </w:p>
    <w:p>
      <w:pPr>
        <w:spacing w:after="0" w:before="0" w:line="300" w:lineRule="auto"/>
        <w:jc w:val="center"/>
      </w:pPr>
      <w:r>
        <w:rPr>
          <w:rFonts w:ascii="Times New Roman" w:cs="Times New Roman" w:eastAsia="宋体" w:hAnsi="Times New Roman"/>
          <w:sz w:val="18"/>
          <w:szCs w:val="18"/>
        </w:rPr>
        <w:t xml:space="preserve">Task Decomposition and Node List of the Case</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节点编号</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节点内容</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所属环节</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N1</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界定使用对象的年龄段、使用情境与照护方式</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需求理解</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N2</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采集并整理儿童与照护者的需求陈述</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需求理解</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N3</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辨识陈述需求与实际使用困难之间的落差</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需求理解</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N4</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检索候选材料的性能参数</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信息收集</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N5</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查询玩具安全、卫生与可清洁性相关标准</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信息收集</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N6</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核验所得参数与标准的适用性与时效性</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信息收集</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N7</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确定材料的目标感知体验</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方案生成</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N8</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生成候选材料与表面处理方案的集合</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方案生成</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N9</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确定表面质感的具体分寸与色彩光泽取向</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方案生成</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N10</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在触感、耐久、易清洁与成本之间权衡</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方案筛选</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N11</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组织目标人群测试并解释测试结果</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验证优化</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N12</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作出安全性判定与最终选定</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验证优化</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4.4.3　逐节点判定</w:t>
      </w:r>
    </w:p>
    <w:p>
      <w:pPr>
        <w:spacing w:after="60" w:before="0" w:line="400" w:lineRule="auto"/>
        <w:ind w:firstLine="480"/>
        <w:jc w:val="both"/>
      </w:pPr>
      <w:r>
        <w:rPr>
          <w:rFonts w:ascii="Times New Roman" w:cs="Times New Roman" w:eastAsia="宋体" w:hAnsi="Times New Roman"/>
          <w:sz w:val="24"/>
          <w:szCs w:val="24"/>
        </w:rPr>
        <w:t xml:space="preserve">依 4.3.1 第二与第三步，对十二个节点逐一施以三条判据的提问，结果如表4-9所示。以下就其中三个判定结果较易引起分歧的节点作专门说明。</w:t>
      </w:r>
    </w:p>
    <w:p>
      <w:pPr>
        <w:spacing w:after="60" w:before="0" w:line="400" w:lineRule="auto"/>
        <w:ind w:firstLine="480"/>
        <w:jc w:val="both"/>
      </w:pPr>
      <w:r>
        <w:rPr>
          <w:rFonts w:ascii="Times New Roman" w:cs="Times New Roman" w:eastAsia="宋体" w:hAnsi="Times New Roman"/>
          <w:b/>
          <w:bCs/>
          <w:sz w:val="24"/>
          <w:szCs w:val="24"/>
        </w:rPr>
        <w:t xml:space="preserve">关于 N7 与 N9 的区分</w:t>
      </w:r>
      <w:r>
        <w:rPr>
          <w:rFonts w:ascii="Times New Roman" w:cs="Times New Roman" w:eastAsia="宋体" w:hAnsi="Times New Roman"/>
          <w:sz w:val="24"/>
          <w:szCs w:val="24"/>
        </w:rPr>
        <w:t xml:space="preserve">。N7 确定材料的目标感知体验，例如确定该产品应当给人以温暖、柔软而安心的感受，这一节点承载设计主张，满足判据三；N9 确定表面质感的具体分寸，即在既定方向之下决定粗糙度、光泽与色彩的具体取值，这一节点依赖手感与分寸的把握，满足判据一。二者常被合并为一句「确定材质」，但其判断性质不同，若不拆分，则 N9 极易随 N7 一同被笼统处理，或者相反，N7 随 N9 一同被交付工具。</w:t>
      </w:r>
    </w:p>
    <w:p>
      <w:pPr>
        <w:spacing w:after="60" w:before="0" w:line="400" w:lineRule="auto"/>
        <w:ind w:firstLine="480"/>
        <w:jc w:val="both"/>
      </w:pPr>
      <w:r>
        <w:rPr>
          <w:rFonts w:ascii="Times New Roman" w:cs="Times New Roman" w:eastAsia="宋体" w:hAnsi="Times New Roman"/>
          <w:b/>
          <w:bCs/>
          <w:sz w:val="24"/>
          <w:szCs w:val="24"/>
        </w:rPr>
        <w:t xml:space="preserve">关于 N8 的判定</w:t>
      </w:r>
      <w:r>
        <w:rPr>
          <w:rFonts w:ascii="Times New Roman" w:cs="Times New Roman" w:eastAsia="宋体" w:hAnsi="Times New Roman"/>
          <w:sz w:val="24"/>
          <w:szCs w:val="24"/>
        </w:rPr>
        <w:t xml:space="preserve">。N8 生成候选材料与表面处理方案的集合，其单个候选的产出确实可以交付工具，但集合的构成范围限定了 N10 的全部可选项，因而满足判据二，归入保留区。此处所要求的由人掌控，具体表现为设计者须事先设定集合应当覆盖的材料类别与体验区间，而非在模型给出的若干候选之间被动接受。这一要求正是第6章渐进式披露设计的作用位置。</w:t>
      </w:r>
    </w:p>
    <w:p>
      <w:pPr>
        <w:spacing w:after="60" w:before="0" w:line="400" w:lineRule="auto"/>
        <w:ind w:firstLine="480"/>
        <w:jc w:val="both"/>
      </w:pPr>
      <w:r>
        <w:rPr>
          <w:rFonts w:ascii="Times New Roman" w:cs="Times New Roman" w:eastAsia="宋体" w:hAnsi="Times New Roman"/>
          <w:b/>
          <w:bCs/>
          <w:sz w:val="24"/>
          <w:szCs w:val="24"/>
        </w:rPr>
        <w:t xml:space="preserve">关于 N5 与 N6 的分离</w:t>
      </w:r>
      <w:r>
        <w:rPr>
          <w:rFonts w:ascii="Times New Roman" w:cs="Times New Roman" w:eastAsia="宋体" w:hAnsi="Times New Roman"/>
          <w:sz w:val="24"/>
          <w:szCs w:val="24"/>
        </w:rPr>
        <w:t xml:space="preserve">。N5 查询标准，其结果客观可复现，归入可委托区；N6 核验所查标准是否适用于本产品的具体形态、使用方式与销售地区，且是否为现行有效版本，满足判据二，归入保留区。二者在实践中常被视为同一件事，而生成式模型恰恰可能给出不存在或已废止的标准编号，因此二者的分离在本案例中具有直接的安全意义。</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表4-9 案例的逐节点判定结果</w:t>
      </w:r>
    </w:p>
    <w:p>
      <w:pPr>
        <w:spacing w:after="0" w:before="0" w:line="300" w:lineRule="auto"/>
        <w:jc w:val="center"/>
      </w:pPr>
      <w:r>
        <w:rPr>
          <w:rFonts w:ascii="Times New Roman" w:cs="Times New Roman" w:eastAsia="宋体" w:hAnsi="Times New Roman"/>
          <w:sz w:val="18"/>
          <w:szCs w:val="18"/>
        </w:rPr>
        <w:t xml:space="preserve">Node-by-Node Assessment Results of the Case</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节点</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判据一 缄默性</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判据二 不可撤回性</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判据三 署名性</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归属</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满足条数</w:t>
            </w:r>
          </w:p>
        </w:tc>
        <w:tc>
          <w:tcPr>
            <w:tcW w:type="dxa" w:w="1292"/>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人机分工方式</w:t>
            </w:r>
          </w:p>
        </w:tc>
      </w:tr>
      <w:tr>
        <w:trPr>
          <w:tblHeader w:val="false"/>
        </w:trPr>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N1</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89"/>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w:t>
            </w:r>
          </w:p>
        </w:tc>
        <w:tc>
          <w:tcPr>
            <w:tcW w:type="dxa" w:w="1292"/>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设计者亲自界定，工具仅提供背景资料</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N2</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可委托区</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0</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工具整理，设计者抽样核验</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N3</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设计者经实地观察亲自辨识</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N4</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可委托区</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0</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工具检索，设计者核验来源</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N5</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可委托区</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0</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工具检索，须逐条回溯原文</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N6</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设计者亲自核验适用性与时效性</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N7</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设计者亲自确定并陈述理由</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N8</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设计者设定集合的覆盖范围，工具在范围内生成</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N9</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设计者以实物样板亲自判定</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N10</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工具提供属性对比，设计者亲自权衡</w:t>
            </w:r>
          </w:p>
        </w:tc>
      </w:tr>
      <w:tr>
        <w:trPr>
          <w:tblHeader w:val="false"/>
        </w:trPr>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N11</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c>
          <w:tcPr>
            <w:tcW w:type="dxa" w:w="12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工具作统计分析，设计者亲自解释</w:t>
            </w:r>
          </w:p>
        </w:tc>
      </w:tr>
      <w:tr>
        <w:trPr>
          <w:tblHeader w:val="false"/>
        </w:trPr>
        <w:tc>
          <w:tcPr>
            <w:tcW w:type="dxa" w:w="12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N12</w:t>
            </w:r>
          </w:p>
        </w:tc>
        <w:tc>
          <w:tcPr>
            <w:tcW w:type="dxa" w:w="12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2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2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w:t>
            </w:r>
          </w:p>
        </w:tc>
        <w:tc>
          <w:tcPr>
            <w:tcW w:type="dxa" w:w="12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w:t>
            </w:r>
          </w:p>
        </w:tc>
        <w:tc>
          <w:tcPr>
            <w:tcW w:type="dxa" w:w="129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设计者亲自判定并署名承担</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4.4.4　判定结果与人机分工方案</w:t>
      </w:r>
    </w:p>
    <w:p>
      <w:pPr>
        <w:spacing w:after="60" w:before="0" w:line="400" w:lineRule="auto"/>
        <w:ind w:firstLine="480"/>
        <w:jc w:val="both"/>
      </w:pPr>
      <w:r>
        <w:rPr>
          <w:rFonts w:ascii="Times New Roman" w:cs="Times New Roman" w:eastAsia="宋体" w:hAnsi="Times New Roman"/>
          <w:sz w:val="24"/>
          <w:szCs w:val="24"/>
        </w:rPr>
        <w:t xml:space="preserve">判定结果显示，十二个节点中有九个落入判断保留区，三个落入可委托区，保留区密度高于 4.3.7 所给出的全流程平均水平。其原因在于，本案例的使用对象为学龄前儿童，判据二在安全相关节点上的作用被显著放大；同时，材料的感知体验高度依赖手感，判据一的作用亦强于一般任务。这一结果本身即说明，边界图谱所给出的是典型分布而非固定清单，具体项目须依其对象与情境重新判定。</w:t>
      </w:r>
    </w:p>
    <w:p>
      <w:pPr>
        <w:spacing w:after="60" w:before="0" w:line="400" w:lineRule="auto"/>
        <w:ind w:firstLine="480"/>
        <w:jc w:val="both"/>
      </w:pPr>
      <w:r>
        <w:rPr>
          <w:rFonts w:ascii="Times New Roman" w:cs="Times New Roman" w:eastAsia="宋体" w:hAnsi="Times New Roman"/>
          <w:sz w:val="24"/>
          <w:szCs w:val="24"/>
        </w:rPr>
        <w:t xml:space="preserve">依判定结果所形成的人机分工方案，如表4-9末列所示，其要点有三。第一，保留区节点并非排斥工具，而是改变工具的角色：在 N1 中工具提供背景资料，在 N10 中工具提供属性对比，在 N11 中工具承担统计分析，但作出判断的始终是设计者。第二，可委托区节点均附核验义务，其中 N5 因涉及安全，其核验强度最高，须逐条回溯标准原文而非接受模型的转述。第三，N8 的分工方式最具代表性，即设计者设定范围、工具在范围内生成，这一方式将范围性让渡的发生位置重新交回人手，是本书干预设计的基本形态。</w:t>
      </w:r>
    </w:p>
    <w:p>
      <w:pPr>
        <w:spacing w:after="120" w:before="120" w:line="400" w:lineRule="auto"/>
        <w:jc w:val="center"/>
      </w:pPr>
      <w:r>
        <w:rPr>
          <w:rFonts w:ascii="Times New Roman" w:cs="Times New Roman" w:eastAsia="宋体" w:hAnsi="Times New Roman"/>
          <w:color w:val="808080"/>
          <w:sz w:val="24"/>
          <w:szCs w:val="24"/>
        </w:rPr>
        <w:t xml:space="preserve">［此处插入图4-3］</w:t>
      </w:r>
    </w:p>
    <w:p>
      <w:pPr>
        <w:spacing w:after="0" w:before="0" w:line="300" w:lineRule="auto"/>
        <w:jc w:val="center"/>
      </w:pPr>
      <w:r>
        <w:rPr>
          <w:rFonts w:ascii="Times New Roman" w:cs="Times New Roman" w:eastAsia="宋体" w:hAnsi="Times New Roman"/>
          <w:sz w:val="18"/>
          <w:szCs w:val="18"/>
        </w:rPr>
        <w:t xml:space="preserve">图4-3 案例的人机分工方案</w:t>
      </w:r>
    </w:p>
    <w:p>
      <w:pPr>
        <w:spacing w:after="0" w:before="0" w:line="300" w:lineRule="auto"/>
        <w:jc w:val="center"/>
      </w:pPr>
      <w:r>
        <w:rPr>
          <w:rFonts w:ascii="Times New Roman" w:cs="Times New Roman" w:eastAsia="宋体" w:hAnsi="Times New Roman"/>
          <w:sz w:val="18"/>
          <w:szCs w:val="18"/>
        </w:rPr>
        <w:t xml:space="preserve">The Human-Machine Division of Labor in the Case</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4.4.5　案例所暴露的判据适用限度</w:t>
      </w:r>
    </w:p>
    <w:p>
      <w:pPr>
        <w:spacing w:after="60" w:before="0" w:line="400" w:lineRule="auto"/>
        <w:ind w:firstLine="480"/>
        <w:jc w:val="both"/>
      </w:pPr>
      <w:r>
        <w:rPr>
          <w:rFonts w:ascii="Times New Roman" w:cs="Times New Roman" w:eastAsia="宋体" w:hAnsi="Times New Roman"/>
          <w:sz w:val="24"/>
          <w:szCs w:val="24"/>
        </w:rPr>
        <w:t xml:space="preserve">本案例同时暴露出三处判据在运用中的困难，须予坦陈。</w:t>
      </w:r>
    </w:p>
    <w:p>
      <w:pPr>
        <w:spacing w:after="60" w:before="0" w:line="400" w:lineRule="auto"/>
        <w:ind w:firstLine="480"/>
        <w:jc w:val="both"/>
      </w:pPr>
      <w:r>
        <w:rPr>
          <w:rFonts w:ascii="Times New Roman" w:cs="Times New Roman" w:eastAsia="宋体" w:hAnsi="Times New Roman"/>
          <w:sz w:val="24"/>
          <w:szCs w:val="24"/>
        </w:rPr>
        <w:t xml:space="preserve">第一，节点粒度的确定缺乏客观标准。4.3.1 规定拆解的粒度以节点具有单一的判断性质为准，但何谓单一，在实际操作中仍有赖于判定者的经验。N7 与 N9 之所以被拆开，正是因为本书事先知道二者的判断性质不同；而一位不熟悉材料工作的判定者可能不会作此拆分，其判定结果因而不同。粒度的不一致将直接影响判定结论的可复现性。</w:t>
      </w:r>
    </w:p>
    <w:p>
      <w:pPr>
        <w:spacing w:after="60" w:before="0" w:line="400" w:lineRule="auto"/>
        <w:ind w:firstLine="480"/>
        <w:jc w:val="both"/>
      </w:pPr>
      <w:r>
        <w:rPr>
          <w:rFonts w:ascii="Times New Roman" w:cs="Times New Roman" w:eastAsia="宋体" w:hAnsi="Times New Roman"/>
          <w:sz w:val="24"/>
          <w:szCs w:val="24"/>
        </w:rPr>
        <w:t xml:space="preserve">第二，判据二的判定依赖对后续流程的预见。判断某一节点是否难以撤回，须知道有多少后续工作将建立于其上，而这在项目前期往往并不明朗。本案例中 N8 之所以被判为满足判据二，是因为本书已经知道 N10 将在其给定的集合内进行；而在真实项目中，此种前瞻并非总能作出。</w:t>
      </w:r>
    </w:p>
    <w:p>
      <w:pPr>
        <w:spacing w:after="60" w:before="0" w:line="400" w:lineRule="auto"/>
        <w:ind w:firstLine="480"/>
        <w:jc w:val="both"/>
      </w:pPr>
      <w:r>
        <w:rPr>
          <w:rFonts w:ascii="Times New Roman" w:cs="Times New Roman" w:eastAsia="宋体" w:hAnsi="Times New Roman"/>
          <w:sz w:val="24"/>
          <w:szCs w:val="24"/>
        </w:rPr>
        <w:t xml:space="preserve">第三，判据三在团队协作中的归属不明。署名性判据以设计者个人的认领为依据，但在多人协作的项目中，一项判断的署名往往属于团队而非个人，此时该判据的提问形式须作调整，例如改为团队是否会在署名意义上认领这一判断。本书对团队情境下的署名归属未作展开，这一问题与第7章的责任划分直接相关，留待该章处理。</w:t>
      </w:r>
    </w:p>
    <w:p>
      <w:pPr>
        <w:spacing w:after="60" w:before="0" w:line="400" w:lineRule="auto"/>
        <w:ind w:firstLine="480"/>
        <w:jc w:val="both"/>
      </w:pPr>
      <w:r>
        <w:rPr>
          <w:rFonts w:ascii="Times New Roman" w:cs="Times New Roman" w:eastAsia="宋体" w:hAnsi="Times New Roman"/>
          <w:sz w:val="24"/>
          <w:szCs w:val="24"/>
        </w:rPr>
        <w:t xml:space="preserve">以上三处困难均不构成对判据的否定，但它们表明，判据的可复现性尚未达到可以脱离判定者经验而独立运作的程度。因此，本书对判据效力的表述保持克制：三条判据足以使不可让渡的判断这一原本只能诉诸直觉的问题获得可定位、可讨论、可检验亦可被反驳的形式，但其判定结论的一致性仍有待专门的信度研究予以检验。</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4.5　判据的限度与后续工作</w:t>
      </w:r>
    </w:p>
    <w:p>
      <w:pPr>
        <w:spacing w:after="60" w:before="0" w:line="400" w:lineRule="auto"/>
        <w:ind w:firstLine="480"/>
        <w:jc w:val="both"/>
      </w:pPr>
      <w:r>
        <w:rPr>
          <w:rFonts w:ascii="Times New Roman" w:cs="Times New Roman" w:eastAsia="宋体" w:hAnsi="Times New Roman"/>
          <w:sz w:val="24"/>
          <w:szCs w:val="24"/>
        </w:rPr>
        <w:t xml:space="preserve">本节说明本章工作的三项限度，并交代其与后续各章的衔接关系。</w:t>
      </w:r>
    </w:p>
    <w:p>
      <w:pPr>
        <w:pStyle w:val="Heading3"/>
        <w:spacing w:after="160" w:before="240" w:line="360" w:lineRule="auto"/>
        <w:jc w:val="left"/>
      </w:pPr>
      <w:r>
        <w:rPr>
          <w:rFonts w:ascii="Times New Roman" w:cs="Times New Roman" w:eastAsia="黑体" w:hAnsi="Times New Roman"/>
          <w:b/>
          <w:bCs/>
          <w:sz w:val="24"/>
          <w:szCs w:val="24"/>
        </w:rPr>
        <w:t xml:space="preserve">4.5.1　三项限度</w:t>
      </w:r>
    </w:p>
    <w:p>
      <w:pPr>
        <w:spacing w:after="60" w:before="0" w:line="400" w:lineRule="auto"/>
        <w:ind w:firstLine="480"/>
        <w:jc w:val="both"/>
      </w:pPr>
      <w:r>
        <w:rPr>
          <w:rFonts w:ascii="Times New Roman" w:cs="Times New Roman" w:eastAsia="宋体" w:hAnsi="Times New Roman"/>
          <w:sz w:val="24"/>
          <w:szCs w:val="24"/>
        </w:rPr>
        <w:t xml:space="preserve">第一，判据回答何处不可让渡，不回答如何维系。判据划出了保留区，但并未说明当设计者已经习惯于卸载时，如何使其重新在保留区节点上亲自作出判断。这一问题属于干预机制的范畴，由第6章承担。</w:t>
      </w:r>
    </w:p>
    <w:p>
      <w:pPr>
        <w:spacing w:after="60" w:before="0" w:line="400" w:lineRule="auto"/>
        <w:ind w:firstLine="480"/>
        <w:jc w:val="both"/>
      </w:pPr>
      <w:r>
        <w:rPr>
          <w:rFonts w:ascii="Times New Roman" w:cs="Times New Roman" w:eastAsia="宋体" w:hAnsi="Times New Roman"/>
          <w:sz w:val="24"/>
          <w:szCs w:val="24"/>
        </w:rPr>
        <w:t xml:space="preserve">第二，判据是静态的，而卸载是动态的。三条判据依任务性质作出判定，其结论在同一项目内是稳定的；但设计者在保留区节点上的实际行为会随时间推移而变化，即今日亲自作出者明日可能交付工具。此种变化的发生机制不在本章的处理范围之内，由第5章承担。</w:t>
      </w:r>
    </w:p>
    <w:p>
      <w:pPr>
        <w:spacing w:after="60" w:before="0" w:line="400" w:lineRule="auto"/>
        <w:ind w:firstLine="480"/>
        <w:jc w:val="both"/>
      </w:pPr>
      <w:r>
        <w:rPr>
          <w:rFonts w:ascii="Times New Roman" w:cs="Times New Roman" w:eastAsia="宋体" w:hAnsi="Times New Roman"/>
          <w:sz w:val="24"/>
          <w:szCs w:val="24"/>
        </w:rPr>
        <w:t xml:space="preserve">第三，判定结论本身无强制力。判据可以指出某一节点应由人亲自作出，却无法保证它确实由人作出，亦无法在事后证明它是否由人作出。这一问题须由过程记录来解决，由第7章的决策溯源方法承担。其中，本章 4.3.6 所提出的节点缺失现象，即节点既未由人作出也未由机器作出而是根本没有发生，尤须依赖溯源方法方能识别。</w:t>
      </w:r>
    </w:p>
    <w:p>
      <w:pPr>
        <w:pStyle w:val="Heading3"/>
        <w:spacing w:after="160" w:before="240" w:line="360" w:lineRule="auto"/>
        <w:jc w:val="left"/>
      </w:pPr>
      <w:r>
        <w:rPr>
          <w:rFonts w:ascii="Times New Roman" w:cs="Times New Roman" w:eastAsia="黑体" w:hAnsi="Times New Roman"/>
          <w:b/>
          <w:bCs/>
          <w:sz w:val="24"/>
          <w:szCs w:val="24"/>
        </w:rPr>
        <w:t xml:space="preserve">4.5.2　与后续章节的衔接</w:t>
      </w:r>
    </w:p>
    <w:p>
      <w:pPr>
        <w:spacing w:after="60" w:before="0" w:line="400" w:lineRule="auto"/>
        <w:ind w:firstLine="480"/>
        <w:jc w:val="both"/>
      </w:pPr>
      <w:r>
        <w:rPr>
          <w:rFonts w:ascii="Times New Roman" w:cs="Times New Roman" w:eastAsia="宋体" w:hAnsi="Times New Roman"/>
          <w:sz w:val="24"/>
          <w:szCs w:val="24"/>
        </w:rPr>
        <w:t xml:space="preserve">三项限度恰好对应本书后续三章的分工，其衔接关系如表4-10与图4-4所示。本章所划定的保留区，在第5章成为衰减发生位置的定位依据，在第6章成为干预投放位置的选择依据，在第7章成为溯源记录范围的确定依据。三章共用同一套边界，是本书各部分得以相互衔接的关键。</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表4-10 本章限度与后续章节的分工</w:t>
      </w:r>
    </w:p>
    <w:p>
      <w:pPr>
        <w:spacing w:after="0" w:before="0" w:line="300" w:lineRule="auto"/>
        <w:jc w:val="center"/>
      </w:pPr>
      <w:r>
        <w:rPr>
          <w:rFonts w:ascii="Times New Roman" w:cs="Times New Roman" w:eastAsia="宋体" w:hAnsi="Times New Roman"/>
          <w:sz w:val="18"/>
          <w:szCs w:val="18"/>
        </w:rPr>
        <w:t xml:space="preserve">The Limitations of This Chapter and the Division of Labor with Subsequent Chapters</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本章未能回答的问题</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承担章节</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该章如何使用本章成果</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衰减在何处、经由何种机制发生</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第5章</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以保留区节点作为衰减发生位置的定位依据</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如何使设计者在保留区节点上重新亲自作出判断</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第6章</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以保留区节点作为干预投放位置，以满足判据的条数作为干预强度分级依据</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如何证明某一节点确由人作出</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第7章</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以保留区节点作为溯源记录的必录范围，并识别节点缺失</w:t>
            </w:r>
          </w:p>
        </w:tc>
      </w:tr>
    </w:tbl>
    <w:p>
      <w:pPr>
        <w:spacing w:line="200" w:lineRule="auto"/>
      </w:pPr>
      <w:r>
        <w:rPr>
          <w:sz w:val="18"/>
          <w:szCs w:val="18"/>
        </w:rPr>
        <w:t xml:space="preserve"/>
      </w:r>
    </w:p>
    <w:p>
      <w:pPr>
        <w:spacing w:after="120" w:before="120" w:line="400" w:lineRule="auto"/>
        <w:jc w:val="center"/>
      </w:pPr>
      <w:r>
        <w:rPr>
          <w:rFonts w:ascii="Times New Roman" w:cs="Times New Roman" w:eastAsia="宋体" w:hAnsi="Times New Roman"/>
          <w:color w:val="808080"/>
          <w:sz w:val="24"/>
          <w:szCs w:val="24"/>
        </w:rPr>
        <w:t xml:space="preserve">［此处插入图4-4］</w:t>
      </w:r>
    </w:p>
    <w:p>
      <w:pPr>
        <w:spacing w:after="0" w:before="0" w:line="300" w:lineRule="auto"/>
        <w:jc w:val="center"/>
      </w:pPr>
      <w:r>
        <w:rPr>
          <w:rFonts w:ascii="Times New Roman" w:cs="Times New Roman" w:eastAsia="宋体" w:hAnsi="Times New Roman"/>
          <w:sz w:val="18"/>
          <w:szCs w:val="18"/>
        </w:rPr>
        <w:t xml:space="preserve">图4-4 边界判据与后续三章的衔接关系</w:t>
      </w:r>
    </w:p>
    <w:p>
      <w:pPr>
        <w:spacing w:after="0" w:before="0" w:line="300" w:lineRule="auto"/>
        <w:jc w:val="center"/>
      </w:pPr>
      <w:r>
        <w:rPr>
          <w:rFonts w:ascii="Times New Roman" w:cs="Times New Roman" w:eastAsia="宋体" w:hAnsi="Times New Roman"/>
          <w:sz w:val="18"/>
          <w:szCs w:val="18"/>
        </w:rPr>
        <w:t xml:space="preserve">The Articulation between the Boundary Criteria and the Three Subsequent Chapters</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2"/>
        <w:spacing w:after="220" w:before="400" w:line="360" w:lineRule="auto"/>
        <w:jc w:val="left"/>
      </w:pPr>
      <w:r>
        <w:rPr>
          <w:rFonts w:ascii="Times New Roman" w:cs="Times New Roman" w:eastAsia="黑体" w:hAnsi="Times New Roman"/>
          <w:b w:val="false"/>
          <w:bCs w:val="false"/>
          <w:sz w:val="28"/>
          <w:szCs w:val="28"/>
        </w:rPr>
        <w:t xml:space="preserve">4.6　本章小结</w:t>
      </w:r>
    </w:p>
    <w:p>
      <w:pPr>
        <w:spacing w:after="60" w:before="0" w:line="400" w:lineRule="auto"/>
        <w:ind w:firstLine="480"/>
        <w:jc w:val="both"/>
      </w:pPr>
      <w:r>
        <w:rPr>
          <w:rFonts w:ascii="Times New Roman" w:cs="Times New Roman" w:eastAsia="宋体" w:hAnsi="Times New Roman"/>
          <w:sz w:val="24"/>
          <w:szCs w:val="24"/>
        </w:rPr>
        <w:t xml:space="preserve">本章建立了认知卸载边界的识别方法。首先，本章指出当前边界由工具默认设定所形成，其划界依据与划界目的不相干、外推无停止机制且实际位置不可见，因而需要一套可事先判定、可操作、不依赖工具能力且宽窄适中的判据；并在检讨自动化层级、人的监督形态与风险等级三类既有思路之后，确定以任务节点而非流程环节作为判据的施加对象。</w:t>
      </w:r>
    </w:p>
    <w:p>
      <w:pPr>
        <w:spacing w:after="60" w:before="0" w:line="400" w:lineRule="auto"/>
        <w:ind w:firstLine="480"/>
        <w:jc w:val="both"/>
      </w:pPr>
      <w:r>
        <w:rPr>
          <w:rFonts w:ascii="Times New Roman" w:cs="Times New Roman" w:eastAsia="宋体" w:hAnsi="Times New Roman"/>
          <w:sz w:val="24"/>
          <w:szCs w:val="24"/>
        </w:rPr>
        <w:t xml:space="preserve">其次，本章提出了判断保留区的三条判据，即缄默性、不可撤回性与署名性，给出了各自的操作性提问与判定信号，确立了满足其一即归入保留区的析取规则，并对每一条判据分别施以正面例证与反例检验，以确认其宽窄适中。</w:t>
      </w:r>
    </w:p>
    <w:p>
      <w:pPr>
        <w:spacing w:after="60" w:before="0" w:line="400" w:lineRule="auto"/>
        <w:ind w:firstLine="480"/>
        <w:jc w:val="both"/>
      </w:pPr>
      <w:r>
        <w:rPr>
          <w:rFonts w:ascii="Times New Roman" w:cs="Times New Roman" w:eastAsia="宋体" w:hAnsi="Times New Roman"/>
          <w:sz w:val="24"/>
          <w:szCs w:val="24"/>
        </w:rPr>
        <w:t xml:space="preserve">再次，本章以三条判据逐一判定了设计全流程五个环节的十九个典型节点，形成了认知卸载边界图谱。图谱显示，保留区散布于十二个具体节点而非成片分布，其密度与第1章所判渗透深度存在系统性错位，其中方案生成环节的错位最为严重；满足两条及以上判据的七个节点构成保留区的核心。</w:t>
      </w:r>
    </w:p>
    <w:p>
      <w:pPr>
        <w:spacing w:after="60" w:before="0" w:line="400" w:lineRule="auto"/>
        <w:ind w:firstLine="480"/>
        <w:jc w:val="both"/>
      </w:pPr>
      <w:r>
        <w:rPr>
          <w:rFonts w:ascii="Times New Roman" w:cs="Times New Roman" w:eastAsia="宋体" w:hAnsi="Times New Roman"/>
          <w:sz w:val="24"/>
          <w:szCs w:val="24"/>
        </w:rPr>
        <w:t xml:space="preserve">最后，本章以陪伴机器人外部表面材料选择为完整案例，逐节点检验了判据的可操作性，给出了相应的人机分工方案，并坦陈了案例所暴露的三处适用限度，即节点粒度缺乏客观标准、判据二的判定依赖对后续流程的预见、判据三在团队协作中的归属不明。</w:t>
      </w:r>
    </w:p>
    <w:p>
      <w:pPr>
        <w:spacing w:after="60" w:before="0" w:line="400" w:lineRule="auto"/>
        <w:ind w:firstLine="480"/>
        <w:jc w:val="both"/>
      </w:pPr>
      <w:r>
        <w:rPr>
          <w:rFonts w:ascii="Times New Roman" w:cs="Times New Roman" w:eastAsia="宋体" w:hAnsi="Times New Roman"/>
          <w:sz w:val="24"/>
          <w:szCs w:val="24"/>
        </w:rPr>
        <w:t xml:space="preserve">本章划出了不可让渡的边界，但尚未回答一个机制层面的问题：设计者的判断能力究竟在何处、经由何种路径、在何种条件下发生衰减？若不了解衰减的机制，则干预将无从确定其作用位置与作用时机。本书将在第5章中处理这一问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2026-08-30T10:12:38.786Z</dcterms:created>
  <dcterms:modified xsi:type="dcterms:W3CDTF">2026-08-30T10:12:38.787Z</dcterms:modified>
</cp:coreProperties>
</file>

<file path=docProps/custom.xml><?xml version="1.0" encoding="utf-8"?>
<Properties xmlns="http://schemas.openxmlformats.org/officeDocument/2006/custom-properties" xmlns:vt="http://schemas.openxmlformats.org/officeDocument/2006/docPropsVTypes"/>
</file>