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480" w:line="360" w:lineRule="auto"/>
        <w:jc w:val="center"/>
      </w:pPr>
      <w:r>
        <w:rPr>
          <w:rFonts w:ascii="Times New Roman" w:cs="Times New Roman" w:eastAsia="黑体" w:hAnsi="Times New Roman"/>
          <w:b w:val="false"/>
          <w:bCs w:val="false"/>
          <w:sz w:val="32"/>
          <w:szCs w:val="32"/>
        </w:rPr>
        <w:t xml:space="preserve">第4章　配图设计稿、尾注清单与撰写说明</w:t>
      </w:r>
    </w:p>
    <w:p>
      <w:pPr>
        <w:spacing w:after="60" w:before="0" w:line="400" w:lineRule="auto"/>
        <w:ind w:firstLine="480"/>
        <w:jc w:val="both"/>
      </w:pPr>
      <w:r>
        <w:rPr>
          <w:rFonts w:ascii="Times New Roman" w:cs="Times New Roman" w:eastAsia="宋体" w:hAnsi="Times New Roman"/>
          <w:sz w:val="24"/>
          <w:szCs w:val="24"/>
        </w:rPr>
        <w:t xml:space="preserve">配套《第4章-边界判据-初稿》使用。</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一、配图设计稿（4 幅）</w:t>
      </w:r>
    </w:p>
    <w:p>
      <w:pPr>
        <w:spacing w:after="60" w:before="0" w:line="400" w:lineRule="auto"/>
        <w:ind w:firstLine="480"/>
        <w:jc w:val="both"/>
      </w:pPr>
      <w:r>
        <w:rPr>
          <w:rFonts w:ascii="Times New Roman" w:cs="Times New Roman" w:eastAsia="宋体" w:hAnsi="Times New Roman"/>
          <w:sz w:val="24"/>
          <w:szCs w:val="24"/>
        </w:rPr>
        <w:t xml:space="preserve">图题一律置于图下，三行：中文题 / 英文题（Title Case）/（图片来源：作者自绘）。以下为绘制依据，画好后按正文中「［此处插入图4-X］」的位置替换即可。</w:t>
      </w:r>
    </w:p>
    <w:p>
      <w:pPr>
        <w:pStyle w:val="Heading3"/>
        <w:spacing w:after="160" w:before="240" w:line="360" w:lineRule="auto"/>
        <w:jc w:val="left"/>
      </w:pPr>
      <w:r>
        <w:rPr>
          <w:rFonts w:ascii="Times New Roman" w:cs="Times New Roman" w:eastAsia="黑体" w:hAnsi="Times New Roman"/>
          <w:b/>
          <w:bCs/>
          <w:sz w:val="24"/>
          <w:szCs w:val="24"/>
        </w:rPr>
        <w:t xml:space="preserve">图4-1　判断保留区与可委托区的判定流程</w:t>
      </w:r>
    </w:p>
    <w:p>
      <w:pPr>
        <w:spacing w:after="60" w:before="0" w:line="400" w:lineRule="auto"/>
        <w:ind w:firstLine="480"/>
        <w:jc w:val="both"/>
      </w:pPr>
      <w:r>
        <w:rPr>
          <w:rFonts w:ascii="Times New Roman" w:cs="Times New Roman" w:eastAsia="宋体" w:hAnsi="Times New Roman"/>
          <w:b/>
          <w:bCs/>
          <w:sz w:val="24"/>
          <w:szCs w:val="24"/>
        </w:rPr>
        <w:t xml:space="preserve">位置</w:t>
      </w:r>
      <w:r>
        <w:rPr>
          <w:rFonts w:ascii="Times New Roman" w:cs="Times New Roman" w:eastAsia="宋体" w:hAnsi="Times New Roman"/>
          <w:sz w:val="24"/>
          <w:szCs w:val="24"/>
        </w:rPr>
        <w:t xml:space="preserve">：4.2.2 节，第二段之后。</w:t>
      </w:r>
      <w:r>
        <w:rPr>
          <w:rFonts w:ascii="Times New Roman" w:cs="Times New Roman" w:eastAsia="宋体" w:hAnsi="Times New Roman"/>
          <w:b/>
          <w:bCs/>
          <w:sz w:val="24"/>
          <w:szCs w:val="24"/>
        </w:rPr>
        <w:t xml:space="preserve">类型</w:t>
      </w:r>
      <w:r>
        <w:rPr>
          <w:rFonts w:ascii="Times New Roman" w:cs="Times New Roman" w:eastAsia="宋体" w:hAnsi="Times New Roman"/>
          <w:sz w:val="24"/>
          <w:szCs w:val="24"/>
        </w:rPr>
        <w:t xml:space="preserve">：判定流程图（析取式判定树）。</w:t>
      </w:r>
    </w:p>
    <w:p>
      <w:pPr>
        <w:spacing w:after="60" w:before="0" w:line="400" w:lineRule="auto"/>
        <w:ind w:firstLine="480"/>
        <w:jc w:val="both"/>
      </w:pPr>
      <w:r>
        <w:rPr>
          <w:rFonts w:ascii="Times New Roman" w:cs="Times New Roman" w:eastAsia="宋体" w:hAnsi="Times New Roman"/>
          <w:b/>
          <w:bCs/>
          <w:sz w:val="24"/>
          <w:szCs w:val="24"/>
        </w:rPr>
        <w:t xml:space="preserve">结构</w:t>
      </w:r>
      <w:r>
        <w:rPr>
          <w:rFonts w:ascii="Times New Roman" w:cs="Times New Roman" w:eastAsia="宋体" w:hAnsi="Times New Roman"/>
          <w:sz w:val="24"/>
          <w:szCs w:val="24"/>
        </w:rPr>
        <w:t xml:space="preserve">：顶部起点框「一个任务节点」，向下依次经过三个菱形判定框：「是否依赖长期积累的缄默经验与专业直觉？」「一旦失误是否难以撤回？」「是否承载审美主张与创作署名？」。三个菱形的「是」分支均向右汇入同一个终点框「判断保留区：由设计者亲自作出」；只有三个菱形均判「否」时，才向下抵达另一终点框「可委托区：委托后核验」。在「判断保留区」框右侧再接一个小框「记录满足条数，作为干预强度分级依据」；在「可委托区」框右侧接一个小框「附核验义务，核验强度依后果严重程度设定」。</w:t>
      </w:r>
    </w:p>
    <w:p>
      <w:pPr>
        <w:spacing w:after="60" w:before="0" w:line="400" w:lineRule="auto"/>
        <w:ind w:firstLine="480"/>
        <w:jc w:val="both"/>
      </w:pPr>
      <w:r>
        <w:rPr>
          <w:rFonts w:ascii="Times New Roman" w:cs="Times New Roman" w:eastAsia="宋体" w:hAnsi="Times New Roman"/>
          <w:b/>
          <w:bCs/>
          <w:sz w:val="24"/>
          <w:szCs w:val="24"/>
        </w:rPr>
        <w:t xml:space="preserve">要点</w:t>
      </w:r>
      <w:r>
        <w:rPr>
          <w:rFonts w:ascii="Times New Roman" w:cs="Times New Roman" w:eastAsia="宋体" w:hAnsi="Times New Roman"/>
          <w:sz w:val="24"/>
          <w:szCs w:val="24"/>
        </w:rPr>
        <w:t xml:space="preserve">：三个「是」分支必须汇入同一终点，这是析取规则的图示；若画成三条并列通道通向三种不同结果，则规则被误读为合取或分级。两个终点框的视觉权重相当，以呼应正文「边界所划分的不是管与不管，而是亲自作出与委托后核验」。</w:t>
      </w:r>
    </w:p>
    <w:p>
      <w:pPr>
        <w:pStyle w:val="Heading3"/>
        <w:spacing w:after="160" w:before="240" w:line="360" w:lineRule="auto"/>
        <w:jc w:val="left"/>
      </w:pPr>
      <w:r>
        <w:rPr>
          <w:rFonts w:ascii="Times New Roman" w:cs="Times New Roman" w:eastAsia="黑体" w:hAnsi="Times New Roman"/>
          <w:b/>
          <w:bCs/>
          <w:sz w:val="24"/>
          <w:szCs w:val="24"/>
        </w:rPr>
        <w:t xml:space="preserve">图4-2　认知卸载边界图谱</w:t>
      </w:r>
    </w:p>
    <w:p>
      <w:pPr>
        <w:spacing w:after="60" w:before="0" w:line="400" w:lineRule="auto"/>
        <w:ind w:firstLine="480"/>
        <w:jc w:val="both"/>
      </w:pPr>
      <w:r>
        <w:rPr>
          <w:rFonts w:ascii="Times New Roman" w:cs="Times New Roman" w:eastAsia="宋体" w:hAnsi="Times New Roman"/>
          <w:b/>
          <w:bCs/>
          <w:sz w:val="24"/>
          <w:szCs w:val="24"/>
        </w:rPr>
        <w:t xml:space="preserve">位置</w:t>
      </w:r>
      <w:r>
        <w:rPr>
          <w:rFonts w:ascii="Times New Roman" w:cs="Times New Roman" w:eastAsia="宋体" w:hAnsi="Times New Roman"/>
          <w:sz w:val="24"/>
          <w:szCs w:val="24"/>
        </w:rPr>
        <w:t xml:space="preserve">：4.3.7 节，表4-6 之后。</w:t>
      </w:r>
      <w:r>
        <w:rPr>
          <w:rFonts w:ascii="Times New Roman" w:cs="Times New Roman" w:eastAsia="宋体" w:hAnsi="Times New Roman"/>
          <w:b/>
          <w:bCs/>
          <w:sz w:val="24"/>
          <w:szCs w:val="24"/>
        </w:rPr>
        <w:t xml:space="preserve">类型</w:t>
      </w:r>
      <w:r>
        <w:rPr>
          <w:rFonts w:ascii="Times New Roman" w:cs="Times New Roman" w:eastAsia="宋体" w:hAnsi="Times New Roman"/>
          <w:sz w:val="24"/>
          <w:szCs w:val="24"/>
        </w:rPr>
        <w:t xml:space="preserve">：五栏泳道图（本章主图）。</w:t>
      </w:r>
    </w:p>
    <w:p>
      <w:pPr>
        <w:spacing w:after="60" w:before="0" w:line="400" w:lineRule="auto"/>
        <w:ind w:firstLine="480"/>
        <w:jc w:val="both"/>
      </w:pPr>
      <w:r>
        <w:rPr>
          <w:rFonts w:ascii="Times New Roman" w:cs="Times New Roman" w:eastAsia="宋体" w:hAnsi="Times New Roman"/>
          <w:b/>
          <w:bCs/>
          <w:sz w:val="24"/>
          <w:szCs w:val="24"/>
        </w:rPr>
        <w:t xml:space="preserve">结构</w:t>
      </w:r>
      <w:r>
        <w:rPr>
          <w:rFonts w:ascii="Times New Roman" w:cs="Times New Roman" w:eastAsia="宋体" w:hAnsi="Times New Roman"/>
          <w:sz w:val="24"/>
          <w:szCs w:val="24"/>
        </w:rPr>
        <w:t xml:space="preserve">：横向五个泳道，自左至右为需求理解、信息收集、方案生成、方案筛选、验证优化。每个泳道内按正文顺序纵向排列该环节的典型节点方框，共 19 个。保留区节点以实心底色绘制，可委托区节点以空心细线框绘制，二者对比须明显。每个保留区节点的方框内右上角标出其满足的判据条数（1 或 2），满足 2 条者再加重描边，构成保留区的核心。泳道底部各加一条数据条，标出该环节的保留区密度（2/4、1/3、4/5、2/3、3/4）。图的下方另加一条横贯全图的浅色条带，标出第1章所判各环节的渗透深度（中、深、最深、浅、最浅），与上方的保留区密度形成上下对照。</w:t>
      </w:r>
    </w:p>
    <w:p>
      <w:pPr>
        <w:spacing w:after="60" w:before="0" w:line="400" w:lineRule="auto"/>
        <w:ind w:firstLine="480"/>
        <w:jc w:val="both"/>
      </w:pPr>
      <w:r>
        <w:rPr>
          <w:rFonts w:ascii="Times New Roman" w:cs="Times New Roman" w:eastAsia="宋体" w:hAnsi="Times New Roman"/>
          <w:b/>
          <w:bCs/>
          <w:sz w:val="24"/>
          <w:szCs w:val="24"/>
        </w:rPr>
        <w:t xml:space="preserve">要点</w:t>
      </w:r>
      <w:r>
        <w:rPr>
          <w:rFonts w:ascii="Times New Roman" w:cs="Times New Roman" w:eastAsia="宋体" w:hAnsi="Times New Roman"/>
          <w:sz w:val="24"/>
          <w:szCs w:val="24"/>
        </w:rPr>
        <w:t xml:space="preserve">：全图的信息落点是「上密下浅」与「上疏下深」的错位，尤其方案生成一栏（保留区最密而渗透最深）与信息收集一栏（保留区最疏而渗透亦深）。这两栏建议以标注线专门指出，其余不加标注，避免图面失焦。配色须保证黑白印刷下实心与空心仍可分辨，不可仅以色相区分。</w:t>
      </w:r>
    </w:p>
    <w:p>
      <w:pPr>
        <w:pStyle w:val="Heading3"/>
        <w:spacing w:after="160" w:before="240" w:line="360" w:lineRule="auto"/>
        <w:jc w:val="left"/>
      </w:pPr>
      <w:r>
        <w:rPr>
          <w:rFonts w:ascii="Times New Roman" w:cs="Times New Roman" w:eastAsia="黑体" w:hAnsi="Times New Roman"/>
          <w:b/>
          <w:bCs/>
          <w:sz w:val="24"/>
          <w:szCs w:val="24"/>
        </w:rPr>
        <w:t xml:space="preserve">图4-3　案例的人机分工方案</w:t>
      </w:r>
    </w:p>
    <w:p>
      <w:pPr>
        <w:spacing w:after="60" w:before="0" w:line="400" w:lineRule="auto"/>
        <w:ind w:firstLine="480"/>
        <w:jc w:val="both"/>
      </w:pPr>
      <w:r>
        <w:rPr>
          <w:rFonts w:ascii="Times New Roman" w:cs="Times New Roman" w:eastAsia="宋体" w:hAnsi="Times New Roman"/>
          <w:b/>
          <w:bCs/>
          <w:sz w:val="24"/>
          <w:szCs w:val="24"/>
        </w:rPr>
        <w:t xml:space="preserve">位置</w:t>
      </w:r>
      <w:r>
        <w:rPr>
          <w:rFonts w:ascii="Times New Roman" w:cs="Times New Roman" w:eastAsia="宋体" w:hAnsi="Times New Roman"/>
          <w:sz w:val="24"/>
          <w:szCs w:val="24"/>
        </w:rPr>
        <w:t xml:space="preserve">：4.4.4 节末。</w:t>
      </w:r>
      <w:r>
        <w:rPr>
          <w:rFonts w:ascii="Times New Roman" w:cs="Times New Roman" w:eastAsia="宋体" w:hAnsi="Times New Roman"/>
          <w:b/>
          <w:bCs/>
          <w:sz w:val="24"/>
          <w:szCs w:val="24"/>
        </w:rPr>
        <w:t xml:space="preserve">类型</w:t>
      </w:r>
      <w:r>
        <w:rPr>
          <w:rFonts w:ascii="Times New Roman" w:cs="Times New Roman" w:eastAsia="宋体" w:hAnsi="Times New Roman"/>
          <w:sz w:val="24"/>
          <w:szCs w:val="24"/>
        </w:rPr>
        <w:t xml:space="preserve">：双轨并行图。</w:t>
      </w:r>
    </w:p>
    <w:p>
      <w:pPr>
        <w:spacing w:after="60" w:before="0" w:line="400" w:lineRule="auto"/>
        <w:ind w:firstLine="480"/>
        <w:jc w:val="both"/>
      </w:pPr>
      <w:r>
        <w:rPr>
          <w:rFonts w:ascii="Times New Roman" w:cs="Times New Roman" w:eastAsia="宋体" w:hAnsi="Times New Roman"/>
          <w:b/>
          <w:bCs/>
          <w:sz w:val="24"/>
          <w:szCs w:val="24"/>
        </w:rPr>
        <w:t xml:space="preserve">结构</w:t>
      </w:r>
      <w:r>
        <w:rPr>
          <w:rFonts w:ascii="Times New Roman" w:cs="Times New Roman" w:eastAsia="宋体" w:hAnsi="Times New Roman"/>
          <w:sz w:val="24"/>
          <w:szCs w:val="24"/>
        </w:rPr>
        <w:t xml:space="preserve">：中央一条自上而下的主轴，依次排列案例的十二个节点 N1 至 N12，并在左侧标出其所属环节。主轴两侧各设一条轨道：左轨为「设计者亲自作出」，右轨为「工具承担」。每个节点向左或向右引出一个方框，标明该节点上双方各自的具体动作。其中九个保留区节点在左轨有实心框，其中 N1、N8、N10、N11 四个节点在右轨同时有一个虚线框，标明工具在该节点上仍然承担辅助工作（提供背景资料、在设定范围内生成、提供属性对比、承担统计分析）。三个可委托区节点 N2、N4、N5 在右轨有实心框，同时在左轨有一个小的虚线框标注「核验」，N5 的核验框加重并注明「逐条回溯标准原文」。</w:t>
      </w:r>
    </w:p>
    <w:p>
      <w:pPr>
        <w:spacing w:after="60" w:before="0" w:line="400" w:lineRule="auto"/>
        <w:ind w:firstLine="480"/>
        <w:jc w:val="both"/>
      </w:pPr>
      <w:r>
        <w:rPr>
          <w:rFonts w:ascii="Times New Roman" w:cs="Times New Roman" w:eastAsia="宋体" w:hAnsi="Times New Roman"/>
          <w:b/>
          <w:bCs/>
          <w:sz w:val="24"/>
          <w:szCs w:val="24"/>
        </w:rPr>
        <w:t xml:space="preserve">要点</w:t>
      </w:r>
      <w:r>
        <w:rPr>
          <w:rFonts w:ascii="Times New Roman" w:cs="Times New Roman" w:eastAsia="宋体" w:hAnsi="Times New Roman"/>
          <w:sz w:val="24"/>
          <w:szCs w:val="24"/>
        </w:rPr>
        <w:t xml:space="preserve">：本图要传达的是「保留区节点并非排斥工具，而是改变工具的角色」，因此保留区节点右侧的虚线辅助框不可省略；同理，可委托区节点左侧的核验框也不可省略，否则会被读作「委托即撒手」。N8 是全图的示范节点，建议以引出线单独标注「设计者设定范围，工具在范围内生成」。</w:t>
      </w:r>
    </w:p>
    <w:p>
      <w:pPr>
        <w:pStyle w:val="Heading3"/>
        <w:spacing w:after="160" w:before="240" w:line="360" w:lineRule="auto"/>
        <w:jc w:val="left"/>
      </w:pPr>
      <w:r>
        <w:rPr>
          <w:rFonts w:ascii="Times New Roman" w:cs="Times New Roman" w:eastAsia="黑体" w:hAnsi="Times New Roman"/>
          <w:b/>
          <w:bCs/>
          <w:sz w:val="24"/>
          <w:szCs w:val="24"/>
        </w:rPr>
        <w:t xml:space="preserve">图4-4　边界判据与后续三章的衔接关系</w:t>
      </w:r>
    </w:p>
    <w:p>
      <w:pPr>
        <w:spacing w:after="60" w:before="0" w:line="400" w:lineRule="auto"/>
        <w:ind w:firstLine="480"/>
        <w:jc w:val="both"/>
      </w:pPr>
      <w:r>
        <w:rPr>
          <w:rFonts w:ascii="Times New Roman" w:cs="Times New Roman" w:eastAsia="宋体" w:hAnsi="Times New Roman"/>
          <w:b/>
          <w:bCs/>
          <w:sz w:val="24"/>
          <w:szCs w:val="24"/>
        </w:rPr>
        <w:t xml:space="preserve">位置</w:t>
      </w:r>
      <w:r>
        <w:rPr>
          <w:rFonts w:ascii="Times New Roman" w:cs="Times New Roman" w:eastAsia="宋体" w:hAnsi="Times New Roman"/>
          <w:sz w:val="24"/>
          <w:szCs w:val="24"/>
        </w:rPr>
        <w:t xml:space="preserve">：4.5.2 节末，表4-10 之后。</w:t>
      </w:r>
      <w:r>
        <w:rPr>
          <w:rFonts w:ascii="Times New Roman" w:cs="Times New Roman" w:eastAsia="宋体" w:hAnsi="Times New Roman"/>
          <w:b/>
          <w:bCs/>
          <w:sz w:val="24"/>
          <w:szCs w:val="24"/>
        </w:rPr>
        <w:t xml:space="preserve">类型</w:t>
      </w:r>
      <w:r>
        <w:rPr>
          <w:rFonts w:ascii="Times New Roman" w:cs="Times New Roman" w:eastAsia="宋体" w:hAnsi="Times New Roman"/>
          <w:sz w:val="24"/>
          <w:szCs w:val="24"/>
        </w:rPr>
        <w:t xml:space="preserve">：一源三流图。</w:t>
      </w:r>
    </w:p>
    <w:p>
      <w:pPr>
        <w:spacing w:after="60" w:before="0" w:line="400" w:lineRule="auto"/>
        <w:ind w:firstLine="480"/>
        <w:jc w:val="both"/>
      </w:pPr>
      <w:r>
        <w:rPr>
          <w:rFonts w:ascii="Times New Roman" w:cs="Times New Roman" w:eastAsia="宋体" w:hAnsi="Times New Roman"/>
          <w:b/>
          <w:bCs/>
          <w:sz w:val="24"/>
          <w:szCs w:val="24"/>
        </w:rPr>
        <w:t xml:space="preserve">结构</w:t>
      </w:r>
      <w:r>
        <w:rPr>
          <w:rFonts w:ascii="Times New Roman" w:cs="Times New Roman" w:eastAsia="宋体" w:hAnsi="Times New Roman"/>
          <w:sz w:val="24"/>
          <w:szCs w:val="24"/>
        </w:rPr>
        <w:t xml:space="preserve">：左侧一个源框「第4章 认知卸载边界图谱（12 个保留区节点）」，向右分出三条通路，分别指向三个目标框：「第5章 衰减机制——以保留区节点作为衰减发生位置的定位依据」「第6章 干预策略——以保留区节点作为干预投放位置，以满足判据条数作为强度分级依据」「第7章 溯源制度——以保留区节点作为必录范围，并识别节点缺失」。三条通路上各标注本章对应的未决问题：「衰减在何处、经由何种机制发生」「如何使设计者重新亲自作出判断」「如何证明某一节点确由人作出」。</w:t>
      </w:r>
    </w:p>
    <w:p>
      <w:pPr>
        <w:spacing w:after="60" w:before="0" w:line="400" w:lineRule="auto"/>
        <w:ind w:firstLine="480"/>
        <w:jc w:val="both"/>
      </w:pPr>
      <w:r>
        <w:rPr>
          <w:rFonts w:ascii="Times New Roman" w:cs="Times New Roman" w:eastAsia="宋体" w:hAnsi="Times New Roman"/>
          <w:b/>
          <w:bCs/>
          <w:sz w:val="24"/>
          <w:szCs w:val="24"/>
        </w:rPr>
        <w:t xml:space="preserve">要点</w:t>
      </w:r>
      <w:r>
        <w:rPr>
          <w:rFonts w:ascii="Times New Roman" w:cs="Times New Roman" w:eastAsia="宋体" w:hAnsi="Times New Roman"/>
          <w:sz w:val="24"/>
          <w:szCs w:val="24"/>
        </w:rPr>
        <w:t xml:space="preserve">：源框只有一个，三条通路共用同一套边界，这是全书各部分得以衔接的关键，须在图上明确；不可画成三章各自独立的三个框。</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二、尾注清单（5 条，含 1 处待补）</w:t>
      </w:r>
    </w:p>
    <w:p>
      <w:pPr>
        <w:spacing w:after="60" w:before="0" w:line="400" w:lineRule="auto"/>
        <w:ind w:firstLine="480"/>
        <w:jc w:val="both"/>
      </w:pPr>
      <w:r>
        <w:rPr>
          <w:rFonts w:ascii="Times New Roman" w:cs="Times New Roman" w:eastAsia="宋体" w:hAnsi="Times New Roman"/>
          <w:sz w:val="24"/>
          <w:szCs w:val="24"/>
        </w:rPr>
        <w:t xml:space="preserve">正文已改为句末尾注上标。以下为各上标对应的文献，请按 GB/T 7714 补足页码与出版信息后，并入书末「参考文献」的对应分区。以上条目为按正文论断的通行出处所拟，请逐条核对原文并补足页码，凡未经本人核实者不宜直接采用。</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 A 第4章尾注对应文献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序号</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出现位置</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对应文献</w:t>
            </w:r>
          </w:p>
        </w:tc>
      </w:tr>
      <w:tr>
        <w:trPr>
          <w:tblHeader w:val="false"/>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[1]</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4.1.2</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Sheridan T B, Verplank W L. Human and Computer Control of Undersea Teleoperators[R]. Cambridge: MIT Man-Machine Systems Laboratory, 1978.</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[2]</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4.1.2</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Parasuraman R, Sheridan T B, Wickens C D. A Model for Types and Levels of Human Interaction with Automation[J]. IEEE Transactions on Systems, Man, and Cybernetics—Part A: Systems and Humans, 2000, 30(3): 286-297.</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4.1.2</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High-Level Expert Group on Artificial Intelligence. Ethics Guidelines for Trustworthy AI[R]. Brussels: European Commission, 2019. 与绪论所引版本统一</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[4]</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4.1.2</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欧盟《人工智能法案》，即 Regulation (EU) 2024/1689。请核实法规编号、通过日期与正式中译名后再定稿</w:t>
            </w:r>
          </w:p>
        </w:tc>
      </w:tr>
      <w:tr>
        <w:trPr>
          <w:tblHeader w:val="false"/>
        </w:trPr>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[5]</w:t>
            </w:r>
          </w:p>
        </w:tc>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4.2.1</w:t>
            </w:r>
          </w:p>
        </w:tc>
        <w:tc>
          <w:tcPr>
            <w:tcW w:type="dxa" w:w="3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中华人民共和国著作权法（2020年修正）。请核对条文序号后引用</w:t>
            </w:r>
          </w:p>
        </w:tc>
      </w:tr>
    </w:tbl>
    <w:p>
      <w:pPr>
        <w:spacing w:line="200" w:lineRule="auto"/>
      </w:pPr>
      <w:r>
        <w:rPr>
          <w:sz w:val="18"/>
          <w:szCs w:val="18"/>
        </w:rPr>
        <w:t xml:space="preserve"/>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 B 第4章待补引注（1 处，正文中已以【待补：…】标出，显示为红色）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序号</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位置</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需要补的内容</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建议检索方向</w:t>
            </w:r>
          </w:p>
        </w:tc>
      </w:tr>
      <w:tr>
        <w:trPr>
          <w:tblHeader w:val="false"/>
        </w:trPr>
        <w:tc>
          <w:tcPr>
            <w:tcW w:type="dxa" w:w="225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待补 1</w:t>
            </w:r>
          </w:p>
        </w:tc>
        <w:tc>
          <w:tcPr>
            <w:tcW w:type="dxa" w:w="225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4.1.2 风险等级思路</w:t>
            </w:r>
          </w:p>
        </w:tc>
        <w:tc>
          <w:tcPr>
            <w:tcW w:type="dxa" w:w="225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风险分级在医疗、交通与金融等领域制度化应用的代表性文献或规范</w:t>
            </w:r>
          </w:p>
        </w:tc>
        <w:tc>
          <w:tcPr>
            <w:tcW w:type="dxa" w:w="225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医疗器械风险分类规则；自动驾驶分级标准；金融算法风险管理规范</w:t>
            </w:r>
          </w:p>
        </w:tc>
      </w:tr>
    </w:tbl>
    <w:p>
      <w:pPr>
        <w:spacing w:line="200" w:lineRule="auto"/>
      </w:pPr>
      <w:r>
        <w:rPr>
          <w:sz w:val="18"/>
          <w:szCs w:val="18"/>
        </w:rPr>
        <w:t xml:space="preserve"/>
      </w:r>
    </w:p>
    <w:p>
      <w:pPr>
        <w:spacing w:after="60" w:before="0" w:line="400" w:lineRule="auto"/>
        <w:ind w:firstLine="480"/>
        <w:jc w:val="both"/>
      </w:pPr>
      <w:r>
        <w:rPr>
          <w:rFonts w:ascii="Times New Roman" w:cs="Times New Roman" w:eastAsia="宋体" w:hAnsi="Times New Roman"/>
          <w:sz w:val="24"/>
          <w:szCs w:val="24"/>
        </w:rPr>
        <w:t xml:space="preserve">需要说明的是，本章的引注数量明显少于第2章与第3章，其原因在于本章的性质是判据的建构而非文献的综述，多数论断建立于本书前三章的结论之上而非外部文献之上。但以下三处建议在定稿前补充外部依据，以增强判据的学理支撑。</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 C 建议补充外部依据的三处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位置</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现状</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建议补充的方向</w:t>
            </w:r>
          </w:p>
        </w:tc>
      </w:tr>
      <w:tr>
        <w:trPr>
          <w:tblHeader w:val="false"/>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4.1.3 四项要求</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由本书自行提出，未与既有的划界原则研究对话</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人机交互领域关于人机功能分配原则的既有讨论；Amershi 等人关于人机交互设计准则的研究</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4.2.1 判据二</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不可撤回性的三种情形由本书归纳</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决策理论中关于不可逆性与选择权价值的讨论；工程领域关于设计冻结与变更成本的研究</w:t>
            </w:r>
          </w:p>
        </w:tc>
      </w:tr>
      <w:tr>
        <w:trPr>
          <w:tblHeader w:val="false"/>
        </w:trPr>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4.4.5 判定一致性</w:t>
            </w:r>
          </w:p>
        </w:tc>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已声明有待信度研究检验，但未给出可行的检验设计</w:t>
            </w:r>
          </w:p>
        </w:tc>
        <w:tc>
          <w:tcPr>
            <w:tcW w:type="dxa" w:w="3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内容分析法的评分者间信度指标（Cohen's Kappa、Krippendorff's Alpha）及其在设计研究中的应用</w:t>
            </w:r>
          </w:p>
        </w:tc>
      </w:tr>
    </w:tbl>
    <w:p>
      <w:pPr>
        <w:spacing w:line="200" w:lineRule="auto"/>
      </w:pPr>
      <w:r>
        <w:rPr>
          <w:sz w:val="18"/>
          <w:szCs w:val="18"/>
        </w:rPr>
        <w:t xml:space="preserve"/>
      </w:r>
    </w:p>
    <w:p>
      <w:pPr>
        <w:pStyle w:val="Heading2"/>
        <w:spacing w:after="220" w:before="400" w:line="360" w:lineRule="auto"/>
        <w:jc w:val="left"/>
      </w:pPr>
      <w:r>
        <w:rPr>
          <w:rFonts w:ascii="Times New Roman" w:cs="Times New Roman" w:eastAsia="黑体" w:hAnsi="Times New Roman"/>
          <w:b w:val="false"/>
          <w:bCs w:val="false"/>
          <w:sz w:val="28"/>
          <w:szCs w:val="28"/>
        </w:rPr>
        <w:t xml:space="preserve">三、撰写说明</w:t>
      </w:r>
    </w:p>
    <w:p>
      <w:pPr>
        <w:pStyle w:val="Heading3"/>
        <w:spacing w:after="160" w:before="240" w:line="360" w:lineRule="auto"/>
        <w:jc w:val="left"/>
      </w:pPr>
      <w:r>
        <w:rPr>
          <w:rFonts w:ascii="Times New Roman" w:cs="Times New Roman" w:eastAsia="黑体" w:hAnsi="Times New Roman"/>
          <w:b/>
          <w:bCs/>
          <w:sz w:val="24"/>
          <w:szCs w:val="24"/>
        </w:rPr>
        <w:t xml:space="preserve">3.1 本章的定位与来源</w:t>
      </w:r>
    </w:p>
    <w:p>
      <w:pPr>
        <w:spacing w:after="60" w:before="0" w:line="400" w:lineRule="auto"/>
        <w:ind w:firstLine="480"/>
        <w:jc w:val="both"/>
      </w:pPr>
      <w:r>
        <w:rPr>
          <w:rFonts w:ascii="Times New Roman" w:cs="Times New Roman" w:eastAsia="宋体" w:hAnsi="Times New Roman"/>
          <w:sz w:val="24"/>
          <w:szCs w:val="24"/>
        </w:rPr>
        <w:t xml:space="preserve">本章此前无初稿，系依据三项既有材料撰写：一是绪论对本章的定位，即建立认知卸载边界的识别方法，提出判断保留区的三条判据，逐一判定设计全流程五个环节，形成认知卸载边界图谱，并以具体案例检验其可操作性；二是绪论「研究方法」一节的明确要求，即对每一条判据均施以正面例证与反例检验，以确保判据宽窄适中；三是绪论所指定的案例，即陪伴机器人外部表面材料选择。以上三项要求在本章中均已落实。</w:t>
      </w:r>
    </w:p>
    <w:p>
      <w:pPr>
        <w:pStyle w:val="Heading3"/>
        <w:spacing w:after="160" w:before="240" w:line="360" w:lineRule="auto"/>
        <w:jc w:val="left"/>
      </w:pPr>
      <w:r>
        <w:rPr>
          <w:rFonts w:ascii="Times New Roman" w:cs="Times New Roman" w:eastAsia="黑体" w:hAnsi="Times New Roman"/>
          <w:b/>
          <w:bCs/>
          <w:sz w:val="24"/>
          <w:szCs w:val="24"/>
        </w:rPr>
        <w:t xml:space="preserve">3.2 全章结构</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 D 第4章的结构安排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节次</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标题</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承担的工作</w:t>
            </w:r>
          </w:p>
        </w:tc>
      </w:tr>
      <w:tr>
        <w:trPr>
          <w:tblHeader w:val="false"/>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章首导语</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承接第3章的过渡问题，交代本章四部分工作</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4.1</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边界识别的前提与既有做法的检讨</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指出当前边界的三项正当性缺陷；检讨三类既有划界思路；提出判据的四项要求</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4.2</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判断保留区的三条判据</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给出三条判据的定义与操作性提问；确立析取判定规则；逐条施以正反例检验</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4.3</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设计全流程五环节的逐一判定</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判定 19 个典型节点，形成认知卸载边界图谱</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4.4</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案例检验：陪伴机器人外部表面材料选择</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分解 12 个节点并逐一判定，给出人机分工方案，暴露三处适用限度</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4.5</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判据的限度与后续工作</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说明三项限度，交代与第5、6、7章的衔接</w:t>
            </w:r>
          </w:p>
        </w:tc>
      </w:tr>
      <w:tr>
        <w:trPr>
          <w:tblHeader w:val="false"/>
        </w:trPr>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4.6</w:t>
            </w:r>
          </w:p>
        </w:tc>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本章小结</w:t>
            </w:r>
          </w:p>
        </w:tc>
        <w:tc>
          <w:tcPr>
            <w:tcW w:type="dxa" w:w="3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复述本章所得，并过渡至第5章衰减机制</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3.3 本章的两处方法性处理</w:t>
      </w:r>
    </w:p>
    <w:p>
      <w:pPr>
        <w:spacing w:after="60" w:before="0" w:line="400" w:lineRule="auto"/>
        <w:ind w:firstLine="480"/>
        <w:jc w:val="both"/>
      </w:pPr>
      <w:r>
        <w:rPr>
          <w:rFonts w:ascii="Times New Roman" w:cs="Times New Roman" w:eastAsia="宋体" w:hAnsi="Times New Roman"/>
          <w:sz w:val="24"/>
          <w:szCs w:val="24"/>
        </w:rPr>
        <w:t xml:space="preserve">第一，判据的施加对象是任务节点而非流程环节。这一处理是为了解决绪论所提出的宽窄适中要求：若以环节为判定单位，五个环节将全部落入保留区，判据即失去实践意义；以节点为单位，保留区便散布于 19 个典型节点中的 12 个，其分布可控且可定位。这一处理同时使 4.2.4 所述的相邻节点判定相反成为可能，即候选集合的生成满足判据二而方案的初步排序不满足，二者虽同属方案筛选前后，判定结果却完全不同。</w:t>
      </w:r>
    </w:p>
    <w:p>
      <w:pPr>
        <w:spacing w:after="60" w:before="0" w:line="400" w:lineRule="auto"/>
        <w:ind w:firstLine="480"/>
        <w:jc w:val="both"/>
      </w:pPr>
      <w:r>
        <w:rPr>
          <w:rFonts w:ascii="Times New Roman" w:cs="Times New Roman" w:eastAsia="宋体" w:hAnsi="Times New Roman"/>
          <w:sz w:val="24"/>
          <w:szCs w:val="24"/>
        </w:rPr>
        <w:t xml:space="preserve">第二，可委托区附带核验义务。绪论所述的划分为保留区与可委托区二分，但若可委托即等于不再过问，则信息可靠性核验一类节点将无处安放。本书的处理是保持二分不变，而在可委托区上附加一项核验义务，使边界所划分的成为亲自作出与委托后核验两种介入方式，而非管与不管。这一处理是否与绪论的表述一致，请见下节第二条。</w:t>
      </w:r>
    </w:p>
    <w:p>
      <w:pPr>
        <w:pStyle w:val="Heading3"/>
        <w:spacing w:after="160" w:before="240" w:line="360" w:lineRule="auto"/>
        <w:jc w:val="left"/>
      </w:pPr>
      <w:r>
        <w:rPr>
          <w:rFonts w:ascii="Times New Roman" w:cs="Times New Roman" w:eastAsia="黑体" w:hAnsi="Times New Roman"/>
          <w:b/>
          <w:bCs/>
          <w:sz w:val="24"/>
          <w:szCs w:val="24"/>
        </w:rPr>
        <w:t xml:space="preserve">3.4 需要你确认的五处</w:t>
      </w:r>
    </w:p>
    <w:p>
      <w:pPr>
        <w:spacing w:after="60" w:before="0" w:line="400" w:lineRule="auto"/>
        <w:ind w:firstLine="480"/>
        <w:jc w:val="both"/>
      </w:pPr>
      <w:r>
        <w:rPr>
          <w:rFonts w:ascii="Times New Roman" w:cs="Times New Roman" w:eastAsia="宋体" w:hAnsi="Times New Roman"/>
          <w:sz w:val="24"/>
          <w:szCs w:val="24"/>
        </w:rPr>
        <w:t xml:space="preserve">第一，章次引称。本章按绪论为第1章、理论谱系为第2章、学理命题为第3章、本章为第4章的八章制撰写，正文引称第5章衰减机制、第6章干预策略、第7章溯源制度、第8章教育与产业。这一点与第2章、第3章的情况相同，宜三章一并处理。</w:t>
      </w:r>
    </w:p>
    <w:p>
      <w:pPr>
        <w:spacing w:after="60" w:before="0" w:line="400" w:lineRule="auto"/>
        <w:ind w:firstLine="480"/>
        <w:jc w:val="both"/>
      </w:pPr>
      <w:r>
        <w:rPr>
          <w:rFonts w:ascii="Times New Roman" w:cs="Times New Roman" w:eastAsia="宋体" w:hAnsi="Times New Roman"/>
          <w:sz w:val="24"/>
          <w:szCs w:val="24"/>
        </w:rPr>
        <w:t xml:space="preserve">第二，可委托区的核验义务是否写入定义。本章在可委托区上附加了核验义务（见 4.2.2 与 3.3 第二条）。若绪论所述二分为严格的二分，则此处须在绪论中相应补一句说明，或在本章中改以第三类区域「可委托但须核验」单列。本书倾向于前者，即保持二分而附加义务，因为单列第三类将使判据的析取规则复杂化。请你定夺。</w:t>
      </w:r>
    </w:p>
    <w:p>
      <w:pPr>
        <w:spacing w:after="60" w:before="0" w:line="400" w:lineRule="auto"/>
        <w:ind w:firstLine="480"/>
        <w:jc w:val="both"/>
      </w:pPr>
      <w:r>
        <w:rPr>
          <w:rFonts w:ascii="Times New Roman" w:cs="Times New Roman" w:eastAsia="宋体" w:hAnsi="Times New Roman"/>
          <w:sz w:val="24"/>
          <w:szCs w:val="24"/>
        </w:rPr>
        <w:t xml:space="preserve">第三，节点缺失现象的处置。4.3.6 提出了一种不同于卸载的边界失效形式，即节点既未由人作出也未由机器作出，而是根本没有发生，本书建议将其单列并交由第7章识别。这一概念在绪论与前三章中均未出现，若采用，须在绪论的核心概念界定一节中一并交代；若不采用，可将 4.3.6 该段删去，改为在验证优化环节的判定中附带说明。</w:t>
      </w:r>
    </w:p>
    <w:p>
      <w:pPr>
        <w:spacing w:after="60" w:before="0" w:line="400" w:lineRule="auto"/>
        <w:ind w:firstLine="480"/>
        <w:jc w:val="both"/>
      </w:pPr>
      <w:r>
        <w:rPr>
          <w:rFonts w:ascii="Times New Roman" w:cs="Times New Roman" w:eastAsia="宋体" w:hAnsi="Times New Roman"/>
          <w:sz w:val="24"/>
          <w:szCs w:val="24"/>
        </w:rPr>
        <w:t xml:space="preserve">第四，案例的一致性。本案例为陪伴机器人外部表面材料选择，与第8章可能讨论的设计教育案例、以及绪论所提及的其他例证之间，宜保持对象设定的一致（学龄前儿童、可触及外表面、量产约束）。若第8章另有案例，建议明确二者的分工，避免读者误以为是同一案例的两次分析。</w:t>
      </w:r>
    </w:p>
    <w:p>
      <w:pPr>
        <w:spacing w:after="60" w:before="0" w:line="400" w:lineRule="auto"/>
        <w:ind w:firstLine="480"/>
        <w:jc w:val="both"/>
      </w:pPr>
      <w:r>
        <w:rPr>
          <w:rFonts w:ascii="Times New Roman" w:cs="Times New Roman" w:eastAsia="宋体" w:hAnsi="Times New Roman"/>
          <w:sz w:val="24"/>
          <w:szCs w:val="24"/>
        </w:rPr>
        <w:t xml:space="preserve">第五，判据的信度检验。4.4.5 已坦陈判定结论的一致性有待专门的信度研究检验。若你希望本书在此处更进一步，可在 4.5.1 之后补一小节，给出一项可执行的信度检验设计，例如邀请若干名设计师对同一组节点独立判定并计算评分者间一致性。相应的方法方向已列于表 C 第三行。是否补入，请你定夺。</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2026-08-30T10:12:39.113Z</dcterms:created>
  <dcterms:modified xsi:type="dcterms:W3CDTF">2026-08-30T10:12:39.114Z</dcterms:modified>
</cp:coreProperties>
</file>

<file path=docProps/custom.xml><?xml version="1.0" encoding="utf-8"?>
<Properties xmlns="http://schemas.openxmlformats.org/officeDocument/2006/custom-properties" xmlns:vt="http://schemas.openxmlformats.org/officeDocument/2006/docPropsVTypes"/>
</file>