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480" w:line="360" w:lineRule="auto"/>
        <w:jc w:val="center"/>
      </w:pPr>
      <w:r>
        <w:rPr>
          <w:rFonts w:ascii="Times New Roman" w:cs="Times New Roman" w:eastAsia="黑体" w:hAnsi="Times New Roman"/>
          <w:b w:val="false"/>
          <w:bCs w:val="false"/>
          <w:sz w:val="32"/>
          <w:szCs w:val="32"/>
        </w:rPr>
        <w:t xml:space="preserve">第5章　配图设计稿、尾注清单与撰写说明</w:t>
      </w:r>
    </w:p>
    <w:p>
      <w:pPr>
        <w:spacing w:after="60" w:before="0" w:line="400" w:lineRule="auto"/>
        <w:ind w:firstLine="480"/>
        <w:jc w:val="both"/>
      </w:pPr>
      <w:r>
        <w:rPr>
          <w:rFonts w:ascii="Times New Roman" w:cs="Times New Roman" w:eastAsia="宋体" w:hAnsi="Times New Roman"/>
          <w:sz w:val="24"/>
          <w:szCs w:val="24"/>
        </w:rPr>
        <w:t xml:space="preserve">配套《第5章-衰减机制-初稿》使用。</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一、配图设计稿（5 幅）</w:t>
      </w:r>
    </w:p>
    <w:p>
      <w:pPr>
        <w:spacing w:after="60" w:before="0" w:line="400" w:lineRule="auto"/>
        <w:ind w:firstLine="480"/>
        <w:jc w:val="both"/>
      </w:pPr>
      <w:r>
        <w:rPr>
          <w:rFonts w:ascii="Times New Roman" w:cs="Times New Roman" w:eastAsia="宋体" w:hAnsi="Times New Roman"/>
          <w:sz w:val="24"/>
          <w:szCs w:val="24"/>
        </w:rPr>
        <w:t xml:space="preserve">图题一律置于图下，三行：中文题 / 英文题（Title Case）/（图片来源：作者自绘）。以下为绘制依据，画好后按正文中「［此处插入图5-X］」的位置替换即可。</w:t>
      </w:r>
    </w:p>
    <w:p>
      <w:pPr>
        <w:pStyle w:val="Heading3"/>
        <w:spacing w:after="160" w:before="240" w:line="360" w:lineRule="auto"/>
        <w:jc w:val="left"/>
      </w:pPr>
      <w:r>
        <w:rPr>
          <w:rFonts w:ascii="Times New Roman" w:cs="Times New Roman" w:eastAsia="黑体" w:hAnsi="Times New Roman"/>
          <w:b/>
          <w:bCs/>
          <w:sz w:val="24"/>
          <w:szCs w:val="24"/>
        </w:rPr>
        <w:t xml:space="preserve">图5-1　保留区节点失守的三种形态</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：5.2.2 节末，表5-2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：三栏对照图。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三栏并列，每栏上方为形态名称，栏内以同一个节点方框为对象，画出三种不同的处置方式。第一栏实质让渡：节点方框内标「模型」，人形符号置于框外且无连线，下方注「工作流日志留有明确痕迹」。第二栏形式让渡：节点方框内标「人」，但框内另有一个浅色的模型输出块占据主体，人形符号仅连到框边的一个小小的确认按钮，下方注「记录显示由人完成，追问时只能复述模型给出的理由」。第三栏节点缺失：节点方框以虚线绘制且内部全空，人形与模型符号均在框外，框上打一个叉，下方注「判断未曾发生」。三栏底部加一条通长的条带，左端标「识别难度：低」，右端标「最高」，箭头指向右；条带上方再加一行注记：「三者对判断能力的损害大体相当」。</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全图的信息落点是「识别难度递增而损害相当」这一错位，底部的难度条带与上方的注记缺一不可。第二栏的浅色输出块必须占据框内主体、而人的连线只到确认按钮，这一视觉比例是「形式让渡」的全部含义所在。</w:t>
      </w:r>
    </w:p>
    <w:p>
      <w:pPr>
        <w:pStyle w:val="Heading3"/>
        <w:spacing w:after="160" w:before="240" w:line="360" w:lineRule="auto"/>
        <w:jc w:val="left"/>
      </w:pPr>
      <w:r>
        <w:rPr>
          <w:rFonts w:ascii="Times New Roman" w:cs="Times New Roman" w:eastAsia="黑体" w:hAnsi="Times New Roman"/>
          <w:b/>
          <w:bCs/>
          <w:sz w:val="24"/>
          <w:szCs w:val="24"/>
        </w:rPr>
        <w:t xml:space="preserve">图5-2　三类阈值的相互作用与棘轮结构</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：5.3.3 节末。</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：上下两段图，上段为叠加作用，下段为棘轮。</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上段画一条自左向右的「核验行为强度」水平带，三个阈值以三道竖闸依次立于带上，每道闸标出其名称与作用方式：信任阈值「降低核验的意愿」、成本阈值「降低核验的可行性」、时间阈值「取消核验的机会」。水平带在每经过一道闸后收窄一次，三道之后收至近乎为零，末端注「三者叠加则核验近乎不可能发生」。三道闸下方各标其设定者与可调节性（个体／低、工具与外部条件／中、组织／高），并将时间阈值一栏加重描边，旁注「唯一可由制度直接调节」。</w:t>
      </w:r>
    </w:p>
    <w:p>
      <w:pPr>
        <w:spacing w:after="60" w:before="0" w:line="400" w:lineRule="auto"/>
        <w:ind w:firstLine="480"/>
        <w:jc w:val="both"/>
      </w:pPr>
      <w:r>
        <w:rPr>
          <w:rFonts w:ascii="Times New Roman" w:cs="Times New Roman" w:eastAsia="宋体" w:hAnsi="Times New Roman"/>
          <w:sz w:val="24"/>
          <w:szCs w:val="24"/>
        </w:rPr>
        <w:t xml:space="preserve">下段画一个棘轮：齿条自左向右为阶段一至阶段四，棘爪压在齿上，向右推进的箭头粗而顺畅，向左回退的箭头细而被棘爪阻断。回退箭头旁列两条阻力注记：「回退所需的能力正是跨越后已被削弱的能力」「回退成本由个体在当下承担，收益延迟且不确定」。</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：上段的水平带必须逐段收窄而非三条独立通道，这才是「叠加」；下段的棘爪必须画在阻断回退的方向上。两段之间以一条竖线相连，标注「阈值跨越 → 阶段推进」，使读者理解上下段是同一过程的两个侧面。</w:t>
      </w:r>
    </w:p>
    <w:p>
      <w:pPr>
        <w:pStyle w:val="Heading3"/>
        <w:spacing w:after="160" w:before="240" w:line="360" w:lineRule="auto"/>
        <w:jc w:val="left"/>
      </w:pPr>
      <w:r>
        <w:rPr>
          <w:rFonts w:ascii="Times New Roman" w:cs="Times New Roman" w:eastAsia="黑体" w:hAnsi="Times New Roman"/>
          <w:b/>
          <w:bCs/>
          <w:sz w:val="24"/>
          <w:szCs w:val="24"/>
        </w:rPr>
        <w:t xml:space="preserve">图5-3　认知韧性衰减的四阶段演变路径</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：5.4.5 节末，表5-5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：阶梯式路径图。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：自左下向右下的四级阶梯，每级为一个阶段方框，框内写阶段名与卸载的性质：一 选择性卸载「每次使用均为独立决定」、二 习惯性卸载「由情境线索驱动的默认动作」、三 结构性卸载「工作方式的结构性组成部分」、四 能力性卸载「能力不足所致的必需」。每两级之间的台阶上标出触发该转化的阈值：一至二标「成本阈值」、二至三标「时间阈值」、三至四标「实践基础的持续侵蚀」。每个台阶下方另画一支向左的回退箭头，其粗细依次递减，并标注可逆性：「可逆性最高：改变工具默认设定」「可逆性居中：须改变组织的工期标准」「可逆性最低：须重建实践基础」。</w:t>
      </w:r>
    </w:p>
    <w:p>
      <w:pPr>
        <w:spacing w:after="60" w:before="0" w:line="400" w:lineRule="auto"/>
        <w:ind w:firstLine="480"/>
        <w:jc w:val="both"/>
      </w:pPr>
      <w:r>
        <w:rPr>
          <w:rFonts w:ascii="Times New Roman" w:cs="Times New Roman" w:eastAsia="宋体" w:hAnsi="Times New Roman"/>
          <w:sz w:val="24"/>
          <w:szCs w:val="24"/>
        </w:rPr>
        <w:t xml:space="preserve">在每级方框的右侧附一条窄栏，以色块深浅标出该阶段所波及的节点范围：仅可委托区 → 保留区边缘节点 → 保留区核心节点 → 保留区全部节点。图下方加一行注记：「阶段一为第6章干预所要维持的目标状态；进入阶段四后，干预的性质由维系转为重建」。</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：回退箭头必须逐级变细，这是全图的实践含义所在；触发阈值必须标在台阶上而非方框内，以显示阈值是转化的条件而非阶段的属性。</w:t>
      </w:r>
    </w:p>
    <w:p>
      <w:pPr>
        <w:pStyle w:val="Heading3"/>
        <w:spacing w:after="160" w:before="240" w:line="360" w:lineRule="auto"/>
        <w:jc w:val="left"/>
      </w:pPr>
      <w:r>
        <w:rPr>
          <w:rFonts w:ascii="Times New Roman" w:cs="Times New Roman" w:eastAsia="黑体" w:hAnsi="Times New Roman"/>
          <w:b/>
          <w:bCs/>
          <w:sz w:val="24"/>
          <w:szCs w:val="24"/>
        </w:rPr>
        <w:t xml:space="preserve">图5-4　认知韧性衰减机制模型</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：5.5.1 节末。</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：三面整合图（本章总图）。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以一个三角形布局整合三个方面。左下角为「位置」，内容为第4章的十二个保留区节点缩略图，并标出三种失守形态。右下角为「阈值」，内容为信任、成本、时间三道闸。顶点为「路径」，内容为四阶段阶梯。三者之间以双向箭头相连，并在箭头上标出其关系：位置与阈值之间标「阈值跨越决定失守由边缘扩展至核心」；阈值与路径之间标「不同阈值触发不同阶段的转化」；路径与位置之间标「阶段推进决定波及的节点范围」。</w:t>
      </w:r>
    </w:p>
    <w:p>
      <w:pPr>
        <w:spacing w:after="60" w:before="0" w:line="400" w:lineRule="auto"/>
        <w:ind w:firstLine="480"/>
        <w:jc w:val="both"/>
      </w:pPr>
      <w:r>
        <w:rPr>
          <w:rFonts w:ascii="Times New Roman" w:cs="Times New Roman" w:eastAsia="宋体" w:hAnsi="Times New Roman"/>
          <w:sz w:val="24"/>
          <w:szCs w:val="24"/>
        </w:rPr>
        <w:t xml:space="preserve">三角形中央置一个文本块，写出模型的完整表述：「在信任、成本与时间三类阈值相继被跨过的条件下，保留区节点自边缘向核心依次失守，卸载的性质由选择依次转为习惯、结构与能力，失守的形态由实质让渡向形式让渡与节点缺失扩展，其可逆性随阶段推进而递减。」</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三个角必须以双向箭头相连并各自标注关系，以支撑正文「三者并非并列的三个部分，而是同一过程的三个观察角度」这一判断；若画成三个并列的方框，全图的整合意图即落空。中央文本块是全书机制部分的核心陈述，应在版面上给予足够权重。</w:t>
      </w:r>
    </w:p>
    <w:p>
      <w:pPr>
        <w:pStyle w:val="Heading3"/>
        <w:spacing w:after="160" w:before="240" w:line="360" w:lineRule="auto"/>
        <w:jc w:val="left"/>
      </w:pPr>
      <w:r>
        <w:rPr>
          <w:rFonts w:ascii="Times New Roman" w:cs="Times New Roman" w:eastAsia="黑体" w:hAnsi="Times New Roman"/>
          <w:b/>
          <w:bCs/>
          <w:sz w:val="24"/>
          <w:szCs w:val="24"/>
        </w:rPr>
        <w:t xml:space="preserve">图5-5　三个维度衰减曲线的不同步</w:t>
      </w:r>
    </w:p>
    <w:p>
      <w:pPr>
        <w:spacing w:after="60" w:before="0" w:line="400" w:lineRule="auto"/>
        <w:ind w:firstLine="480"/>
        <w:jc w:val="both"/>
      </w:pPr>
      <w:r>
        <w:rPr>
          <w:rFonts w:ascii="Times New Roman" w:cs="Times New Roman" w:eastAsia="宋体" w:hAnsi="Times New Roman"/>
          <w:b/>
          <w:bCs/>
          <w:sz w:val="24"/>
          <w:szCs w:val="24"/>
        </w:rPr>
        <w:t xml:space="preserve">位置</w:t>
      </w:r>
      <w:r>
        <w:rPr>
          <w:rFonts w:ascii="Times New Roman" w:cs="Times New Roman" w:eastAsia="宋体" w:hAnsi="Times New Roman"/>
          <w:sz w:val="24"/>
          <w:szCs w:val="24"/>
        </w:rPr>
        <w:t xml:space="preserve">：5.5.2 节末，表5-6 之后。</w:t>
      </w:r>
      <w:r>
        <w:rPr>
          <w:rFonts w:ascii="Times New Roman" w:cs="Times New Roman" w:eastAsia="宋体" w:hAnsi="Times New Roman"/>
          <w:b/>
          <w:bCs/>
          <w:sz w:val="24"/>
          <w:szCs w:val="24"/>
        </w:rPr>
        <w:t xml:space="preserve">类型</w:t>
      </w:r>
      <w:r>
        <w:rPr>
          <w:rFonts w:ascii="Times New Roman" w:cs="Times New Roman" w:eastAsia="宋体" w:hAnsi="Times New Roman"/>
          <w:sz w:val="24"/>
          <w:szCs w:val="24"/>
        </w:rPr>
        <w:t xml:space="preserve">：三线折线图。</w:t>
      </w:r>
    </w:p>
    <w:p>
      <w:pPr>
        <w:spacing w:after="60" w:before="0" w:line="400" w:lineRule="auto"/>
        <w:ind w:firstLine="480"/>
        <w:jc w:val="both"/>
      </w:pPr>
      <w:r>
        <w:rPr>
          <w:rFonts w:ascii="Times New Roman" w:cs="Times New Roman" w:eastAsia="宋体" w:hAnsi="Times New Roman"/>
          <w:b/>
          <w:bCs/>
          <w:sz w:val="24"/>
          <w:szCs w:val="24"/>
        </w:rPr>
        <w:t xml:space="preserve">结构</w:t>
      </w:r>
      <w:r>
        <w:rPr>
          <w:rFonts w:ascii="Times New Roman" w:cs="Times New Roman" w:eastAsia="宋体" w:hAnsi="Times New Roman"/>
          <w:sz w:val="24"/>
          <w:szCs w:val="24"/>
        </w:rPr>
        <w:t xml:space="preserve">：横轴为四个阶段（一至四），纵轴为维度水平（由高至低）。三条曲线依次为自主验证行为、元认知监控、创作能动性。自主验证行为自阶段二起陡降，至阶段四近乎触底；元认知监控自阶段二末开始下降，坡度较缓；创作能动性在阶段一至二保持高位，自阶段三起下降，坡度最缓但末端最低。在每条曲线的起降点处标出该维度的拐点，并在图右侧列出三条注记：「自主验证行为：最早的可观测预警信号，观测成本最低」「元认知监控：受自陈失真影响，须辅以他证」「创作能动性：滞后信号，一旦衰减最难恢复」。在阶段二与阶段三之间画一条竖向虚线，标注「可观测预警窗口」。</w:t>
      </w:r>
    </w:p>
    <w:p>
      <w:pPr>
        <w:spacing w:after="60" w:before="0" w:line="400" w:lineRule="auto"/>
        <w:ind w:firstLine="480"/>
        <w:jc w:val="both"/>
      </w:pPr>
      <w:r>
        <w:rPr>
          <w:rFonts w:ascii="Times New Roman" w:cs="Times New Roman" w:eastAsia="宋体" w:hAnsi="Times New Roman"/>
          <w:b/>
          <w:bCs/>
          <w:sz w:val="24"/>
          <w:szCs w:val="24"/>
        </w:rPr>
        <w:t xml:space="preserve">要点</w:t>
      </w:r>
      <w:r>
        <w:rPr>
          <w:rFonts w:ascii="Times New Roman" w:cs="Times New Roman" w:eastAsia="宋体" w:hAnsi="Times New Roman"/>
          <w:sz w:val="24"/>
          <w:szCs w:val="24"/>
        </w:rPr>
        <w:t xml:space="preserve">：三条曲线的拐点必须明显错开，这是全图唯一要传达的信息；不可为了图面整齐而使三线平行下降。右侧注记与竖向的预警窗口线共同支撑 5.5.2 的三项诊断意义，不可省略。</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二、尾注清单（6 条，含 2 处待补）</w:t>
      </w:r>
    </w:p>
    <w:p>
      <w:pPr>
        <w:spacing w:after="60" w:before="0" w:line="400" w:lineRule="auto"/>
        <w:ind w:firstLine="480"/>
        <w:jc w:val="both"/>
      </w:pPr>
      <w:r>
        <w:rPr>
          <w:rFonts w:ascii="Times New Roman" w:cs="Times New Roman" w:eastAsia="宋体" w:hAnsi="Times New Roman"/>
          <w:sz w:val="24"/>
          <w:szCs w:val="24"/>
        </w:rPr>
        <w:t xml:space="preserve">正文已改为句末尾注上标。以下为各上标对应的文献，请按 GB/T 7714 补足页码与出版信息后，并入书末「参考文献」的对应分区。以上条目为按正文论断的通行出处所拟，请逐条核对原文并补足页码，凡未经本人核实者不宜直接采用。</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A 第5章尾注对应文献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出现位置</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对应文献</w:t>
            </w:r>
          </w:p>
        </w:tc>
      </w:tr>
      <w:tr>
        <w:trPr>
          <w:tblHeader w:val="false"/>
        </w:trPr>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[1]</w:t>
            </w:r>
          </w:p>
        </w:tc>
        <w:tc>
          <w:tcPr>
            <w:tcW w:type="dxa" w:w="300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5.1.2</w:t>
            </w:r>
          </w:p>
        </w:tc>
        <w:tc>
          <w:tcPr>
            <w:tcW w:type="dxa" w:w="3010"/>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Arthur W Jr, Bennett W Jr, Stanush P L, et al. Factors That Influence Skill Decay and Retention: A Quantitative Review and Analysis[J]. Human Performance, 1998, 11(1): 57-101.</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[2]</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5.3.1</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Scheffer M, Carpenter S, Foley J A, et al. Catastrophic Shifts in Ecosystems[J]. Nature, 2001, 413(6856): 591-596.</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[3]</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5.3.2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Lee J D, See K A. Trust in Automation: Designing for Appropriate Reliance[J]. Human Factors, 2004, 46(1): 50-80.</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[4]</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5.3.3</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Arthur W B. Competing Technologies, Increasing Returns, and Lock-In by Historical Events[J]. The Economic Journal, 1989, 99(394): 116-131. 亦可并引 David P A 关于路径依赖的经典论述，请择一或并列</w:t>
            </w:r>
          </w:p>
        </w:tc>
      </w:tr>
      <w:tr>
        <w:trPr>
          <w:tblHeader w:val="false"/>
        </w:trPr>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5.4.2</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Lally P, van Jaarsveld C H M, Potts H W W, et al. How Are Habits Formed: Modelling Habit Formation in the Real World[J]. European Journal of Social Psychology, 2010, 40(6): 998-1009.</w:t>
            </w:r>
          </w:p>
        </w:tc>
      </w:tr>
      <w:tr>
        <w:trPr>
          <w:tblHeader w:val="false"/>
        </w:trPr>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[6]</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5.4.5</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Johnson E J, Goldstein D. Do Defaults Save Lives?[J]. Science, 2003, 302(5649): 1338-1339.</w:t>
            </w:r>
          </w:p>
        </w:tc>
      </w:tr>
    </w:tbl>
    <w:p>
      <w:pPr>
        <w:spacing w:line="200" w:lineRule="auto"/>
      </w:pPr>
      <w:r>
        <w:rPr>
          <w:sz w:val="18"/>
          <w:szCs w:val="18"/>
        </w:rPr>
        <w:t xml:space="preserve"/>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B 第5章待补引注（2 处，正文中已以【待补：…】标出，显示为红色）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序号</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位置</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需要补的内容</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建议检索方向</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1</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5.2.3 第二段</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外部问责与制度性追问对技能维持作用的既有实证研究</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组织行为学中关于问责（accountability）对判断质量影响的研究；Lerner &amp; Tetlock 关于问责效应的综述；同行评议与复核制度对专业判断的影响研究</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待补 2</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5.3.2 阈值二</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核验行为与核验成本关系的既有实证研究</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人机交互中关于验证成本与依赖行为的实验研究；信息检索领域关于核实成本与信息采纳的研究</w:t>
            </w:r>
          </w:p>
        </w:tc>
      </w:tr>
    </w:tbl>
    <w:p>
      <w:pPr>
        <w:spacing w:line="200" w:lineRule="auto"/>
      </w:pPr>
      <w:r>
        <w:rPr>
          <w:sz w:val="18"/>
          <w:szCs w:val="18"/>
        </w:rPr>
        <w:t xml:space="preserve"/>
      </w:r>
    </w:p>
    <w:p>
      <w:pPr>
        <w:spacing w:after="60" w:before="0" w:line="400" w:lineRule="auto"/>
        <w:ind w:firstLine="480"/>
        <w:jc w:val="both"/>
      </w:pPr>
      <w:r>
        <w:rPr>
          <w:rFonts w:ascii="Times New Roman" w:cs="Times New Roman" w:eastAsia="宋体" w:hAnsi="Times New Roman"/>
          <w:sz w:val="24"/>
          <w:szCs w:val="24"/>
        </w:rPr>
        <w:t xml:space="preserve">需要说明的是，5.3.2 所提出的非线性关系推测目前无直接文献支撑，本书已在正文中以「本书推测」标明其性质，并将其列为 5.6.2 推论三交付后续检验。若待补 2 未能找到合适文献，可保留现状，不必勉强引证。</w:t>
      </w:r>
    </w:p>
    <w:p>
      <w:pPr>
        <w:pStyle w:val="Heading2"/>
        <w:spacing w:after="220" w:before="400" w:line="360" w:lineRule="auto"/>
        <w:jc w:val="left"/>
      </w:pPr>
      <w:r>
        <w:rPr>
          <w:rFonts w:ascii="Times New Roman" w:cs="Times New Roman" w:eastAsia="黑体" w:hAnsi="Times New Roman"/>
          <w:b w:val="false"/>
          <w:bCs w:val="false"/>
          <w:sz w:val="28"/>
          <w:szCs w:val="28"/>
        </w:rPr>
        <w:t xml:space="preserve">三、撰写说明</w:t>
      </w:r>
    </w:p>
    <w:p>
      <w:pPr>
        <w:pStyle w:val="Heading3"/>
        <w:spacing w:after="160" w:before="240" w:line="360" w:lineRule="auto"/>
        <w:jc w:val="left"/>
      </w:pPr>
      <w:r>
        <w:rPr>
          <w:rFonts w:ascii="Times New Roman" w:cs="Times New Roman" w:eastAsia="黑体" w:hAnsi="Times New Roman"/>
          <w:b/>
          <w:bCs/>
          <w:sz w:val="24"/>
          <w:szCs w:val="24"/>
        </w:rPr>
        <w:t xml:space="preserve">3.1 本章的定位与来源</w:t>
      </w:r>
    </w:p>
    <w:p>
      <w:pPr>
        <w:spacing w:after="60" w:before="0" w:line="400" w:lineRule="auto"/>
        <w:ind w:firstLine="480"/>
        <w:jc w:val="both"/>
      </w:pPr>
      <w:r>
        <w:rPr>
          <w:rFonts w:ascii="Times New Roman" w:cs="Times New Roman" w:eastAsia="宋体" w:hAnsi="Times New Roman"/>
          <w:sz w:val="24"/>
          <w:szCs w:val="24"/>
        </w:rPr>
        <w:t xml:space="preserve">本章此前无初稿，系依据三项既有材料撰写。第一，绪论对本章的定位，即区分单次卸载的适应性与长期卸载的累积性，自衰减发生的设计环节、触发的认知阈值、演变的具体路径三个方面构建认知韧性衰减机制模型，并提出若干可供后续实证检验的推论。第二，第4章 4.5.1 所交代的限度，即判据是静态的而卸载是动态的，该限度已明确指派由本章承担。第三，第2章 2.5.5 的交代，即第5章所构建的衰减机制模型具有推论的性质，本书将在该章末尾列出可检验推论。以上三项要求在本章中均已落实。</w:t>
      </w:r>
    </w:p>
    <w:p>
      <w:pPr>
        <w:pStyle w:val="Heading3"/>
        <w:spacing w:after="160" w:before="240" w:line="360" w:lineRule="auto"/>
        <w:jc w:val="left"/>
      </w:pPr>
      <w:r>
        <w:rPr>
          <w:rFonts w:ascii="Times New Roman" w:cs="Times New Roman" w:eastAsia="黑体" w:hAnsi="Times New Roman"/>
          <w:b/>
          <w:bCs/>
          <w:sz w:val="24"/>
          <w:szCs w:val="24"/>
        </w:rPr>
        <w:t xml:space="preserve">3.2 全章结构</w:t>
      </w:r>
    </w:p>
    <w:p>
      <w:pPr>
        <w:spacing w:line="200" w:lineRule="auto"/>
      </w:pPr>
      <w:r>
        <w:rPr>
          <w:sz w:val="18"/>
          <w:szCs w:val="18"/>
        </w:rPr>
        <w:t xml:space="preserve"/>
      </w:r>
    </w:p>
    <w:p>
      <w:pPr>
        <w:spacing w:after="0" w:before="0" w:line="300" w:lineRule="auto"/>
        <w:jc w:val="center"/>
      </w:pPr>
      <w:r>
        <w:rPr>
          <w:rFonts w:ascii="Times New Roman" w:cs="Times New Roman" w:eastAsia="宋体" w:hAnsi="Times New Roman"/>
          <w:sz w:val="18"/>
          <w:szCs w:val="18"/>
        </w:rPr>
        <w:t xml:space="preserve">表 C 第5章的结构安排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节次</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标题</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承担的工作</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center"/>
            </w:pPr>
            <w:r>
              <w:rPr>
                <w:rFonts w:ascii="Times New Roman" w:cs="Times New Roman" w:eastAsia="宋体" w:hAnsi="Times New Roman"/>
                <w:b/>
                <w:bCs/>
                <w:sz w:val="18"/>
                <w:szCs w:val="18"/>
              </w:rPr>
              <w:t xml:space="preserve">对应绪论的要求</w:t>
            </w:r>
          </w:p>
        </w:tc>
      </w:tr>
      <w:tr>
        <w:trPr>
          <w:tblHeader w:val="false"/>
        </w:trPr>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章首导语</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c>
          <w:tcPr>
            <w:tcW w:type="dxa" w:w="2256"/>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承接第4章 4.5.1 的限度，交代本章四部分工作与论证性质</w:t>
            </w:r>
          </w:p>
        </w:tc>
        <w:tc>
          <w:tcPr>
            <w:tcW w:type="dxa" w:w="2258"/>
            <w:tcBorders>
              <w:top w:val="single" w:color="000000" w:sz="6"/>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5.1</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单次卸载与长期卸载</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区分适应性与累积性，给出转化的三项条件</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区分单次的适应性与长期的累积性</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5.2</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衰减发生的位置</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以第4章边界图谱为坐标，提出三种失守形态与易感性排序</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衰减发生的设计环节</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5.3</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衰减的触发阈值</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提出信任、成本、时间三类阈值及其棘轮结构</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触发的认知阈值</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5.4</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衰减的演变路径</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四阶段模型及阶段间的转化条件与可逆性</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演变的具体路径</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5.5</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衰减机制模型的整合</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三方面的整合；三维度衰减的不同步及诊断意义</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构建衰减机制模型</w:t>
            </w:r>
          </w:p>
        </w:tc>
      </w:tr>
      <w:tr>
        <w:trPr>
          <w:tblHeader w:val="false"/>
        </w:trPr>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5.6</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可供实证检验的推论</w:t>
            </w:r>
          </w:p>
        </w:tc>
        <w:tc>
          <w:tcPr>
            <w:tcW w:type="dxa" w:w="225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六项推论、检验设计，及与第3章推论的分工</w:t>
            </w:r>
          </w:p>
        </w:tc>
        <w:tc>
          <w:tcPr>
            <w:tcW w:type="dxa" w:w="225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提出可供后续实证检验的推论</w:t>
            </w:r>
          </w:p>
        </w:tc>
      </w:tr>
      <w:tr>
        <w:trPr>
          <w:tblHeader w:val="false"/>
        </w:trPr>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5.7</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本章小结</w:t>
            </w:r>
          </w:p>
        </w:tc>
        <w:tc>
          <w:tcPr>
            <w:tcW w:type="dxa" w:w="225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复述本章所得，过渡至第6章干预策略</w:t>
            </w:r>
          </w:p>
        </w:tc>
        <w:tc>
          <w:tcPr>
            <w:tcW w:type="dxa" w:w="225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20" w:before="20" w:line="280" w:lineRule="auto"/>
              <w:jc w:val="left"/>
            </w:pPr>
            <w:r>
              <w:rPr>
                <w:rFonts w:ascii="Times New Roman" w:cs="Times New Roman" w:eastAsia="宋体" w:hAnsi="Times New Roman"/>
                <w:b w:val="false"/>
                <w:bCs w:val="false"/>
                <w:sz w:val="18"/>
                <w:szCs w:val="18"/>
              </w:rPr>
              <w:t xml:space="preserve">—</w:t>
            </w:r>
          </w:p>
        </w:tc>
      </w:tr>
    </w:tbl>
    <w:p>
      <w:pPr>
        <w:spacing w:line="200" w:lineRule="auto"/>
      </w:pPr>
      <w:r>
        <w:rPr>
          <w:sz w:val="18"/>
          <w:szCs w:val="18"/>
        </w:rPr>
        <w:t xml:space="preserve"/>
      </w:r>
    </w:p>
    <w:p>
      <w:pPr>
        <w:pStyle w:val="Heading3"/>
        <w:spacing w:after="160" w:before="240" w:line="360" w:lineRule="auto"/>
        <w:jc w:val="left"/>
      </w:pPr>
      <w:r>
        <w:rPr>
          <w:rFonts w:ascii="Times New Roman" w:cs="Times New Roman" w:eastAsia="黑体" w:hAnsi="Times New Roman"/>
          <w:b/>
          <w:bCs/>
          <w:sz w:val="24"/>
          <w:szCs w:val="24"/>
        </w:rPr>
        <w:t xml:space="preserve">3.3 本章的三处实质性处理</w:t>
      </w:r>
    </w:p>
    <w:p>
      <w:pPr>
        <w:spacing w:after="60" w:before="0" w:line="400" w:lineRule="auto"/>
        <w:ind w:firstLine="480"/>
        <w:jc w:val="both"/>
      </w:pPr>
      <w:r>
        <w:rPr>
          <w:rFonts w:ascii="Times New Roman" w:cs="Times New Roman" w:eastAsia="宋体" w:hAnsi="Times New Roman"/>
          <w:sz w:val="24"/>
          <w:szCs w:val="24"/>
        </w:rPr>
        <w:t xml:space="preserve">第一，衰减被界定为一个可定位的过程。本章将认知韧性的衰减界定为保留区节点由设计者亲自作出转为不由设计者亲自作出的过程（见 5.2.1）。这一界定的作用有二：一是使衰减由描述性的状态转为可追踪的事件序列，从而使第7章的溯源制度有了明确的记录对象；二是为第2章 2.5.5 所述基线缺失的困难提供了缓解可能，即基线不必是个体此前的能力水平，而可以是同一节点在此前项目中的处理方式。</w:t>
      </w:r>
    </w:p>
    <w:p>
      <w:pPr>
        <w:spacing w:after="60" w:before="0" w:line="400" w:lineRule="auto"/>
        <w:ind w:firstLine="480"/>
        <w:jc w:val="both"/>
      </w:pPr>
      <w:r>
        <w:rPr>
          <w:rFonts w:ascii="Times New Roman" w:cs="Times New Roman" w:eastAsia="宋体" w:hAnsi="Times New Roman"/>
          <w:sz w:val="24"/>
          <w:szCs w:val="24"/>
        </w:rPr>
        <w:t xml:space="preserve">第二，失守被区分为三种形态。除实质让渡外，本章提出了形式让渡与节点缺失两种形态（见 5.2.2）。其中节点缺失承接第4章 4.3.6 所提出的概念，形式让渡则为本章新增。三种形态的识别难度递增而损害相当，这一错位构成本章最具实践含义的发现之一，即防范最难识别的两种形态必须依赖过程记录而非结果检查。</w:t>
      </w:r>
    </w:p>
    <w:p>
      <w:pPr>
        <w:spacing w:after="60" w:before="0" w:line="400" w:lineRule="auto"/>
        <w:ind w:firstLine="480"/>
        <w:jc w:val="both"/>
      </w:pPr>
      <w:r>
        <w:rPr>
          <w:rFonts w:ascii="Times New Roman" w:cs="Times New Roman" w:eastAsia="宋体" w:hAnsi="Times New Roman"/>
          <w:sz w:val="24"/>
          <w:szCs w:val="24"/>
        </w:rPr>
        <w:t xml:space="preserve">第三，三个维度的衰减被判定为不同步。第2章 2.5.3 指出三个维度在正常情形下同向变动，但本章的阶段分析表明其衰减存在先后顺序，即自主验证行为最先、元认知监控次之、创作能动性最后（见 5.5.2）。这一判断有三项直接推论：自主验证行为是最早的可观测预警信号；以作品面貌判断能力状况在时机上必然过晚；三个维度不宜合成为单一分数。第三项为第2章 2.5.3 的同一主张提供了机制层面的理由。</w:t>
      </w:r>
    </w:p>
    <w:p>
      <w:pPr>
        <w:pStyle w:val="Heading3"/>
        <w:spacing w:after="160" w:before="240" w:line="360" w:lineRule="auto"/>
        <w:jc w:val="left"/>
      </w:pPr>
      <w:r>
        <w:rPr>
          <w:rFonts w:ascii="Times New Roman" w:cs="Times New Roman" w:eastAsia="黑体" w:hAnsi="Times New Roman"/>
          <w:b/>
          <w:bCs/>
          <w:sz w:val="24"/>
          <w:szCs w:val="24"/>
        </w:rPr>
        <w:t xml:space="preserve">3.4 需要你确认的五处</w:t>
      </w:r>
    </w:p>
    <w:p>
      <w:pPr>
        <w:spacing w:after="60" w:before="0" w:line="400" w:lineRule="auto"/>
        <w:ind w:firstLine="480"/>
        <w:jc w:val="both"/>
      </w:pPr>
      <w:r>
        <w:rPr>
          <w:rFonts w:ascii="Times New Roman" w:cs="Times New Roman" w:eastAsia="宋体" w:hAnsi="Times New Roman"/>
          <w:sz w:val="24"/>
          <w:szCs w:val="24"/>
        </w:rPr>
        <w:t xml:space="preserve">第一，章次引称。本章按八章制撰写，正文引称第6章干预策略、第7章溯源制度、第8章教育与产业。这一点与第2章至第4章相同，四章宜一并处理。</w:t>
      </w:r>
    </w:p>
    <w:p>
      <w:pPr>
        <w:spacing w:after="60" w:before="0" w:line="400" w:lineRule="auto"/>
        <w:ind w:firstLine="480"/>
        <w:jc w:val="both"/>
      </w:pPr>
      <w:r>
        <w:rPr>
          <w:rFonts w:ascii="Times New Roman" w:cs="Times New Roman" w:eastAsia="宋体" w:hAnsi="Times New Roman"/>
          <w:sz w:val="24"/>
          <w:szCs w:val="24"/>
        </w:rPr>
        <w:t xml:space="preserve">第二，与第3章推论的分工已在正文中明确。第3章 3.5.2 曾提出四项推论，本章 5.6.2 提出六项，二者的分工已由 5.6.1 与表5-7 明确交代，即前者指向学科层面的命题、后者指向机制层面的模型。这一处理回应了第3章配套清单所列的第四条待确认事项，该条至此可视为已解决。但若你倾向于将两处推论合并，则本章 5.6.1 与表5-7 须相应改写。</w:t>
      </w:r>
    </w:p>
    <w:p>
      <w:pPr>
        <w:spacing w:after="60" w:before="0" w:line="400" w:lineRule="auto"/>
        <w:ind w:firstLine="480"/>
        <w:jc w:val="both"/>
      </w:pPr>
      <w:r>
        <w:rPr>
          <w:rFonts w:ascii="Times New Roman" w:cs="Times New Roman" w:eastAsia="宋体" w:hAnsi="Times New Roman"/>
          <w:sz w:val="24"/>
          <w:szCs w:val="24"/>
        </w:rPr>
        <w:t xml:space="preserve">第三，「形式让渡」是否需要在绪论中交代。本章新增了形式让渡这一形态，与第4章新增的节点缺失一样，均未出现于绪论的核心概念界定一节。若两项概念均予采用，建议在绪论中一并补入；若只采用其一，建议保留节点缺失而将形式让渡降为 5.2.2 的描述性说明，因为前者已被第4章与第7章共同使用。</w:t>
      </w:r>
    </w:p>
    <w:p>
      <w:pPr>
        <w:spacing w:after="60" w:before="0" w:line="400" w:lineRule="auto"/>
        <w:ind w:firstLine="480"/>
        <w:jc w:val="both"/>
      </w:pPr>
      <w:r>
        <w:rPr>
          <w:rFonts w:ascii="Times New Roman" w:cs="Times New Roman" w:eastAsia="宋体" w:hAnsi="Times New Roman"/>
          <w:sz w:val="24"/>
          <w:szCs w:val="24"/>
        </w:rPr>
        <w:t xml:space="preserve">第四，四阶段的命名。本章将四个阶段命名为选择性卸载、习惯性卸载、结构性卸载与能力性卸载。前三者的命名依据是卸载行为的性质，第四者的命名依据则是卸载的原因，四者在命名逻辑上并不完全齐整。若你希望统一，可考虑将第四阶段改称「必需性卸载」或「依赖性卸载」；本书倾向于保留「能力性卸载」，因为它直接点出该阶段与前三者的实质差别在于能力已不足，而非仅仅是行为习惯或工作结构使然。请你定夺。</w:t>
      </w:r>
    </w:p>
    <w:p>
      <w:pPr>
        <w:spacing w:after="60" w:before="0" w:line="400" w:lineRule="auto"/>
        <w:ind w:firstLine="480"/>
        <w:jc w:val="both"/>
      </w:pPr>
      <w:r>
        <w:rPr>
          <w:rFonts w:ascii="Times New Roman" w:cs="Times New Roman" w:eastAsia="宋体" w:hAnsi="Times New Roman"/>
          <w:sz w:val="24"/>
          <w:szCs w:val="24"/>
        </w:rPr>
        <w:t xml:space="preserve">第五，5.4.4 的判别标准是否可行。阶段四的判别标准为一项反事实条件，即在无工具条件下设计者亦无法作出该判断。这一标准在学理上清楚，但在实践中须设置无工具任务方能施测，而此类施测在真实项目中难以安排。若你认为该标准过于严苛，可考虑补一项替代性的近似判别，例如以设计者在被追问时能否给出不同于模型解释的理由作为间接指标。相应的设计已列于 5.6.2 推论五的检验设计中，可视需要提前至 5.4.4。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2026-08-30T11:34:23.671Z</dcterms:created>
  <dcterms:modified xsi:type="dcterms:W3CDTF">2026-08-30T11:34:23.671Z</dcterms:modified>
</cp:coreProperties>
</file>

<file path=docProps/custom.xml><?xml version="1.0" encoding="utf-8"?>
<Properties xmlns="http://schemas.openxmlformats.org/officeDocument/2006/custom-properties" xmlns:vt="http://schemas.openxmlformats.org/officeDocument/2006/docPropsVTypes"/>
</file>