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3A6B" w:sz="24"/>
        </w:pBdr>
        <w:spacing w:after="0" w:before="0"/>
      </w:pPr>
    </w:p>
    <w:p>
      <w:pPr>
        <w:spacing w:after="180" w:before="0"/>
      </w:pPr>
    </w:p>
    <w:p>
      <w:pPr>
        <w:spacing w:after="40" w:before="0"/>
        <w:jc w:val="center"/>
      </w:pPr>
      <w:r>
        <w:rPr>
          <w:rFonts w:ascii="Arial" w:cs="Arial" w:eastAsia="Arial" w:hAnsi="Arial"/>
          <w:b/>
          <w:bCs/>
          <w:caps/>
          <w:color w:val="1B3A6B"/>
          <w:sz w:val="44"/>
          <w:szCs w:val="44"/>
        </w:rPr>
        <w:t xml:space="preserve">APPS ON DEMAND</w:t>
      </w:r>
    </w:p>
    <w:p>
      <w:pPr>
        <w:spacing w:after="30" w:before="0"/>
        <w:jc w:val="center"/>
      </w:pPr>
      <w:r>
        <w:rPr>
          <w:rFonts w:ascii="Arial" w:cs="Arial" w:eastAsia="Arial" w:hAnsi="Arial"/>
          <w:i/>
          <w:iCs/>
          <w:color w:val="8A9BB0"/>
          <w:sz w:val="20"/>
          <w:szCs w:val="20"/>
        </w:rPr>
        <w:t xml:space="preserve">NexCort iQ Platform  —  Intelligence at the Speed of Response</w:t>
      </w:r>
    </w:p>
    <w:p>
      <w:pPr>
        <w:spacing w:after="120" w:before="0"/>
      </w:pPr>
    </w:p>
    <w:p>
      <w:pPr>
        <w:pBdr>
          <w:bottom w:val="single" w:color="1B3A6B" w:sz="12" w:space="1"/>
        </w:pBdr>
        <w:spacing w:after="120" w:before="0"/>
      </w:pPr>
    </w:p>
    <w:p>
      <w:pPr>
        <w:spacing w:after="60" w:before="0"/>
      </w:pPr>
    </w:p>
    <w:p>
      <w:pPr>
        <w:spacing w:after="40" w:before="0"/>
        <w:jc w:val="center"/>
      </w:pPr>
      <w:r>
        <w:rPr>
          <w:rFonts w:ascii="Arial" w:cs="Arial" w:eastAsia="Arial" w:hAnsi="Arial"/>
          <w:b/>
          <w:bCs/>
          <w:caps/>
          <w:color w:val="0D1B2A"/>
          <w:sz w:val="38"/>
          <w:szCs w:val="38"/>
        </w:rPr>
        <w:t xml:space="preserve">Advisor Agreement</w:t>
      </w:r>
    </w:p>
    <w:p>
      <w:pPr>
        <w:spacing w:after="60" w:before="0"/>
        <w:jc w:val="center"/>
      </w:pPr>
      <w:r>
        <w:rPr>
          <w:rFonts w:ascii="Arial" w:cs="Arial" w:eastAsia="Arial" w:hAnsi="Arial"/>
          <w:i/>
          <w:iCs/>
          <w:color w:val="8A9BB0"/>
          <w:sz w:val="22"/>
          <w:szCs w:val="22"/>
        </w:rPr>
        <w:t xml:space="preserve">Public Safety  |  Higher Education  |  Venue Security  |  Industry Advisors</w:t>
      </w:r>
    </w:p>
    <w:p>
      <w:pPr>
        <w:spacing w:after="80" w:before="0"/>
      </w:pP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4320"/>
      </w:tblGrid>
      <w:tr>
        <w:tc>
          <w:tcPr>
            <w:tcW w:type="dxa" w:w="4320"/>
            <w:tcBorders>
              <w:top w:val="single" w:color="1B3A6B" w:sz="1"/>
              <w:left w:val="single" w:color="1B3A6B" w:sz="1"/>
              <w:bottom w:val="single" w:color="1B3A6B" w:sz="1"/>
              <w:right w:val="single" w:color="1B3A6B" w:sz="1"/>
            </w:tcBorders>
            <w:shd w:fill="D6E4F7" w:val="clear"/>
            <w:tcMar>
              <w:top w:type="dxa" w:w="120"/>
              <w:left w:type="dxa" w:w="180"/>
              <w:bottom w:type="dxa" w:w="120"/>
              <w:right w:type="dxa" w:w="180"/>
            </w:tcMar>
          </w:tcPr>
          <w:p>
            <w:pPr>
              <w:jc w:val="center"/>
            </w:pPr>
            <w:r>
              <w:rPr>
                <w:rFonts w:ascii="Arial" w:cs="Arial" w:eastAsia="Arial" w:hAnsi="Arial"/>
                <w:b/>
                <w:bCs/>
                <w:color w:val="1B3A6B"/>
                <w:sz w:val="20"/>
                <w:szCs w:val="20"/>
              </w:rPr>
              <w:t xml:space="preserve">CATEGORY 1: ADVISOR  —  NOT AN EMPLOYMENT AGREEMENT</w:t>
            </w:r>
          </w:p>
        </w:tc>
      </w:tr>
    </w:tbl>
    <w:p>
      <w:pPr>
        <w:spacing w:after="120" w:before="0"/>
      </w:pPr>
    </w:p>
    <w:p>
      <w:pPr>
        <w:pBdr>
          <w:bottom w:val="single" w:color="1B3A6B" w:sz="12" w:space="1"/>
        </w:pBdr>
        <w:spacing w:after="12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Company</w:t>
            </w:r>
          </w:p>
        </w:tc>
        <w:tc>
          <w:tcPr>
            <w:tcW w:type="dxa" w:w="6560"/>
            <w:tcBorders>
              <w:top w:val="single" w:color="D0D6DF" w:sz="1"/>
              <w:left w:val="single" w:color="D0D6DF" w:sz="1"/>
              <w:bottom w:val="single" w:color="D0D6DF" w:sz="1"/>
              <w:right w:val="single" w:color="D0D6DF" w:sz="1"/>
            </w:tcBorders>
            <w:shd w:fill="FFFFFF" w:val="clear"/>
            <w:tcMar>
              <w:top w:type="dxa" w:w="90"/>
              <w:left w:type="dxa" w:w="140"/>
              <w:bottom w:type="dxa" w:w="90"/>
              <w:right w:type="dxa" w:w="140"/>
            </w:tcMar>
          </w:tcPr>
          <w:p>
            <w:r>
              <w:rPr>
                <w:rFonts w:ascii="Arial" w:cs="Arial" w:eastAsia="Arial" w:hAnsi="Arial"/>
                <w:i w:val="false"/>
                <w:iCs w:val="false"/>
                <w:color w:val="0D1B2A"/>
                <w:sz w:val="22"/>
                <w:szCs w:val="22"/>
              </w:rPr>
              <w:t xml:space="preserve">Apps on Demand (Legal Entity — Entity Type: [LLC / Inc.])</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Platform</w:t>
            </w:r>
          </w:p>
        </w:tc>
        <w:tc>
          <w:tcPr>
            <w:tcW w:type="dxa" w:w="6560"/>
            <w:tcBorders>
              <w:top w:val="single" w:color="D0D6DF" w:sz="1"/>
              <w:left w:val="single" w:color="D0D6DF" w:sz="1"/>
              <w:bottom w:val="single" w:color="D0D6DF" w:sz="1"/>
              <w:right w:val="single" w:color="D0D6DF" w:sz="1"/>
            </w:tcBorders>
            <w:shd w:fill="FFFFFF" w:val="clear"/>
            <w:tcMar>
              <w:top w:type="dxa" w:w="90"/>
              <w:left w:type="dxa" w:w="140"/>
              <w:bottom w:type="dxa" w:w="90"/>
              <w:right w:type="dxa" w:w="140"/>
            </w:tcMar>
          </w:tcPr>
          <w:p>
            <w:r>
              <w:rPr>
                <w:rFonts w:ascii="Arial" w:cs="Arial" w:eastAsia="Arial" w:hAnsi="Arial"/>
                <w:i w:val="false"/>
                <w:iCs w:val="false"/>
                <w:color w:val="0D1B2A"/>
                <w:sz w:val="22"/>
                <w:szCs w:val="22"/>
              </w:rPr>
              <w:t xml:space="preserve">NexCort iQ — Intelligence at the Speed of Response</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Advisor Name</w:t>
            </w:r>
          </w:p>
        </w:tc>
        <w:tc>
          <w:tcPr>
            <w:tcW w:type="dxa" w:w="6560"/>
            <w:tcBorders>
              <w:top w:val="single" w:color="C0392B" w:sz="1"/>
              <w:left w:val="single" w:color="C0392B" w:sz="1"/>
              <w:bottom w:val="single" w:color="C0392B" w:sz="1"/>
              <w:right w:val="single" w:color="C0392B" w:sz="1"/>
            </w:tcBorders>
            <w:shd w:fill="FFF5F5" w:val="clear"/>
            <w:tcMar>
              <w:top w:type="dxa" w:w="90"/>
              <w:left w:type="dxa" w:w="140"/>
              <w:bottom w:type="dxa" w:w="90"/>
              <w:right w:type="dxa" w:w="140"/>
            </w:tcMar>
          </w:tcPr>
          <w:p>
            <w:r>
              <w:rPr>
                <w:rFonts w:ascii="Arial" w:cs="Arial" w:eastAsia="Arial" w:hAnsi="Arial"/>
                <w:i/>
                <w:iCs/>
                <w:color w:val="C0392B"/>
                <w:sz w:val="22"/>
                <w:szCs w:val="22"/>
              </w:rPr>
              <w:t xml:space="preserve">[FULL LEGAL NAME]</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Advisor Type</w:t>
            </w:r>
          </w:p>
        </w:tc>
        <w:tc>
          <w:tcPr>
            <w:tcW w:type="dxa" w:w="6560"/>
            <w:tcBorders>
              <w:top w:val="single" w:color="C0392B" w:sz="1"/>
              <w:left w:val="single" w:color="C0392B" w:sz="1"/>
              <w:bottom w:val="single" w:color="C0392B" w:sz="1"/>
              <w:right w:val="single" w:color="C0392B" w:sz="1"/>
            </w:tcBorders>
            <w:shd w:fill="FFF5F5" w:val="clear"/>
            <w:tcMar>
              <w:top w:type="dxa" w:w="90"/>
              <w:left w:type="dxa" w:w="140"/>
              <w:bottom w:type="dxa" w:w="90"/>
              <w:right w:type="dxa" w:w="140"/>
            </w:tcMar>
          </w:tcPr>
          <w:p>
            <w:r>
              <w:rPr>
                <w:rFonts w:ascii="Arial" w:cs="Arial" w:eastAsia="Arial" w:hAnsi="Arial"/>
                <w:i/>
                <w:iCs/>
                <w:color w:val="C0392B"/>
                <w:sz w:val="22"/>
                <w:szCs w:val="22"/>
              </w:rPr>
              <w:t xml:space="preserve">[Public Safety / Higher Education / Venue Security / Other]</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Advisor Title</w:t>
            </w:r>
          </w:p>
        </w:tc>
        <w:tc>
          <w:tcPr>
            <w:tcW w:type="dxa" w:w="6560"/>
            <w:tcBorders>
              <w:top w:val="single" w:color="C0392B" w:sz="1"/>
              <w:left w:val="single" w:color="C0392B" w:sz="1"/>
              <w:bottom w:val="single" w:color="C0392B" w:sz="1"/>
              <w:right w:val="single" w:color="C0392B" w:sz="1"/>
            </w:tcBorders>
            <w:shd w:fill="FFF5F5" w:val="clear"/>
            <w:tcMar>
              <w:top w:type="dxa" w:w="90"/>
              <w:left w:type="dxa" w:w="140"/>
              <w:bottom w:type="dxa" w:w="90"/>
              <w:right w:type="dxa" w:w="140"/>
            </w:tcMar>
          </w:tcPr>
          <w:p>
            <w:r>
              <w:rPr>
                <w:rFonts w:ascii="Arial" w:cs="Arial" w:eastAsia="Arial" w:hAnsi="Arial"/>
                <w:i/>
                <w:iCs/>
                <w:color w:val="C0392B"/>
                <w:sz w:val="22"/>
                <w:szCs w:val="22"/>
              </w:rPr>
              <w:t xml:space="preserve">[e.g., Public Safety Advisor, Higher Education Advisor]</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Effective Date</w:t>
            </w:r>
          </w:p>
        </w:tc>
        <w:tc>
          <w:tcPr>
            <w:tcW w:type="dxa" w:w="6560"/>
            <w:tcBorders>
              <w:top w:val="single" w:color="C0392B" w:sz="1"/>
              <w:left w:val="single" w:color="C0392B" w:sz="1"/>
              <w:bottom w:val="single" w:color="C0392B" w:sz="1"/>
              <w:right w:val="single" w:color="C0392B" w:sz="1"/>
            </w:tcBorders>
            <w:shd w:fill="FFF5F5" w:val="clear"/>
            <w:tcMar>
              <w:top w:type="dxa" w:w="90"/>
              <w:left w:type="dxa" w:w="140"/>
              <w:bottom w:type="dxa" w:w="90"/>
              <w:right w:type="dxa" w:w="140"/>
            </w:tcMar>
          </w:tcPr>
          <w:p>
            <w:r>
              <w:rPr>
                <w:rFonts w:ascii="Arial" w:cs="Arial" w:eastAsia="Arial" w:hAnsi="Arial"/>
                <w:i/>
                <w:iCs/>
                <w:color w:val="C0392B"/>
                <w:sz w:val="22"/>
                <w:szCs w:val="22"/>
              </w:rPr>
              <w:t xml:space="preserve">[DATE OF EXECUTION]</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Agreement No.</w:t>
            </w:r>
          </w:p>
        </w:tc>
        <w:tc>
          <w:tcPr>
            <w:tcW w:type="dxa" w:w="6560"/>
            <w:tcBorders>
              <w:top w:val="single" w:color="C0392B" w:sz="1"/>
              <w:left w:val="single" w:color="C0392B" w:sz="1"/>
              <w:bottom w:val="single" w:color="C0392B" w:sz="1"/>
              <w:right w:val="single" w:color="C0392B" w:sz="1"/>
            </w:tcBorders>
            <w:shd w:fill="FFF5F5" w:val="clear"/>
            <w:tcMar>
              <w:top w:type="dxa" w:w="90"/>
              <w:left w:type="dxa" w:w="140"/>
              <w:bottom w:type="dxa" w:w="90"/>
              <w:right w:type="dxa" w:w="140"/>
            </w:tcMar>
          </w:tcPr>
          <w:p>
            <w:r>
              <w:rPr>
                <w:rFonts w:ascii="Arial" w:cs="Arial" w:eastAsia="Arial" w:hAnsi="Arial"/>
                <w:i/>
                <w:iCs/>
                <w:color w:val="C0392B"/>
                <w:sz w:val="22"/>
                <w:szCs w:val="22"/>
              </w:rPr>
              <w:t xml:space="preserve">[AOD-ADV-XXXX]</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FF5F5" w:val="clear"/>
            <w:tcMar>
              <w:top w:type="dxa" w:w="120"/>
              <w:left w:type="dxa" w:w="180"/>
              <w:bottom w:type="dxa" w:w="120"/>
              <w:right w:type="dxa" w:w="180"/>
            </w:tcMar>
          </w:tcPr>
          <w:p>
            <w:pPr>
              <w:jc w:val="center"/>
            </w:pPr>
            <w:r>
              <w:rPr>
                <w:rFonts w:ascii="Arial" w:cs="Arial" w:eastAsia="Arial" w:hAnsi="Arial"/>
                <w:b/>
                <w:bCs/>
                <w:color w:val="C0392B"/>
                <w:sz w:val="21"/>
                <w:szCs w:val="21"/>
              </w:rPr>
              <w:t xml:space="preserve">THIS IS NOT AN EMPLOYMENT AGREEMENT. INDIVIDUAL IS AN INDEPENDENT ADVISOR, NOT AN EMPLOYEE. NO EMPLOYER-EMPLOYEE RELATIONSHIP IS CREATED HEREBY.</w:t>
            </w:r>
          </w:p>
        </w:tc>
      </w:tr>
    </w:tbl>
    <w:p>
      <w:pPr>
        <w:spacing w:after="100" w:before="0"/>
      </w:pPr>
    </w:p>
    <w:p>
      <w:r>
        <w:br w:type="page"/>
      </w:r>
    </w:p>
    <w:p>
      <w:pPr>
        <w:pStyle w:val="Heading1"/>
        <w:spacing w:after="100" w:before="320"/>
      </w:pPr>
      <w:r>
        <w:rPr>
          <w:rFonts w:ascii="Arial" w:cs="Arial" w:eastAsia="Arial" w:hAnsi="Arial"/>
          <w:b/>
          <w:bCs/>
          <w:caps/>
          <w:color w:val="1B3A6B"/>
          <w:sz w:val="28"/>
          <w:szCs w:val="28"/>
        </w:rPr>
        <w:t xml:space="preserve">Recitals</w:t>
      </w:r>
    </w:p>
    <w:p>
      <w:pPr>
        <w:spacing w:after="140" w:before="0"/>
        <w:jc w:val="both"/>
      </w:pPr>
      <w:r>
        <w:rPr>
          <w:rFonts w:ascii="Arial" w:cs="Arial" w:eastAsia="Arial" w:hAnsi="Arial"/>
          <w:color w:val="0D1B2A"/>
          <w:sz w:val="22"/>
          <w:szCs w:val="22"/>
        </w:rPr>
        <w:t xml:space="preserve">WHEREAS, Apps on Demand ("Company") is an early-stage technology company developing and operating NexCort iQ, an artificial intelligence-powered public safety intelligence platform designed for 911 dispatch centers, emergency communications centers, law enforcement, fire rescue, EMS, and emergency management agencies;</w:t>
      </w:r>
    </w:p>
    <w:p>
      <w:pPr>
        <w:spacing w:after="140" w:before="0"/>
        <w:jc w:val="both"/>
      </w:pPr>
      <w:r>
        <w:rPr>
          <w:rFonts w:ascii="Arial" w:cs="Arial" w:eastAsia="Arial" w:hAnsi="Arial"/>
          <w:color w:val="0D1B2A"/>
          <w:sz w:val="22"/>
          <w:szCs w:val="22"/>
        </w:rPr>
        <w:t xml:space="preserve">WHEREAS, Company is a bootstrap startup seeking experienced industry advisors who can provide strategic guidance, industry expertise, introductions, and product feedback to support the development and growth of the NexCort iQ platform;</w:t>
      </w:r>
    </w:p>
    <w:p>
      <w:pPr>
        <w:spacing w:after="140" w:before="0"/>
        <w:jc w:val="both"/>
      </w:pPr>
      <w:r>
        <w:rPr>
          <w:rFonts w:ascii="Arial" w:cs="Arial" w:eastAsia="Arial" w:hAnsi="Arial"/>
          <w:color w:val="0D1B2A"/>
          <w:sz w:val="22"/>
          <w:szCs w:val="22"/>
        </w:rPr>
        <w:t xml:space="preserve">WHEREAS, Individual has relevant expertise, industry relationships, and experience that would benefit Company in its mission to build resilient, intelligent, real-time technology supporting the professionals who protect communities;</w:t>
      </w:r>
    </w:p>
    <w:p>
      <w:pPr>
        <w:spacing w:after="140" w:before="0"/>
        <w:jc w:val="both"/>
      </w:pPr>
      <w:r>
        <w:rPr>
          <w:rFonts w:ascii="Arial" w:cs="Arial" w:eastAsia="Arial" w:hAnsi="Arial"/>
          <w:color w:val="0D1B2A"/>
          <w:sz w:val="22"/>
          <w:szCs w:val="22"/>
        </w:rPr>
        <w:t xml:space="preserve">WHEREAS, the parties desire to establish a formal advisory relationship on the terms and conditions set forth herein;</w:t>
      </w:r>
    </w:p>
    <w:p>
      <w:pPr>
        <w:spacing w:after="140" w:before="0"/>
        <w:jc w:val="both"/>
      </w:pPr>
      <w:r>
        <w:rPr>
          <w:rFonts w:ascii="Arial" w:cs="Arial" w:eastAsia="Arial" w:hAnsi="Arial"/>
          <w:color w:val="0D1B2A"/>
          <w:sz w:val="22"/>
          <w:szCs w:val="22"/>
        </w:rPr>
        <w:t xml:space="preserve">WHEREAS, Individual understands and expressly acknowledges that this is an advisory relationship only — not employment — and that no wages, salary, or guaranteed monetary compensation will be provided;</w:t>
      </w:r>
    </w:p>
    <w:p>
      <w:pPr>
        <w:spacing w:after="140" w:before="0"/>
        <w:jc w:val="both"/>
      </w:pPr>
      <w:r>
        <w:rPr>
          <w:rFonts w:ascii="Arial" w:cs="Arial" w:eastAsia="Arial" w:hAnsi="Arial"/>
          <w:color w:val="0D1B2A"/>
          <w:sz w:val="22"/>
          <w:szCs w:val="22"/>
        </w:rPr>
        <w:t xml:space="preserve">NOW, THEREFORE, in consideration of the mutual covenants herein and other good and valuable consideration, the parties agree as follows:</w:t>
      </w:r>
    </w:p>
    <w:p>
      <w:pPr>
        <w:spacing w:after="80" w:before="0"/>
      </w:pPr>
    </w:p>
    <w:p>
      <w:pPr>
        <w:pStyle w:val="Heading1"/>
        <w:spacing w:after="100" w:before="320"/>
      </w:pPr>
      <w:r>
        <w:rPr>
          <w:rFonts w:ascii="Arial" w:cs="Arial" w:eastAsia="Arial" w:hAnsi="Arial"/>
          <w:b/>
          <w:bCs/>
          <w:caps/>
          <w:color w:val="1B3A6B"/>
          <w:sz w:val="28"/>
          <w:szCs w:val="28"/>
        </w:rPr>
        <w:t xml:space="preserve">Article 1 — Definitions</w:t>
      </w:r>
    </w:p>
    <w:p>
      <w:pPr>
        <w:spacing w:after="60" w:before="180"/>
      </w:pPr>
      <w:r>
        <w:rPr>
          <w:rFonts w:ascii="Arial" w:cs="Arial" w:eastAsia="Arial" w:hAnsi="Arial"/>
          <w:b/>
          <w:bCs/>
          <w:color w:val="1E4D8C"/>
          <w:sz w:val="22"/>
          <w:szCs w:val="22"/>
        </w:rPr>
        <w:t xml:space="preserve">1.1  </w:t>
      </w:r>
      <w:r>
        <w:rPr>
          <w:rFonts w:ascii="Arial" w:cs="Arial" w:eastAsia="Arial" w:hAnsi="Arial"/>
          <w:b/>
          <w:bCs/>
          <w:color w:val="0D1B2A"/>
          <w:sz w:val="22"/>
          <w:szCs w:val="22"/>
        </w:rPr>
        <w:t xml:space="preserve">"Company"</w:t>
      </w:r>
    </w:p>
    <w:p>
      <w:pPr>
        <w:spacing w:after="140" w:before="0"/>
        <w:jc w:val="both"/>
      </w:pPr>
      <w:r>
        <w:rPr>
          <w:rFonts w:ascii="Arial" w:cs="Arial" w:eastAsia="Arial" w:hAnsi="Arial"/>
          <w:color w:val="0D1B2A"/>
          <w:sz w:val="22"/>
          <w:szCs w:val="22"/>
        </w:rPr>
        <w:t xml:space="preserve">Apps on Demand, a [Georgia / state of formation] company, including its officers, managers, members, successors, and permitted assigns, operating the NexCort iQ public safety platform.</w:t>
      </w:r>
    </w:p>
    <w:p>
      <w:pPr>
        <w:spacing w:after="60" w:before="180"/>
      </w:pPr>
      <w:r>
        <w:rPr>
          <w:rFonts w:ascii="Arial" w:cs="Arial" w:eastAsia="Arial" w:hAnsi="Arial"/>
          <w:b/>
          <w:bCs/>
          <w:color w:val="1E4D8C"/>
          <w:sz w:val="22"/>
          <w:szCs w:val="22"/>
        </w:rPr>
        <w:t xml:space="preserve">1.2  </w:t>
      </w:r>
      <w:r>
        <w:rPr>
          <w:rFonts w:ascii="Arial" w:cs="Arial" w:eastAsia="Arial" w:hAnsi="Arial"/>
          <w:b/>
          <w:bCs/>
          <w:color w:val="0D1B2A"/>
          <w:sz w:val="22"/>
          <w:szCs w:val="22"/>
        </w:rPr>
        <w:t xml:space="preserve">"Individual" / "Advisor"</w:t>
      </w:r>
    </w:p>
    <w:p>
      <w:pPr>
        <w:spacing w:after="140" w:before="0"/>
        <w:jc w:val="both"/>
      </w:pPr>
      <w:r>
        <w:rPr>
          <w:rFonts w:ascii="Arial" w:cs="Arial" w:eastAsia="Arial" w:hAnsi="Arial"/>
          <w:color w:val="0D1B2A"/>
          <w:sz w:val="22"/>
          <w:szCs w:val="22"/>
        </w:rPr>
        <w:t xml:space="preserve">The person identified in the cover page of this Agreement who is engaged as an independent advisor, not an employee or contractor providing services for wages.</w:t>
      </w:r>
    </w:p>
    <w:p>
      <w:pPr>
        <w:spacing w:after="60" w:before="180"/>
      </w:pPr>
      <w:r>
        <w:rPr>
          <w:rFonts w:ascii="Arial" w:cs="Arial" w:eastAsia="Arial" w:hAnsi="Arial"/>
          <w:b/>
          <w:bCs/>
          <w:color w:val="1E4D8C"/>
          <w:sz w:val="22"/>
          <w:szCs w:val="22"/>
        </w:rPr>
        <w:t xml:space="preserve">1.3  </w:t>
      </w:r>
      <w:r>
        <w:rPr>
          <w:rFonts w:ascii="Arial" w:cs="Arial" w:eastAsia="Arial" w:hAnsi="Arial"/>
          <w:b/>
          <w:bCs/>
          <w:color w:val="0D1B2A"/>
          <w:sz w:val="22"/>
          <w:szCs w:val="22"/>
        </w:rPr>
        <w:t xml:space="preserve">"Advisory Services"</w:t>
      </w:r>
    </w:p>
    <w:p>
      <w:pPr>
        <w:spacing w:after="140" w:before="0"/>
        <w:jc w:val="both"/>
      </w:pPr>
      <w:r>
        <w:rPr>
          <w:rFonts w:ascii="Arial" w:cs="Arial" w:eastAsia="Arial" w:hAnsi="Arial"/>
          <w:color w:val="0D1B2A"/>
          <w:sz w:val="22"/>
          <w:szCs w:val="22"/>
        </w:rPr>
        <w:t xml:space="preserve">The advisory activities described in Article 3, including industry guidance, strategic introductions, product feedback, and participation in advisory discussions.</w:t>
      </w:r>
    </w:p>
    <w:p>
      <w:pPr>
        <w:spacing w:after="60" w:before="180"/>
      </w:pPr>
      <w:r>
        <w:rPr>
          <w:rFonts w:ascii="Arial" w:cs="Arial" w:eastAsia="Arial" w:hAnsi="Arial"/>
          <w:b/>
          <w:bCs/>
          <w:color w:val="1E4D8C"/>
          <w:sz w:val="22"/>
          <w:szCs w:val="22"/>
        </w:rPr>
        <w:t xml:space="preserve">1.4  </w:t>
      </w:r>
      <w:r>
        <w:rPr>
          <w:rFonts w:ascii="Arial" w:cs="Arial" w:eastAsia="Arial" w:hAnsi="Arial"/>
          <w:b/>
          <w:bCs/>
          <w:color w:val="0D1B2A"/>
          <w:sz w:val="22"/>
          <w:szCs w:val="22"/>
        </w:rPr>
        <w:t xml:space="preserve">"Confidential Information"</w:t>
      </w:r>
    </w:p>
    <w:p>
      <w:pPr>
        <w:spacing w:after="140" w:before="0"/>
        <w:jc w:val="both"/>
      </w:pPr>
      <w:r>
        <w:rPr>
          <w:rFonts w:ascii="Arial" w:cs="Arial" w:eastAsia="Arial" w:hAnsi="Arial"/>
          <w:color w:val="0D1B2A"/>
          <w:sz w:val="22"/>
          <w:szCs w:val="22"/>
        </w:rPr>
        <w:t xml:space="preserve">All non-public information belonging to or relating to Company, its platform, customers, business strategy, technology, financials, and operations, in any form — written, oral, electronic, or visual. Full definition is set forth in Article 6.</w:t>
      </w:r>
    </w:p>
    <w:p>
      <w:pPr>
        <w:spacing w:after="60" w:before="180"/>
      </w:pPr>
      <w:r>
        <w:rPr>
          <w:rFonts w:ascii="Arial" w:cs="Arial" w:eastAsia="Arial" w:hAnsi="Arial"/>
          <w:b/>
          <w:bCs/>
          <w:color w:val="1E4D8C"/>
          <w:sz w:val="22"/>
          <w:szCs w:val="22"/>
        </w:rPr>
        <w:t xml:space="preserve">1.5  </w:t>
      </w:r>
      <w:r>
        <w:rPr>
          <w:rFonts w:ascii="Arial" w:cs="Arial" w:eastAsia="Arial" w:hAnsi="Arial"/>
          <w:b/>
          <w:bCs/>
          <w:color w:val="0D1B2A"/>
          <w:sz w:val="22"/>
          <w:szCs w:val="22"/>
        </w:rPr>
        <w:t xml:space="preserve">"Equity"</w:t>
      </w:r>
    </w:p>
    <w:p>
      <w:pPr>
        <w:spacing w:after="140" w:before="0"/>
        <w:jc w:val="both"/>
      </w:pPr>
      <w:r>
        <w:rPr>
          <w:rFonts w:ascii="Arial" w:cs="Arial" w:eastAsia="Arial" w:hAnsi="Arial"/>
          <w:color w:val="0D1B2A"/>
          <w:sz w:val="22"/>
          <w:szCs w:val="22"/>
        </w:rPr>
        <w:t xml:space="preserve">Membership interests, stock options, restricted equity units, or such other equity instrument in the Company as determined by Company's governing documents and applicable securities law, granted to Advisor as set forth in Article 4.</w:t>
      </w:r>
    </w:p>
    <w:p>
      <w:pPr>
        <w:spacing w:after="60" w:before="180"/>
      </w:pPr>
      <w:r>
        <w:rPr>
          <w:rFonts w:ascii="Arial" w:cs="Arial" w:eastAsia="Arial" w:hAnsi="Arial"/>
          <w:b/>
          <w:bCs/>
          <w:color w:val="1E4D8C"/>
          <w:sz w:val="22"/>
          <w:szCs w:val="22"/>
        </w:rPr>
        <w:t xml:space="preserve">1.6  </w:t>
      </w:r>
      <w:r>
        <w:rPr>
          <w:rFonts w:ascii="Arial" w:cs="Arial" w:eastAsia="Arial" w:hAnsi="Arial"/>
          <w:b/>
          <w:bCs/>
          <w:color w:val="0D1B2A"/>
          <w:sz w:val="22"/>
          <w:szCs w:val="22"/>
        </w:rPr>
        <w:t xml:space="preserve">"Work Product"</w:t>
      </w:r>
    </w:p>
    <w:p>
      <w:pPr>
        <w:spacing w:after="140" w:before="0"/>
        <w:jc w:val="both"/>
      </w:pPr>
      <w:r>
        <w:rPr>
          <w:rFonts w:ascii="Arial" w:cs="Arial" w:eastAsia="Arial" w:hAnsi="Arial"/>
          <w:color w:val="0D1B2A"/>
          <w:sz w:val="22"/>
          <w:szCs w:val="22"/>
        </w:rPr>
        <w:t xml:space="preserve">Any materials, documents, analyses, feedback, suggestions, inventions, improvements, or other creations produced by Advisor in connection with Advisory Services.</w:t>
      </w:r>
    </w:p>
    <w:p>
      <w:pPr>
        <w:spacing w:after="80" w:before="0"/>
      </w:pPr>
    </w:p>
    <w:p>
      <w:pPr>
        <w:pStyle w:val="Heading1"/>
        <w:spacing w:after="100" w:before="320"/>
      </w:pPr>
      <w:r>
        <w:rPr>
          <w:rFonts w:ascii="Arial" w:cs="Arial" w:eastAsia="Arial" w:hAnsi="Arial"/>
          <w:b/>
          <w:bCs/>
          <w:caps/>
          <w:color w:val="1B3A6B"/>
          <w:sz w:val="28"/>
          <w:szCs w:val="28"/>
        </w:rPr>
        <w:t xml:space="preserve">Article 2 — Nature of Relationship</w:t>
      </w:r>
    </w:p>
    <w:p>
      <w:pPr>
        <w:spacing w:after="60" w:before="180"/>
      </w:pPr>
      <w:r>
        <w:rPr>
          <w:rFonts w:ascii="Arial" w:cs="Arial" w:eastAsia="Arial" w:hAnsi="Arial"/>
          <w:b/>
          <w:bCs/>
          <w:color w:val="1E4D8C"/>
          <w:sz w:val="22"/>
          <w:szCs w:val="22"/>
        </w:rPr>
        <w:t xml:space="preserve">2.1  </w:t>
      </w:r>
      <w:r>
        <w:rPr>
          <w:rFonts w:ascii="Arial" w:cs="Arial" w:eastAsia="Arial" w:hAnsi="Arial"/>
          <w:b/>
          <w:bCs/>
          <w:color w:val="0D1B2A"/>
          <w:sz w:val="22"/>
          <w:szCs w:val="22"/>
        </w:rPr>
        <w:t xml:space="preserve">Independent Advisor — Not an Employee</w:t>
      </w:r>
    </w:p>
    <w:p>
      <w:pPr>
        <w:spacing w:after="140" w:before="0"/>
        <w:jc w:val="both"/>
      </w:pPr>
      <w:r>
        <w:rPr>
          <w:rFonts w:ascii="Arial" w:cs="Arial" w:eastAsia="Arial" w:hAnsi="Arial"/>
          <w:color w:val="0D1B2A"/>
          <w:sz w:val="22"/>
          <w:szCs w:val="22"/>
        </w:rPr>
        <w:t xml:space="preserve">Individual is engaged by Company as an independent advisor. Nothing in this Agreement creates or shall be construed to create an employer-employee relationship, a principal-agent relationship, a joint venture, or a partnership between the parties. Individual is not an employee of Company for any purpose, including but not limited to:</w:t>
      </w:r>
    </w:p>
    <w:p>
      <w:pPr>
        <w:pStyle w:val="ListParagraph"/>
        <w:numPr>
          <w:ilvl w:val="0"/>
          <w:numId w:val="2"/>
        </w:numPr>
        <w:spacing w:after="90" w:before="0"/>
      </w:pPr>
      <w:r>
        <w:rPr>
          <w:rFonts w:ascii="Arial" w:cs="Arial" w:eastAsia="Arial" w:hAnsi="Arial"/>
          <w:color w:val="0D1B2A"/>
          <w:sz w:val="22"/>
          <w:szCs w:val="22"/>
        </w:rPr>
        <w:t xml:space="preserve">Wage and hour laws — Individual is not entitled to minimum wage, overtime, or any statutory compensation;</w:t>
      </w:r>
    </w:p>
    <w:p>
      <w:pPr>
        <w:pStyle w:val="ListParagraph"/>
        <w:numPr>
          <w:ilvl w:val="0"/>
          <w:numId w:val="2"/>
        </w:numPr>
        <w:spacing w:after="90" w:before="0"/>
      </w:pPr>
      <w:r>
        <w:rPr>
          <w:rFonts w:ascii="Arial" w:cs="Arial" w:eastAsia="Arial" w:hAnsi="Arial"/>
          <w:color w:val="0D1B2A"/>
          <w:sz w:val="22"/>
          <w:szCs w:val="22"/>
        </w:rPr>
        <w:t xml:space="preserve">Benefits — Individual is not eligible for health insurance, retirement plans, workers' compensation, unemployment insurance, or any other employee benefits;</w:t>
      </w:r>
    </w:p>
    <w:p>
      <w:pPr>
        <w:pStyle w:val="ListParagraph"/>
        <w:numPr>
          <w:ilvl w:val="0"/>
          <w:numId w:val="2"/>
        </w:numPr>
        <w:spacing w:after="90" w:before="0"/>
      </w:pPr>
      <w:r>
        <w:rPr>
          <w:rFonts w:ascii="Arial" w:cs="Arial" w:eastAsia="Arial" w:hAnsi="Arial"/>
          <w:color w:val="0D1B2A"/>
          <w:sz w:val="22"/>
          <w:szCs w:val="22"/>
        </w:rPr>
        <w:t xml:space="preserve">Tax withholding — Company will not withhold federal, state, or local income taxes, Social Security, Medicare, or any other taxes on behalf of Individual;</w:t>
      </w:r>
    </w:p>
    <w:p>
      <w:pPr>
        <w:pStyle w:val="ListParagraph"/>
        <w:numPr>
          <w:ilvl w:val="0"/>
          <w:numId w:val="2"/>
        </w:numPr>
        <w:spacing w:after="90" w:before="0"/>
      </w:pPr>
      <w:r>
        <w:rPr>
          <w:rFonts w:ascii="Arial" w:cs="Arial" w:eastAsia="Arial" w:hAnsi="Arial"/>
          <w:color w:val="0D1B2A"/>
          <w:sz w:val="22"/>
          <w:szCs w:val="22"/>
        </w:rPr>
        <w:t xml:space="preserve">Labor law protections — Individual is not protected by employment discrimination laws, FMLA, WARN Act, or similar statutes in the capacity of an employee.</w:t>
      </w:r>
    </w:p>
    <w:p>
      <w:pPr>
        <w:spacing w:after="60" w:before="0"/>
      </w:pPr>
    </w:p>
    <w:p>
      <w:pPr>
        <w:spacing w:after="60" w:before="180"/>
      </w:pPr>
      <w:r>
        <w:rPr>
          <w:rFonts w:ascii="Arial" w:cs="Arial" w:eastAsia="Arial" w:hAnsi="Arial"/>
          <w:b/>
          <w:bCs/>
          <w:color w:val="1E4D8C"/>
          <w:sz w:val="22"/>
          <w:szCs w:val="22"/>
        </w:rPr>
        <w:t xml:space="preserve">2.2  </w:t>
      </w:r>
      <w:r>
        <w:rPr>
          <w:rFonts w:ascii="Arial" w:cs="Arial" w:eastAsia="Arial" w:hAnsi="Arial"/>
          <w:b/>
          <w:bCs/>
          <w:color w:val="0D1B2A"/>
          <w:sz w:val="22"/>
          <w:szCs w:val="22"/>
        </w:rPr>
        <w:t xml:space="preserve">No Authority to Bind</w:t>
      </w:r>
    </w:p>
    <w:p>
      <w:pPr>
        <w:spacing w:after="140" w:before="0"/>
        <w:jc w:val="both"/>
      </w:pPr>
      <w:r>
        <w:rPr>
          <w:rFonts w:ascii="Arial" w:cs="Arial" w:eastAsia="Arial" w:hAnsi="Arial"/>
          <w:color w:val="0D1B2A"/>
          <w:sz w:val="22"/>
          <w:szCs w:val="22"/>
        </w:rPr>
        <w:t xml:space="preserve">Advisor has no authority to enter into contracts, make commitments, or otherwise bind Company in any manner. Advisor shall not represent to any third party that Advisor is an employee or agent of Company with authority to act on Company's behalf.</w:t>
      </w:r>
    </w:p>
    <w:p>
      <w:pPr>
        <w:spacing w:after="60" w:before="180"/>
      </w:pPr>
      <w:r>
        <w:rPr>
          <w:rFonts w:ascii="Arial" w:cs="Arial" w:eastAsia="Arial" w:hAnsi="Arial"/>
          <w:b/>
          <w:bCs/>
          <w:color w:val="1E4D8C"/>
          <w:sz w:val="22"/>
          <w:szCs w:val="22"/>
        </w:rPr>
        <w:t xml:space="preserve">2.3  </w:t>
      </w:r>
      <w:r>
        <w:rPr>
          <w:rFonts w:ascii="Arial" w:cs="Arial" w:eastAsia="Arial" w:hAnsi="Arial"/>
          <w:b/>
          <w:bCs/>
          <w:color w:val="0D1B2A"/>
          <w:sz w:val="22"/>
          <w:szCs w:val="22"/>
        </w:rPr>
        <w:t xml:space="preserve">Tax Responsibility</w:t>
      </w:r>
    </w:p>
    <w:p>
      <w:pPr>
        <w:spacing w:after="140" w:before="0"/>
        <w:jc w:val="both"/>
      </w:pPr>
      <w:r>
        <w:rPr>
          <w:rFonts w:ascii="Arial" w:cs="Arial" w:eastAsia="Arial" w:hAnsi="Arial"/>
          <w:color w:val="0D1B2A"/>
          <w:sz w:val="22"/>
          <w:szCs w:val="22"/>
        </w:rPr>
        <w:t xml:space="preserve">Individual is solely responsible for reporting and paying all federal, state, and local taxes on any compensation or equity received under this Agreement. Company will issue IRS Form 1099 if required by applicable law. Individual shall indemnify Company for any tax liability, penalties, or interest arising from Individual's failure to properly report or pay taxes.</w:t>
      </w:r>
    </w:p>
    <w:p>
      <w:pPr>
        <w:spacing w:after="80" w:before="0"/>
      </w:pPr>
    </w:p>
    <w:p>
      <w:pPr>
        <w:pStyle w:val="Heading1"/>
        <w:spacing w:after="100" w:before="320"/>
      </w:pPr>
      <w:r>
        <w:rPr>
          <w:rFonts w:ascii="Arial" w:cs="Arial" w:eastAsia="Arial" w:hAnsi="Arial"/>
          <w:b/>
          <w:bCs/>
          <w:caps/>
          <w:color w:val="1B3A6B"/>
          <w:sz w:val="28"/>
          <w:szCs w:val="28"/>
        </w:rPr>
        <w:t xml:space="preserve">Article 3 — Advisory Services and Expectations</w:t>
      </w:r>
    </w:p>
    <w:p>
      <w:pPr>
        <w:spacing w:after="60" w:before="180"/>
      </w:pPr>
      <w:r>
        <w:rPr>
          <w:rFonts w:ascii="Arial" w:cs="Arial" w:eastAsia="Arial" w:hAnsi="Arial"/>
          <w:b/>
          <w:bCs/>
          <w:color w:val="1E4D8C"/>
          <w:sz w:val="22"/>
          <w:szCs w:val="22"/>
        </w:rPr>
        <w:t xml:space="preserve">3.1  </w:t>
      </w:r>
      <w:r>
        <w:rPr>
          <w:rFonts w:ascii="Arial" w:cs="Arial" w:eastAsia="Arial" w:hAnsi="Arial"/>
          <w:b/>
          <w:bCs/>
          <w:color w:val="0D1B2A"/>
          <w:sz w:val="22"/>
          <w:szCs w:val="22"/>
        </w:rPr>
        <w:t xml:space="preserve">Scope of Services</w:t>
      </w:r>
    </w:p>
    <w:p>
      <w:pPr>
        <w:spacing w:after="140" w:before="0"/>
        <w:jc w:val="both"/>
      </w:pPr>
      <w:r>
        <w:rPr>
          <w:rFonts w:ascii="Arial" w:cs="Arial" w:eastAsia="Arial" w:hAnsi="Arial"/>
          <w:color w:val="0D1B2A"/>
          <w:sz w:val="22"/>
          <w:szCs w:val="22"/>
        </w:rPr>
        <w:t xml:space="preserve">Advisor agrees to provide the following advisory services to Company on a best-efforts basis:</w:t>
      </w:r>
    </w:p>
    <w:p>
      <w:pPr>
        <w:pStyle w:val="ListParagraph"/>
        <w:numPr>
          <w:ilvl w:val="0"/>
          <w:numId w:val="2"/>
        </w:numPr>
        <w:spacing w:after="90" w:before="0"/>
      </w:pPr>
      <w:r>
        <w:rPr>
          <w:rFonts w:ascii="Arial" w:cs="Arial" w:eastAsia="Arial" w:hAnsi="Arial"/>
          <w:color w:val="0D1B2A"/>
          <w:sz w:val="22"/>
          <w:szCs w:val="22"/>
        </w:rPr>
        <w:t xml:space="preserve">Industry Expertise: Share knowledge, experience, and insights related to Advisor's field of expertise (public safety, emergency communications, higher education, venue security, or relevant industry) to inform product development, strategy, and market positioning;</w:t>
      </w:r>
    </w:p>
    <w:p>
      <w:pPr>
        <w:pStyle w:val="ListParagraph"/>
        <w:numPr>
          <w:ilvl w:val="0"/>
          <w:numId w:val="2"/>
        </w:numPr>
        <w:spacing w:after="90" w:before="0"/>
      </w:pPr>
      <w:r>
        <w:rPr>
          <w:rFonts w:ascii="Arial" w:cs="Arial" w:eastAsia="Arial" w:hAnsi="Arial"/>
          <w:color w:val="0D1B2A"/>
          <w:sz w:val="22"/>
          <w:szCs w:val="22"/>
        </w:rPr>
        <w:t xml:space="preserve">Strategic Introductions: Introduce Company to relevant agencies, institutions, decision-makers, procurement officers, industry organizations, and potential customers or partners within Advisor's network, with appropriate consent from both parties;</w:t>
      </w:r>
    </w:p>
    <w:p>
      <w:pPr>
        <w:pStyle w:val="ListParagraph"/>
        <w:numPr>
          <w:ilvl w:val="0"/>
          <w:numId w:val="2"/>
        </w:numPr>
        <w:spacing w:after="90" w:before="0"/>
      </w:pPr>
      <w:r>
        <w:rPr>
          <w:rFonts w:ascii="Arial" w:cs="Arial" w:eastAsia="Arial" w:hAnsi="Arial"/>
          <w:color w:val="0D1B2A"/>
          <w:sz w:val="22"/>
          <w:szCs w:val="22"/>
        </w:rPr>
        <w:t xml:space="preserve">Product Feedback: Review platform features, user interfaces, and capabilities and provide candid, constructive feedback from an end-user or industry perspective;</w:t>
      </w:r>
    </w:p>
    <w:p>
      <w:pPr>
        <w:pStyle w:val="ListParagraph"/>
        <w:numPr>
          <w:ilvl w:val="0"/>
          <w:numId w:val="2"/>
        </w:numPr>
        <w:spacing w:after="90" w:before="0"/>
      </w:pPr>
      <w:r>
        <w:rPr>
          <w:rFonts w:ascii="Arial" w:cs="Arial" w:eastAsia="Arial" w:hAnsi="Arial"/>
          <w:color w:val="0D1B2A"/>
          <w:sz w:val="22"/>
          <w:szCs w:val="22"/>
        </w:rPr>
        <w:t xml:space="preserve">Strategic Guidance: Participate in discussions regarding go-to-market strategy, pilot program design, pricing, partnerships, and other strategic matters where Advisor has relevant expertise;</w:t>
      </w:r>
    </w:p>
    <w:p>
      <w:pPr>
        <w:pStyle w:val="ListParagraph"/>
        <w:numPr>
          <w:ilvl w:val="0"/>
          <w:numId w:val="2"/>
        </w:numPr>
        <w:spacing w:after="90" w:before="0"/>
      </w:pPr>
      <w:r>
        <w:rPr>
          <w:rFonts w:ascii="Arial" w:cs="Arial" w:eastAsia="Arial" w:hAnsi="Arial"/>
          <w:color w:val="0D1B2A"/>
          <w:sz w:val="22"/>
          <w:szCs w:val="22"/>
        </w:rPr>
        <w:t xml:space="preserve">Representation: Represent Company in a positive, professional manner at industry events, conferences, and networking opportunities where appropriate.</w:t>
      </w:r>
    </w:p>
    <w:p>
      <w:pPr>
        <w:spacing w:after="60" w:before="0"/>
      </w:pPr>
    </w:p>
    <w:p>
      <w:pPr>
        <w:spacing w:after="60" w:before="180"/>
      </w:pPr>
      <w:r>
        <w:rPr>
          <w:rFonts w:ascii="Arial" w:cs="Arial" w:eastAsia="Arial" w:hAnsi="Arial"/>
          <w:b/>
          <w:bCs/>
          <w:color w:val="1E4D8C"/>
          <w:sz w:val="22"/>
          <w:szCs w:val="22"/>
        </w:rPr>
        <w:t xml:space="preserve">3.2  </w:t>
      </w:r>
      <w:r>
        <w:rPr>
          <w:rFonts w:ascii="Arial" w:cs="Arial" w:eastAsia="Arial" w:hAnsi="Arial"/>
          <w:b/>
          <w:bCs/>
          <w:color w:val="0D1B2A"/>
          <w:sz w:val="22"/>
          <w:szCs w:val="22"/>
        </w:rPr>
        <w:t xml:space="preserve">Time Commitment</w:t>
      </w:r>
    </w:p>
    <w:p>
      <w:pPr>
        <w:spacing w:after="140" w:before="0"/>
        <w:jc w:val="both"/>
      </w:pPr>
      <w:r>
        <w:rPr>
          <w:rFonts w:ascii="Arial" w:cs="Arial" w:eastAsia="Arial" w:hAnsi="Arial"/>
          <w:color w:val="0D1B2A"/>
          <w:sz w:val="22"/>
          <w:szCs w:val="22"/>
        </w:rPr>
        <w:t xml:space="preserve">The expected time commitment for this advisory role is approximately one (1) to five (5) hours per month, which may include:</w:t>
      </w:r>
    </w:p>
    <w:p>
      <w:pPr>
        <w:pStyle w:val="ListParagraph"/>
        <w:numPr>
          <w:ilvl w:val="0"/>
          <w:numId w:val="2"/>
        </w:numPr>
        <w:spacing w:after="90" w:before="0"/>
      </w:pPr>
      <w:r>
        <w:rPr>
          <w:rFonts w:ascii="Arial" w:cs="Arial" w:eastAsia="Arial" w:hAnsi="Arial"/>
          <w:color w:val="0D1B2A"/>
          <w:sz w:val="22"/>
          <w:szCs w:val="22"/>
        </w:rPr>
        <w:t xml:space="preserve">Monthly or quarterly advisory calls (30–60 minutes each);</w:t>
      </w:r>
    </w:p>
    <w:p>
      <w:pPr>
        <w:pStyle w:val="ListParagraph"/>
        <w:numPr>
          <w:ilvl w:val="0"/>
          <w:numId w:val="2"/>
        </w:numPr>
        <w:spacing w:after="90" w:before="0"/>
      </w:pPr>
      <w:r>
        <w:rPr>
          <w:rFonts w:ascii="Arial" w:cs="Arial" w:eastAsia="Arial" w:hAnsi="Arial"/>
          <w:color w:val="0D1B2A"/>
          <w:sz w:val="22"/>
          <w:szCs w:val="22"/>
        </w:rPr>
        <w:t xml:space="preserve">Email correspondence and document review;</w:t>
      </w:r>
    </w:p>
    <w:p>
      <w:pPr>
        <w:pStyle w:val="ListParagraph"/>
        <w:numPr>
          <w:ilvl w:val="0"/>
          <w:numId w:val="2"/>
        </w:numPr>
        <w:spacing w:after="90" w:before="0"/>
      </w:pPr>
      <w:r>
        <w:rPr>
          <w:rFonts w:ascii="Arial" w:cs="Arial" w:eastAsia="Arial" w:hAnsi="Arial"/>
          <w:color w:val="0D1B2A"/>
          <w:sz w:val="22"/>
          <w:szCs w:val="22"/>
        </w:rPr>
        <w:t xml:space="preserve">Introductions and outreach activities;</w:t>
      </w:r>
    </w:p>
    <w:p>
      <w:pPr>
        <w:pStyle w:val="ListParagraph"/>
        <w:numPr>
          <w:ilvl w:val="0"/>
          <w:numId w:val="2"/>
        </w:numPr>
        <w:spacing w:after="90" w:before="0"/>
      </w:pPr>
      <w:r>
        <w:rPr>
          <w:rFonts w:ascii="Arial" w:cs="Arial" w:eastAsia="Arial" w:hAnsi="Arial"/>
          <w:color w:val="0D1B2A"/>
          <w:sz w:val="22"/>
          <w:szCs w:val="22"/>
        </w:rPr>
        <w:t xml:space="preserve">Attendance at Company events or demos when mutually agreed.</w:t>
      </w:r>
    </w:p>
    <w:p>
      <w:pPr>
        <w:spacing w:after="60" w:before="0"/>
      </w:pPr>
    </w:p>
    <w:p>
      <w:pPr>
        <w:spacing w:after="140" w:before="0"/>
        <w:jc w:val="both"/>
      </w:pPr>
      <w:r>
        <w:rPr>
          <w:rFonts w:ascii="Arial" w:cs="Arial" w:eastAsia="Arial" w:hAnsi="Arial"/>
          <w:color w:val="0D1B2A"/>
          <w:sz w:val="22"/>
          <w:szCs w:val="22"/>
        </w:rPr>
        <w:t xml:space="preserve">There is no guaranteed minimum number of hours per month. Company acknowledges that Advisor has professional obligations outside this engagement and that advisory participation is voluntary in nature.</w:t>
      </w:r>
    </w:p>
    <w:p>
      <w:pPr>
        <w:spacing w:after="60" w:before="180"/>
      </w:pPr>
      <w:r>
        <w:rPr>
          <w:rFonts w:ascii="Arial" w:cs="Arial" w:eastAsia="Arial" w:hAnsi="Arial"/>
          <w:b/>
          <w:bCs/>
          <w:color w:val="1E4D8C"/>
          <w:sz w:val="22"/>
          <w:szCs w:val="22"/>
        </w:rPr>
        <w:t xml:space="preserve">3.3  </w:t>
      </w:r>
      <w:r>
        <w:rPr>
          <w:rFonts w:ascii="Arial" w:cs="Arial" w:eastAsia="Arial" w:hAnsi="Arial"/>
          <w:b/>
          <w:bCs/>
          <w:color w:val="0D1B2A"/>
          <w:sz w:val="22"/>
          <w:szCs w:val="22"/>
        </w:rPr>
        <w:t xml:space="preserve">Professional Conduct</w:t>
      </w:r>
    </w:p>
    <w:p>
      <w:pPr>
        <w:spacing w:after="140" w:before="0"/>
        <w:jc w:val="both"/>
      </w:pPr>
      <w:r>
        <w:rPr>
          <w:rFonts w:ascii="Arial" w:cs="Arial" w:eastAsia="Arial" w:hAnsi="Arial"/>
          <w:color w:val="0D1B2A"/>
          <w:sz w:val="22"/>
          <w:szCs w:val="22"/>
        </w:rPr>
        <w:t xml:space="preserve">Advisor agrees to:</w:t>
      </w:r>
    </w:p>
    <w:p>
      <w:pPr>
        <w:pStyle w:val="ListParagraph"/>
        <w:numPr>
          <w:ilvl w:val="0"/>
          <w:numId w:val="2"/>
        </w:numPr>
        <w:spacing w:after="90" w:before="0"/>
      </w:pPr>
      <w:r>
        <w:rPr>
          <w:rFonts w:ascii="Arial" w:cs="Arial" w:eastAsia="Arial" w:hAnsi="Arial"/>
          <w:color w:val="0D1B2A"/>
          <w:sz w:val="22"/>
          <w:szCs w:val="22"/>
        </w:rPr>
        <w:t xml:space="preserve">Conduct themselves professionally and in a manner consistent with Company's mission and brand values;</w:t>
      </w:r>
    </w:p>
    <w:p>
      <w:pPr>
        <w:pStyle w:val="ListParagraph"/>
        <w:numPr>
          <w:ilvl w:val="0"/>
          <w:numId w:val="2"/>
        </w:numPr>
        <w:spacing w:after="90" w:before="0"/>
      </w:pPr>
      <w:r>
        <w:rPr>
          <w:rFonts w:ascii="Arial" w:cs="Arial" w:eastAsia="Arial" w:hAnsi="Arial"/>
          <w:color w:val="0D1B2A"/>
          <w:sz w:val="22"/>
          <w:szCs w:val="22"/>
        </w:rPr>
        <w:t xml:space="preserve">Disclose to Company any limitation on Advisor's ability to make specific introductions or endorsements due to other professional obligations;</w:t>
      </w:r>
    </w:p>
    <w:p>
      <w:pPr>
        <w:pStyle w:val="ListParagraph"/>
        <w:numPr>
          <w:ilvl w:val="0"/>
          <w:numId w:val="2"/>
        </w:numPr>
        <w:spacing w:after="90" w:before="0"/>
      </w:pPr>
      <w:r>
        <w:rPr>
          <w:rFonts w:ascii="Arial" w:cs="Arial" w:eastAsia="Arial" w:hAnsi="Arial"/>
          <w:color w:val="0D1B2A"/>
          <w:sz w:val="22"/>
          <w:szCs w:val="22"/>
        </w:rPr>
        <w:t xml:space="preserve">Promptly notify Company of any conflict of interest as required by Article 8.</w:t>
      </w:r>
    </w:p>
    <w:p>
      <w:pPr>
        <w:spacing w:after="80" w:before="0"/>
      </w:pPr>
    </w:p>
    <w:p>
      <w:pPr>
        <w:pStyle w:val="Heading1"/>
        <w:spacing w:after="100" w:before="320"/>
      </w:pPr>
      <w:r>
        <w:rPr>
          <w:rFonts w:ascii="Arial" w:cs="Arial" w:eastAsia="Arial" w:hAnsi="Arial"/>
          <w:b/>
          <w:bCs/>
          <w:caps/>
          <w:color w:val="1B3A6B"/>
          <w:sz w:val="28"/>
          <w:szCs w:val="28"/>
        </w:rPr>
        <w:t xml:space="preserve">Article 4 — Compensation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E00" w:sz="1"/>
              <w:left w:val="single" w:color="7B5E00" w:sz="1"/>
              <w:bottom w:val="single" w:color="7B5E00" w:sz="1"/>
              <w:right w:val="single" w:color="7B5E00" w:sz="1"/>
            </w:tcBorders>
            <w:shd w:fill="FFF8DC" w:val="clear"/>
            <w:tcMar>
              <w:top w:type="dxa" w:w="140"/>
              <w:left w:type="dxa" w:w="200"/>
              <w:bottom w:type="dxa" w:w="140"/>
              <w:right w:type="dxa" w:w="200"/>
            </w:tcMar>
          </w:tcPr>
          <w:p>
            <w:pPr>
              <w:spacing w:after="80" w:before="0"/>
              <w:jc w:val="center"/>
            </w:pPr>
            <w:r>
              <w:rPr>
                <w:rFonts w:ascii="Arial" w:cs="Arial" w:eastAsia="Arial" w:hAnsi="Arial"/>
                <w:b/>
                <w:bCs/>
                <w:caps/>
                <w:color w:val="7B5E00"/>
                <w:sz w:val="22"/>
                <w:szCs w:val="22"/>
              </w:rPr>
              <w:t xml:space="preserve">IMPORTANT: COMPENSATION DISCLOSURE</w:t>
            </w:r>
          </w:p>
          <w:p>
            <w:pPr>
              <w:jc w:val="both"/>
            </w:pPr>
            <w:r>
              <w:rPr>
                <w:rFonts w:ascii="Arial" w:cs="Arial" w:eastAsia="Arial" w:hAnsi="Arial"/>
                <w:color w:val="7B5E00"/>
                <w:sz w:val="21"/>
                <w:szCs w:val="21"/>
              </w:rPr>
              <w:t xml:space="preserve">Apps on Demand and the NexCort iQ platform are currently operating as a bootstrap startup. The Company cannot provide salary, wages, hourly compensation, employee benefits, health insurance, retirement contributions, or any guaranteed monetary compensation at this time. All compensation — where offered — is limited to equity in the Company as described herein, which is subject to vesting, risk of forfeiture, and the inherent risks of early-stage startup investment. Equity grants do not guarantee any future financial return. Nothing herein creates an employment relationship or an obligation to pay wages.</w:t>
            </w:r>
          </w:p>
        </w:tc>
      </w:tr>
    </w:tbl>
    <w:p>
      <w:pPr>
        <w:spacing w:after="80" w:before="0"/>
      </w:pPr>
    </w:p>
    <w:p>
      <w:pPr>
        <w:spacing w:after="60" w:before="180"/>
      </w:pPr>
      <w:r>
        <w:rPr>
          <w:rFonts w:ascii="Arial" w:cs="Arial" w:eastAsia="Arial" w:hAnsi="Arial"/>
          <w:b/>
          <w:bCs/>
          <w:color w:val="1E4D8C"/>
          <w:sz w:val="22"/>
          <w:szCs w:val="22"/>
        </w:rPr>
        <w:t xml:space="preserve">4.1  </w:t>
      </w:r>
      <w:r>
        <w:rPr>
          <w:rFonts w:ascii="Arial" w:cs="Arial" w:eastAsia="Arial" w:hAnsi="Arial"/>
          <w:b/>
          <w:bCs/>
          <w:color w:val="0D1B2A"/>
          <w:sz w:val="22"/>
          <w:szCs w:val="22"/>
        </w:rPr>
        <w:t xml:space="preserve">Monetary Compensation</w:t>
      </w:r>
    </w:p>
    <w:p>
      <w:pPr>
        <w:spacing w:after="140" w:before="0"/>
        <w:jc w:val="both"/>
      </w:pPr>
      <w:r>
        <w:rPr>
          <w:rFonts w:ascii="Arial" w:cs="Arial" w:eastAsia="Arial" w:hAnsi="Arial"/>
          <w:color w:val="0D1B2A"/>
          <w:sz w:val="22"/>
          <w:szCs w:val="22"/>
        </w:rPr>
        <w:t xml:space="preserve">Company shall not provide salary, wages, hourly fees, expense reimbursement, or any other monetary compensation to Advisor unless separately agreed in writing by an authorized officer of Company. No such obligation exists under this Agreement.</w:t>
      </w:r>
    </w:p>
    <w:p>
      <w:pPr>
        <w:spacing w:after="60" w:before="180"/>
      </w:pPr>
      <w:r>
        <w:rPr>
          <w:rFonts w:ascii="Arial" w:cs="Arial" w:eastAsia="Arial" w:hAnsi="Arial"/>
          <w:b/>
          <w:bCs/>
          <w:color w:val="1E4D8C"/>
          <w:sz w:val="22"/>
          <w:szCs w:val="22"/>
        </w:rPr>
        <w:t xml:space="preserve">4.2  </w:t>
      </w:r>
      <w:r>
        <w:rPr>
          <w:rFonts w:ascii="Arial" w:cs="Arial" w:eastAsia="Arial" w:hAnsi="Arial"/>
          <w:b/>
          <w:bCs/>
          <w:color w:val="0D1B2A"/>
          <w:sz w:val="22"/>
          <w:szCs w:val="22"/>
        </w:rPr>
        <w:t xml:space="preserve">Non-Monetary Benefits</w:t>
      </w:r>
    </w:p>
    <w:p>
      <w:pPr>
        <w:spacing w:after="140" w:before="0"/>
        <w:jc w:val="both"/>
      </w:pPr>
      <w:r>
        <w:rPr>
          <w:rFonts w:ascii="Arial" w:cs="Arial" w:eastAsia="Arial" w:hAnsi="Arial"/>
          <w:color w:val="0D1B2A"/>
          <w:sz w:val="22"/>
          <w:szCs w:val="22"/>
        </w:rPr>
        <w:t xml:space="preserve">In consideration for Advisory Services, Company will provide Advisor with:</w:t>
      </w:r>
    </w:p>
    <w:p>
      <w:pPr>
        <w:pStyle w:val="ListParagraph"/>
        <w:numPr>
          <w:ilvl w:val="0"/>
          <w:numId w:val="2"/>
        </w:numPr>
        <w:spacing w:after="90" w:before="0"/>
      </w:pPr>
      <w:r>
        <w:rPr>
          <w:rFonts w:ascii="Arial" w:cs="Arial" w:eastAsia="Arial" w:hAnsi="Arial"/>
          <w:color w:val="0D1B2A"/>
          <w:sz w:val="22"/>
          <w:szCs w:val="22"/>
        </w:rPr>
        <w:t xml:space="preserve">The official Advisor title as designated in the cover page of this Agreement;</w:t>
      </w:r>
    </w:p>
    <w:p>
      <w:pPr>
        <w:pStyle w:val="ListParagraph"/>
        <w:numPr>
          <w:ilvl w:val="0"/>
          <w:numId w:val="2"/>
        </w:numPr>
        <w:spacing w:after="90" w:before="0"/>
      </w:pPr>
      <w:r>
        <w:rPr>
          <w:rFonts w:ascii="Arial" w:cs="Arial" w:eastAsia="Arial" w:hAnsi="Arial"/>
          <w:color w:val="0D1B2A"/>
          <w:sz w:val="22"/>
          <w:szCs w:val="22"/>
        </w:rPr>
        <w:t xml:space="preserve">Participation in Company strategy discussions and early access to platform updates;</w:t>
      </w:r>
    </w:p>
    <w:p>
      <w:pPr>
        <w:pStyle w:val="ListParagraph"/>
        <w:numPr>
          <w:ilvl w:val="0"/>
          <w:numId w:val="2"/>
        </w:numPr>
        <w:spacing w:after="90" w:before="0"/>
      </w:pPr>
      <w:r>
        <w:rPr>
          <w:rFonts w:ascii="Arial" w:cs="Arial" w:eastAsia="Arial" w:hAnsi="Arial"/>
          <w:color w:val="0D1B2A"/>
          <w:sz w:val="22"/>
          <w:szCs w:val="22"/>
        </w:rPr>
        <w:t xml:space="preserve">Professional recognition, introductions, and networking opportunities within the NexCort iQ ecosystem;</w:t>
      </w:r>
    </w:p>
    <w:p>
      <w:pPr>
        <w:pStyle w:val="ListParagraph"/>
        <w:numPr>
          <w:ilvl w:val="0"/>
          <w:numId w:val="2"/>
        </w:numPr>
        <w:spacing w:after="90" w:before="0"/>
      </w:pPr>
      <w:r>
        <w:rPr>
          <w:rFonts w:ascii="Arial" w:cs="Arial" w:eastAsia="Arial" w:hAnsi="Arial"/>
          <w:color w:val="0D1B2A"/>
          <w:sz w:val="22"/>
          <w:szCs w:val="22"/>
        </w:rPr>
        <w:t xml:space="preserve">Reference and endorsement support for Advisor's professional activities where mutually appropriate.</w:t>
      </w:r>
    </w:p>
    <w:p>
      <w:pPr>
        <w:spacing w:after="60" w:before="0"/>
      </w:pPr>
    </w:p>
    <w:p>
      <w:pPr>
        <w:spacing w:after="60" w:before="180"/>
      </w:pPr>
      <w:r>
        <w:rPr>
          <w:rFonts w:ascii="Arial" w:cs="Arial" w:eastAsia="Arial" w:hAnsi="Arial"/>
          <w:b/>
          <w:bCs/>
          <w:color w:val="1E4D8C"/>
          <w:sz w:val="22"/>
          <w:szCs w:val="22"/>
        </w:rPr>
        <w:t xml:space="preserve">4.3  </w:t>
      </w:r>
      <w:r>
        <w:rPr>
          <w:rFonts w:ascii="Arial" w:cs="Arial" w:eastAsia="Arial" w:hAnsi="Arial"/>
          <w:b/>
          <w:bCs/>
          <w:color w:val="0D1B2A"/>
          <w:sz w:val="22"/>
          <w:szCs w:val="22"/>
        </w:rPr>
        <w:t xml:space="preserve">Equity (If Applicable)</w:t>
      </w:r>
    </w:p>
    <w:p>
      <w:pPr>
        <w:spacing w:after="140" w:before="0"/>
        <w:jc w:val="both"/>
      </w:pPr>
      <w:r>
        <w:rPr>
          <w:rFonts w:ascii="Arial" w:cs="Arial" w:eastAsia="Arial" w:hAnsi="Arial"/>
          <w:color w:val="0D1B2A"/>
          <w:sz w:val="22"/>
          <w:szCs w:val="22"/>
        </w:rPr>
        <w:t xml:space="preserve">Subject to Company's governing documents, applicable securities law, and the separate Equity Vesting Agreement (if executed), Company may grant Advisor an equity interest in the Company as follows: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1100"/>
        <w:gridCol w:w="2960"/>
      </w:tblGrid>
      <w:tr>
        <w:tc>
          <w:tcPr>
            <w:tcW w:type="dxa" w:w="24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Advisor Type</w:t>
            </w:r>
          </w:p>
        </w:tc>
        <w:tc>
          <w:tcPr>
            <w:tcW w:type="dxa" w:w="15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Equity Range</w:t>
            </w:r>
          </w:p>
        </w:tc>
        <w:tc>
          <w:tcPr>
            <w:tcW w:type="dxa" w:w="14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Vesting Period</w:t>
            </w:r>
          </w:p>
        </w:tc>
        <w:tc>
          <w:tcPr>
            <w:tcW w:type="dxa" w:w="11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Cliff</w:t>
            </w:r>
          </w:p>
        </w:tc>
        <w:tc>
          <w:tcPr>
            <w:tcW w:type="dxa" w:w="29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Grant Condition</w:t>
            </w:r>
          </w:p>
        </w:tc>
      </w:tr>
      <w:tr>
        <w:tc>
          <w:tcPr>
            <w:tcW w:type="dxa" w:w="24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Public Safety Advisor</w:t>
            </w:r>
          </w:p>
        </w:tc>
        <w:tc>
          <w:tcPr>
            <w:tcW w:type="dxa" w:w="15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0.25% – 1.00%</w:t>
            </w:r>
          </w:p>
        </w:tc>
        <w:tc>
          <w:tcPr>
            <w:tcW w:type="dxa" w:w="14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4 Years</w:t>
            </w:r>
          </w:p>
        </w:tc>
        <w:tc>
          <w:tcPr>
            <w:tcW w:type="dxa" w:w="11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1 Year</w:t>
            </w:r>
          </w:p>
        </w:tc>
        <w:tc>
          <w:tcPr>
            <w:tcW w:type="dxa" w:w="296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Active Participation</w:t>
            </w:r>
          </w:p>
        </w:tc>
      </w:tr>
      <w:tr>
        <w:tc>
          <w:tcPr>
            <w:tcW w:type="dxa" w:w="24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Higher Education Advisor</w:t>
            </w:r>
          </w:p>
        </w:tc>
        <w:tc>
          <w:tcPr>
            <w:tcW w:type="dxa" w:w="15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0.25% – 1.00%</w:t>
            </w:r>
          </w:p>
        </w:tc>
        <w:tc>
          <w:tcPr>
            <w:tcW w:type="dxa" w:w="14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4 Years</w:t>
            </w:r>
          </w:p>
        </w:tc>
        <w:tc>
          <w:tcPr>
            <w:tcW w:type="dxa" w:w="11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1 Year</w:t>
            </w:r>
          </w:p>
        </w:tc>
        <w:tc>
          <w:tcPr>
            <w:tcW w:type="dxa" w:w="296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Active Participation</w:t>
            </w:r>
          </w:p>
        </w:tc>
      </w:tr>
      <w:tr>
        <w:tc>
          <w:tcPr>
            <w:tcW w:type="dxa" w:w="24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Venue Security Advisor</w:t>
            </w:r>
          </w:p>
        </w:tc>
        <w:tc>
          <w:tcPr>
            <w:tcW w:type="dxa" w:w="15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0.25% – 1.00%</w:t>
            </w:r>
          </w:p>
        </w:tc>
        <w:tc>
          <w:tcPr>
            <w:tcW w:type="dxa" w:w="14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4 Years</w:t>
            </w:r>
          </w:p>
        </w:tc>
        <w:tc>
          <w:tcPr>
            <w:tcW w:type="dxa" w:w="11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1 Year</w:t>
            </w:r>
          </w:p>
        </w:tc>
        <w:tc>
          <w:tcPr>
            <w:tcW w:type="dxa" w:w="296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Active Participation</w:t>
            </w:r>
          </w:p>
        </w:tc>
      </w:tr>
      <w:tr>
        <w:tc>
          <w:tcPr>
            <w:tcW w:type="dxa" w:w="24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General Industry Advisor</w:t>
            </w:r>
          </w:p>
        </w:tc>
        <w:tc>
          <w:tcPr>
            <w:tcW w:type="dxa" w:w="15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0.10% – 0.50%</w:t>
            </w:r>
          </w:p>
        </w:tc>
        <w:tc>
          <w:tcPr>
            <w:tcW w:type="dxa" w:w="14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4 Years</w:t>
            </w:r>
          </w:p>
        </w:tc>
        <w:tc>
          <w:tcPr>
            <w:tcW w:type="dxa" w:w="11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1 Year</w:t>
            </w:r>
          </w:p>
        </w:tc>
        <w:tc>
          <w:tcPr>
            <w:tcW w:type="dxa" w:w="296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Active Participation</w:t>
            </w:r>
          </w:p>
        </w:tc>
      </w:tr>
    </w:tbl>
    <w:p>
      <w:pPr>
        <w:spacing w:after="100" w:before="0"/>
      </w:pPr>
    </w:p>
    <w:p>
      <w:pPr>
        <w:spacing w:after="140" w:before="0"/>
        <w:jc w:val="both"/>
      </w:pPr>
      <w:r>
        <w:rPr>
          <w:rFonts w:ascii="Arial" w:cs="Arial" w:eastAsia="Arial" w:hAnsi="Arial"/>
          <w:color w:val="0D1B2A"/>
          <w:sz w:val="22"/>
          <w:szCs w:val="22"/>
        </w:rPr>
        <w:t xml:space="preserve">The specific equity percentage, vesting schedule, and terms applicable to this Advisor shall be set forth in a separate Equity Vesting Agreement or Grant Notice executed concurrently with or subsequent to this Agreement. Equity grants are subject to dilution and carry no guarantee of financial return. If no Equity Vesting Agreement is executed, no equity is granted under this Agreement.</w:t>
      </w:r>
    </w:p>
    <w:p>
      <w:pPr>
        <w:spacing w:after="60" w:before="180"/>
      </w:pPr>
      <w:r>
        <w:rPr>
          <w:rFonts w:ascii="Arial" w:cs="Arial" w:eastAsia="Arial" w:hAnsi="Arial"/>
          <w:b/>
          <w:bCs/>
          <w:color w:val="1E4D8C"/>
          <w:sz w:val="22"/>
          <w:szCs w:val="22"/>
        </w:rPr>
        <w:t xml:space="preserve">4.4  </w:t>
      </w:r>
      <w:r>
        <w:rPr>
          <w:rFonts w:ascii="Arial" w:cs="Arial" w:eastAsia="Arial" w:hAnsi="Arial"/>
          <w:b/>
          <w:bCs/>
          <w:color w:val="0D1B2A"/>
          <w:sz w:val="22"/>
          <w:szCs w:val="22"/>
        </w:rPr>
        <w:t xml:space="preserve">Equity Vesting — Key Terms</w:t>
      </w:r>
    </w:p>
    <w:p>
      <w:pPr>
        <w:spacing w:after="140" w:before="0"/>
        <w:jc w:val="both"/>
      </w:pPr>
      <w:r>
        <w:rPr>
          <w:rFonts w:ascii="Arial" w:cs="Arial" w:eastAsia="Arial" w:hAnsi="Arial"/>
          <w:color w:val="0D1B2A"/>
          <w:sz w:val="22"/>
          <w:szCs w:val="22"/>
        </w:rPr>
        <w:t xml:space="preserve">If equity is granted, the following standard terms apply unless otherwise specified in the Equity Vesting Agreement:</w:t>
      </w:r>
    </w:p>
    <w:p>
      <w:pPr>
        <w:pStyle w:val="ListParagraph"/>
        <w:numPr>
          <w:ilvl w:val="0"/>
          <w:numId w:val="2"/>
        </w:numPr>
        <w:spacing w:after="90" w:before="0"/>
      </w:pPr>
      <w:r>
        <w:rPr>
          <w:rFonts w:ascii="Arial" w:cs="Arial" w:eastAsia="Arial" w:hAnsi="Arial"/>
          <w:color w:val="0D1B2A"/>
          <w:sz w:val="22"/>
          <w:szCs w:val="22"/>
        </w:rPr>
        <w:t xml:space="preserve">Cliff: No equity vests during the first twelve (12) months of the vesting period. If Advisor's engagement ends before the cliff date, no equity is earned;</w:t>
      </w:r>
    </w:p>
    <w:p>
      <w:pPr>
        <w:pStyle w:val="ListParagraph"/>
        <w:numPr>
          <w:ilvl w:val="0"/>
          <w:numId w:val="2"/>
        </w:numPr>
        <w:spacing w:after="90" w:before="0"/>
      </w:pPr>
      <w:r>
        <w:rPr>
          <w:rFonts w:ascii="Arial" w:cs="Arial" w:eastAsia="Arial" w:hAnsi="Arial"/>
          <w:color w:val="0D1B2A"/>
          <w:sz w:val="22"/>
          <w:szCs w:val="22"/>
        </w:rPr>
        <w:t xml:space="preserve">Monthly Vesting: After the cliff, equity vests monthly over the remaining vesting period on a straight-line basis;</w:t>
      </w:r>
    </w:p>
    <w:p>
      <w:pPr>
        <w:pStyle w:val="ListParagraph"/>
        <w:numPr>
          <w:ilvl w:val="0"/>
          <w:numId w:val="2"/>
        </w:numPr>
        <w:spacing w:after="90" w:before="0"/>
      </w:pPr>
      <w:r>
        <w:rPr>
          <w:rFonts w:ascii="Arial" w:cs="Arial" w:eastAsia="Arial" w:hAnsi="Arial"/>
          <w:color w:val="0D1B2A"/>
          <w:sz w:val="22"/>
          <w:szCs w:val="22"/>
        </w:rPr>
        <w:t xml:space="preserve">Active Participation Requirement: Continued vesting is conditioned on Advisor's good-faith participation in Advisory Services;</w:t>
      </w:r>
    </w:p>
    <w:p>
      <w:pPr>
        <w:pStyle w:val="ListParagraph"/>
        <w:numPr>
          <w:ilvl w:val="0"/>
          <w:numId w:val="2"/>
        </w:numPr>
        <w:spacing w:after="90" w:before="0"/>
      </w:pPr>
      <w:r>
        <w:rPr>
          <w:rFonts w:ascii="Arial" w:cs="Arial" w:eastAsia="Arial" w:hAnsi="Arial"/>
          <w:color w:val="0D1B2A"/>
          <w:sz w:val="22"/>
          <w:szCs w:val="22"/>
        </w:rPr>
        <w:t xml:space="preserve">Termination: Upon termination of this Agreement, vesting ceases and any unvested equity is forfeited;</w:t>
      </w:r>
    </w:p>
    <w:p>
      <w:pPr>
        <w:pStyle w:val="ListParagraph"/>
        <w:numPr>
          <w:ilvl w:val="0"/>
          <w:numId w:val="2"/>
        </w:numPr>
        <w:spacing w:after="90" w:before="0"/>
      </w:pPr>
      <w:r>
        <w:rPr>
          <w:rFonts w:ascii="Arial" w:cs="Arial" w:eastAsia="Arial" w:hAnsi="Arial"/>
          <w:color w:val="0D1B2A"/>
          <w:sz w:val="22"/>
          <w:szCs w:val="22"/>
        </w:rPr>
        <w:t xml:space="preserve">Securities Compliance: All equity grants are subject to applicable federal and state securities laws. Equity is non-transferable without Company's written consent.</w:t>
      </w:r>
    </w:p>
    <w:p>
      <w:pPr>
        <w:spacing w:after="80" w:before="0"/>
      </w:pPr>
    </w:p>
    <w:p>
      <w:pPr>
        <w:pStyle w:val="Heading1"/>
        <w:spacing w:after="100" w:before="320"/>
      </w:pPr>
      <w:r>
        <w:rPr>
          <w:rFonts w:ascii="Arial" w:cs="Arial" w:eastAsia="Arial" w:hAnsi="Arial"/>
          <w:b/>
          <w:bCs/>
          <w:caps/>
          <w:color w:val="1B3A6B"/>
          <w:sz w:val="28"/>
          <w:szCs w:val="28"/>
        </w:rPr>
        <w:t xml:space="preserve">Article 5 — Intellectual Property</w:t>
      </w:r>
    </w:p>
    <w:p>
      <w:pPr>
        <w:spacing w:after="60" w:before="180"/>
      </w:pPr>
      <w:r>
        <w:rPr>
          <w:rFonts w:ascii="Arial" w:cs="Arial" w:eastAsia="Arial" w:hAnsi="Arial"/>
          <w:b/>
          <w:bCs/>
          <w:color w:val="1E4D8C"/>
          <w:sz w:val="22"/>
          <w:szCs w:val="22"/>
        </w:rPr>
        <w:t xml:space="preserve">5.1  </w:t>
      </w:r>
      <w:r>
        <w:rPr>
          <w:rFonts w:ascii="Arial" w:cs="Arial" w:eastAsia="Arial" w:hAnsi="Arial"/>
          <w:b/>
          <w:bCs/>
          <w:color w:val="0D1B2A"/>
          <w:sz w:val="22"/>
          <w:szCs w:val="22"/>
        </w:rPr>
        <w:t xml:space="preserve">Ownership of Work Product</w:t>
      </w:r>
    </w:p>
    <w:p>
      <w:pPr>
        <w:spacing w:after="140" w:before="0"/>
        <w:jc w:val="both"/>
      </w:pPr>
      <w:r>
        <w:rPr>
          <w:rFonts w:ascii="Arial" w:cs="Arial" w:eastAsia="Arial" w:hAnsi="Arial"/>
          <w:color w:val="0D1B2A"/>
          <w:sz w:val="22"/>
          <w:szCs w:val="22"/>
        </w:rPr>
        <w:t xml:space="preserve">All Work Product created by Advisor in connection with Advisory Services — including feedback, suggestions, analyses, documents, introductions, and any derivative works — is and shall remain the exclusive property of Company from the moment of creation. To the extent any Work Product constitutes an original work of authorship, it is a work made for hire. To the extent it does not, Advisor hereby assigns all right, title, and interest therein to Company.</w:t>
      </w:r>
    </w:p>
    <w:p>
      <w:pPr>
        <w:spacing w:after="60" w:before="180"/>
      </w:pPr>
      <w:r>
        <w:rPr>
          <w:rFonts w:ascii="Arial" w:cs="Arial" w:eastAsia="Arial" w:hAnsi="Arial"/>
          <w:b/>
          <w:bCs/>
          <w:color w:val="1E4D8C"/>
          <w:sz w:val="22"/>
          <w:szCs w:val="22"/>
        </w:rPr>
        <w:t xml:space="preserve">5.2  </w:t>
      </w:r>
      <w:r>
        <w:rPr>
          <w:rFonts w:ascii="Arial" w:cs="Arial" w:eastAsia="Arial" w:hAnsi="Arial"/>
          <w:b/>
          <w:bCs/>
          <w:color w:val="0D1B2A"/>
          <w:sz w:val="22"/>
          <w:szCs w:val="22"/>
        </w:rPr>
        <w:t xml:space="preserve">Feedback License</w:t>
      </w:r>
    </w:p>
    <w:p>
      <w:pPr>
        <w:spacing w:after="140" w:before="0"/>
        <w:jc w:val="both"/>
      </w:pPr>
      <w:r>
        <w:rPr>
          <w:rFonts w:ascii="Arial" w:cs="Arial" w:eastAsia="Arial" w:hAnsi="Arial"/>
          <w:color w:val="0D1B2A"/>
          <w:sz w:val="22"/>
          <w:szCs w:val="22"/>
        </w:rPr>
        <w:t xml:space="preserve">Any feedback, ideas, suggestions, or improvement concepts provided by Advisor to Company — whether or not related to Advisory Services — may be used by Company in any manner, without obligation, royalty, attribution, or compensation to Advisor. This grant is perpetual and irrevocable.</w:t>
      </w:r>
    </w:p>
    <w:p>
      <w:pPr>
        <w:spacing w:after="60" w:before="180"/>
      </w:pPr>
      <w:r>
        <w:rPr>
          <w:rFonts w:ascii="Arial" w:cs="Arial" w:eastAsia="Arial" w:hAnsi="Arial"/>
          <w:b/>
          <w:bCs/>
          <w:color w:val="1E4D8C"/>
          <w:sz w:val="22"/>
          <w:szCs w:val="22"/>
        </w:rPr>
        <w:t xml:space="preserve">5.3  </w:t>
      </w:r>
      <w:r>
        <w:rPr>
          <w:rFonts w:ascii="Arial" w:cs="Arial" w:eastAsia="Arial" w:hAnsi="Arial"/>
          <w:b/>
          <w:bCs/>
          <w:color w:val="0D1B2A"/>
          <w:sz w:val="22"/>
          <w:szCs w:val="22"/>
        </w:rPr>
        <w:t xml:space="preserve">No License to Advisor</w:t>
      </w:r>
    </w:p>
    <w:p>
      <w:pPr>
        <w:spacing w:after="140" w:before="0"/>
        <w:jc w:val="both"/>
      </w:pPr>
      <w:r>
        <w:rPr>
          <w:rFonts w:ascii="Arial" w:cs="Arial" w:eastAsia="Arial" w:hAnsi="Arial"/>
          <w:color w:val="0D1B2A"/>
          <w:sz w:val="22"/>
          <w:szCs w:val="22"/>
        </w:rPr>
        <w:t xml:space="preserve">Nothing in this Agreement grants Advisor any license, right, or interest in Company's intellectual property, source code, trademarks, or Confidential Information beyond what is strictly necessary to perform Advisory Services.</w:t>
      </w:r>
    </w:p>
    <w:p>
      <w:pPr>
        <w:spacing w:after="80" w:before="0"/>
      </w:pPr>
    </w:p>
    <w:p>
      <w:pPr>
        <w:pStyle w:val="Heading1"/>
        <w:spacing w:after="100" w:before="320"/>
      </w:pPr>
      <w:r>
        <w:rPr>
          <w:rFonts w:ascii="Arial" w:cs="Arial" w:eastAsia="Arial" w:hAnsi="Arial"/>
          <w:b/>
          <w:bCs/>
          <w:caps/>
          <w:color w:val="1B3A6B"/>
          <w:sz w:val="28"/>
          <w:szCs w:val="28"/>
        </w:rPr>
        <w:t xml:space="preserve">Article 6 — Confidentiality</w:t>
      </w:r>
    </w:p>
    <w:p>
      <w:pPr>
        <w:spacing w:after="60" w:before="180"/>
      </w:pPr>
      <w:r>
        <w:rPr>
          <w:rFonts w:ascii="Arial" w:cs="Arial" w:eastAsia="Arial" w:hAnsi="Arial"/>
          <w:b/>
          <w:bCs/>
          <w:color w:val="1E4D8C"/>
          <w:sz w:val="22"/>
          <w:szCs w:val="22"/>
        </w:rPr>
        <w:t xml:space="preserve">6.1  </w:t>
      </w:r>
      <w:r>
        <w:rPr>
          <w:rFonts w:ascii="Arial" w:cs="Arial" w:eastAsia="Arial" w:hAnsi="Arial"/>
          <w:b/>
          <w:bCs/>
          <w:color w:val="0D1B2A"/>
          <w:sz w:val="22"/>
          <w:szCs w:val="22"/>
        </w:rPr>
        <w:t xml:space="preserve">Definition of Confidential Information</w:t>
      </w:r>
    </w:p>
    <w:p>
      <w:pPr>
        <w:spacing w:after="140" w:before="0"/>
        <w:jc w:val="both"/>
      </w:pPr>
      <w:r>
        <w:rPr>
          <w:rFonts w:ascii="Arial" w:cs="Arial" w:eastAsia="Arial" w:hAnsi="Arial"/>
          <w:color w:val="0D1B2A"/>
          <w:sz w:val="22"/>
          <w:szCs w:val="22"/>
        </w:rPr>
        <w:t xml:space="preserve">For purposes of this Agreement, Confidential Information includes all non-public information disclosed to Advisor in connection with this engagement, including:</w:t>
      </w:r>
    </w:p>
    <w:p>
      <w:pPr>
        <w:pStyle w:val="ListParagraph"/>
        <w:numPr>
          <w:ilvl w:val="0"/>
          <w:numId w:val="2"/>
        </w:numPr>
        <w:spacing w:after="90" w:before="0"/>
      </w:pPr>
      <w:r>
        <w:rPr>
          <w:rFonts w:ascii="Arial" w:cs="Arial" w:eastAsia="Arial" w:hAnsi="Arial"/>
          <w:color w:val="0D1B2A"/>
          <w:sz w:val="22"/>
          <w:szCs w:val="22"/>
        </w:rPr>
        <w:t xml:space="preserve">Technical: Source code, platform architecture, APIs, system designs, AI model configurations, infrastructure, security configurations;</w:t>
      </w:r>
    </w:p>
    <w:p>
      <w:pPr>
        <w:pStyle w:val="ListParagraph"/>
        <w:numPr>
          <w:ilvl w:val="0"/>
          <w:numId w:val="2"/>
        </w:numPr>
        <w:spacing w:after="90" w:before="0"/>
      </w:pPr>
      <w:r>
        <w:rPr>
          <w:rFonts w:ascii="Arial" w:cs="Arial" w:eastAsia="Arial" w:hAnsi="Arial"/>
          <w:color w:val="0D1B2A"/>
          <w:sz w:val="22"/>
          <w:szCs w:val="22"/>
        </w:rPr>
        <w:t xml:space="preserve">Business: Pricing, financials, projections, customer lists, prospects, pipeline, contracts, partnerships, and strategic plans;</w:t>
      </w:r>
    </w:p>
    <w:p>
      <w:pPr>
        <w:pStyle w:val="ListParagraph"/>
        <w:numPr>
          <w:ilvl w:val="0"/>
          <w:numId w:val="2"/>
        </w:numPr>
        <w:spacing w:after="90" w:before="0"/>
      </w:pPr>
      <w:r>
        <w:rPr>
          <w:rFonts w:ascii="Arial" w:cs="Arial" w:eastAsia="Arial" w:hAnsi="Arial"/>
          <w:color w:val="0D1B2A"/>
          <w:sz w:val="22"/>
          <w:szCs w:val="22"/>
        </w:rPr>
        <w:t xml:space="preserve">Customer/Agency: Data, configurations, incident records, transcripts, and any information relating to Company's agency customers;</w:t>
      </w:r>
    </w:p>
    <w:p>
      <w:pPr>
        <w:pStyle w:val="ListParagraph"/>
        <w:numPr>
          <w:ilvl w:val="0"/>
          <w:numId w:val="2"/>
        </w:numPr>
        <w:spacing w:after="90" w:before="0"/>
      </w:pPr>
      <w:r>
        <w:rPr>
          <w:rFonts w:ascii="Arial" w:cs="Arial" w:eastAsia="Arial" w:hAnsi="Arial"/>
          <w:color w:val="0D1B2A"/>
          <w:sz w:val="22"/>
          <w:szCs w:val="22"/>
        </w:rPr>
        <w:t xml:space="preserve">Product: Roadmap, unreleased features, UI/UX designs, and product specifications;</w:t>
      </w:r>
    </w:p>
    <w:p>
      <w:pPr>
        <w:pStyle w:val="ListParagraph"/>
        <w:numPr>
          <w:ilvl w:val="0"/>
          <w:numId w:val="2"/>
        </w:numPr>
        <w:spacing w:after="90" w:before="0"/>
      </w:pPr>
      <w:r>
        <w:rPr>
          <w:rFonts w:ascii="Arial" w:cs="Arial" w:eastAsia="Arial" w:hAnsi="Arial"/>
          <w:color w:val="0D1B2A"/>
          <w:sz w:val="22"/>
          <w:szCs w:val="22"/>
        </w:rPr>
        <w:t xml:space="preserve">Personnel: Compensation, structure, and other employee or contractor information.</w:t>
      </w:r>
    </w:p>
    <w:p>
      <w:pPr>
        <w:spacing w:after="60" w:before="0"/>
      </w:pPr>
    </w:p>
    <w:p>
      <w:pPr>
        <w:spacing w:after="60" w:before="180"/>
      </w:pPr>
      <w:r>
        <w:rPr>
          <w:rFonts w:ascii="Arial" w:cs="Arial" w:eastAsia="Arial" w:hAnsi="Arial"/>
          <w:b/>
          <w:bCs/>
          <w:color w:val="1E4D8C"/>
          <w:sz w:val="22"/>
          <w:szCs w:val="22"/>
        </w:rPr>
        <w:t xml:space="preserve">6.2  </w:t>
      </w:r>
      <w:r>
        <w:rPr>
          <w:rFonts w:ascii="Arial" w:cs="Arial" w:eastAsia="Arial" w:hAnsi="Arial"/>
          <w:b/>
          <w:bCs/>
          <w:color w:val="0D1B2A"/>
          <w:sz w:val="22"/>
          <w:szCs w:val="22"/>
        </w:rPr>
        <w:t xml:space="preserve">Obligations</w:t>
      </w:r>
    </w:p>
    <w:p>
      <w:pPr>
        <w:spacing w:after="140" w:before="0"/>
        <w:jc w:val="both"/>
      </w:pPr>
      <w:r>
        <w:rPr>
          <w:rFonts w:ascii="Arial" w:cs="Arial" w:eastAsia="Arial" w:hAnsi="Arial"/>
          <w:color w:val="0D1B2A"/>
          <w:sz w:val="22"/>
          <w:szCs w:val="22"/>
        </w:rPr>
        <w:t xml:space="preserve">Advisor shall: (a) hold all Confidential Information in strict confidence; (b) use Confidential Information only in connection with Advisory Services; (c) not disclose Confidential Information to any third party without Company's prior written consent; (d) use at least reasonable care to protect Confidential Information; and (e) promptly notify Company of any known or suspected unauthorized disclosure.</w:t>
      </w:r>
    </w:p>
    <w:p>
      <w:pPr>
        <w:spacing w:after="60" w:before="180"/>
      </w:pPr>
      <w:r>
        <w:rPr>
          <w:rFonts w:ascii="Arial" w:cs="Arial" w:eastAsia="Arial" w:hAnsi="Arial"/>
          <w:b/>
          <w:bCs/>
          <w:color w:val="1E4D8C"/>
          <w:sz w:val="22"/>
          <w:szCs w:val="22"/>
        </w:rPr>
        <w:t xml:space="preserve">6.3  </w:t>
      </w:r>
      <w:r>
        <w:rPr>
          <w:rFonts w:ascii="Arial" w:cs="Arial" w:eastAsia="Arial" w:hAnsi="Arial"/>
          <w:b/>
          <w:bCs/>
          <w:color w:val="0D1B2A"/>
          <w:sz w:val="22"/>
          <w:szCs w:val="22"/>
        </w:rPr>
        <w:t xml:space="preserve">Exclusions</w:t>
      </w:r>
    </w:p>
    <w:p>
      <w:pPr>
        <w:spacing w:after="140" w:before="0"/>
        <w:jc w:val="both"/>
      </w:pPr>
      <w:r>
        <w:rPr>
          <w:rFonts w:ascii="Arial" w:cs="Arial" w:eastAsia="Arial" w:hAnsi="Arial"/>
          <w:color w:val="0D1B2A"/>
          <w:sz w:val="22"/>
          <w:szCs w:val="22"/>
        </w:rPr>
        <w:t xml:space="preserve">Confidentiality obligations do not apply to information that Advisor can demonstrate: (a) was publicly known at the time of disclosure; (b) became public through no fault of Advisor; (c) was rightfully known by Advisor without restriction prior to disclosure; or (d) was independently developed without use of Confidential Information. The burden of proof is on Advisor.</w:t>
      </w:r>
    </w:p>
    <w:p>
      <w:pPr>
        <w:spacing w:after="60" w:before="180"/>
      </w:pPr>
      <w:r>
        <w:rPr>
          <w:rFonts w:ascii="Arial" w:cs="Arial" w:eastAsia="Arial" w:hAnsi="Arial"/>
          <w:b/>
          <w:bCs/>
          <w:color w:val="1E4D8C"/>
          <w:sz w:val="22"/>
          <w:szCs w:val="22"/>
        </w:rPr>
        <w:t xml:space="preserve">6.4  </w:t>
      </w:r>
      <w:r>
        <w:rPr>
          <w:rFonts w:ascii="Arial" w:cs="Arial" w:eastAsia="Arial" w:hAnsi="Arial"/>
          <w:b/>
          <w:bCs/>
          <w:color w:val="0D1B2A"/>
          <w:sz w:val="22"/>
          <w:szCs w:val="22"/>
        </w:rPr>
        <w:t xml:space="preserve">Survival</w:t>
      </w:r>
    </w:p>
    <w:p>
      <w:pPr>
        <w:spacing w:after="140" w:before="0"/>
        <w:jc w:val="both"/>
      </w:pPr>
      <w:r>
        <w:rPr>
          <w:rFonts w:ascii="Arial" w:cs="Arial" w:eastAsia="Arial" w:hAnsi="Arial"/>
          <w:color w:val="0D1B2A"/>
          <w:sz w:val="22"/>
          <w:szCs w:val="22"/>
        </w:rPr>
        <w:t xml:space="preserve">Confidentiality obligations survive termination of this Agreement for five (5) years for general Confidential Information, and indefinitely for trade secrets and customer data.</w:t>
      </w:r>
    </w:p>
    <w:p>
      <w:pPr>
        <w:spacing w:after="60" w:before="180"/>
      </w:pPr>
      <w:r>
        <w:rPr>
          <w:rFonts w:ascii="Arial" w:cs="Arial" w:eastAsia="Arial" w:hAnsi="Arial"/>
          <w:b/>
          <w:bCs/>
          <w:color w:val="1E4D8C"/>
          <w:sz w:val="22"/>
          <w:szCs w:val="22"/>
        </w:rPr>
        <w:t xml:space="preserve">6.5  </w:t>
      </w:r>
      <w:r>
        <w:rPr>
          <w:rFonts w:ascii="Arial" w:cs="Arial" w:eastAsia="Arial" w:hAnsi="Arial"/>
          <w:b/>
          <w:bCs/>
          <w:color w:val="0D1B2A"/>
          <w:sz w:val="22"/>
          <w:szCs w:val="22"/>
        </w:rPr>
        <w:t xml:space="preserve">Return of Materials</w:t>
      </w:r>
    </w:p>
    <w:p>
      <w:pPr>
        <w:spacing w:after="140" w:before="0"/>
        <w:jc w:val="both"/>
      </w:pPr>
      <w:r>
        <w:rPr>
          <w:rFonts w:ascii="Arial" w:cs="Arial" w:eastAsia="Arial" w:hAnsi="Arial"/>
          <w:color w:val="0D1B2A"/>
          <w:sz w:val="22"/>
          <w:szCs w:val="22"/>
        </w:rPr>
        <w:t xml:space="preserve">Upon termination or request, Advisor shall promptly return or destroy all Confidential Information in any form and certify such return or destruction in writing.</w:t>
      </w:r>
    </w:p>
    <w:p>
      <w:pPr>
        <w:spacing w:after="80" w:before="0"/>
      </w:pPr>
    </w:p>
    <w:p>
      <w:pPr>
        <w:pStyle w:val="Heading1"/>
        <w:spacing w:after="100" w:before="320"/>
      </w:pPr>
      <w:r>
        <w:rPr>
          <w:rFonts w:ascii="Arial" w:cs="Arial" w:eastAsia="Arial" w:hAnsi="Arial"/>
          <w:b/>
          <w:bCs/>
          <w:caps/>
          <w:color w:val="1B3A6B"/>
          <w:sz w:val="28"/>
          <w:szCs w:val="28"/>
        </w:rPr>
        <w:t xml:space="preserve">Article 7 — Non-Disparagement</w:t>
      </w:r>
    </w:p>
    <w:p>
      <w:pPr>
        <w:spacing w:after="60" w:before="180"/>
      </w:pPr>
      <w:r>
        <w:rPr>
          <w:rFonts w:ascii="Arial" w:cs="Arial" w:eastAsia="Arial" w:hAnsi="Arial"/>
          <w:b/>
          <w:bCs/>
          <w:color w:val="1E4D8C"/>
          <w:sz w:val="22"/>
          <w:szCs w:val="22"/>
        </w:rPr>
        <w:t xml:space="preserve">7.1  </w:t>
      </w:r>
      <w:r>
        <w:rPr>
          <w:rFonts w:ascii="Arial" w:cs="Arial" w:eastAsia="Arial" w:hAnsi="Arial"/>
          <w:b/>
          <w:bCs/>
          <w:color w:val="0D1B2A"/>
          <w:sz w:val="22"/>
          <w:szCs w:val="22"/>
        </w:rPr>
        <w:t xml:space="preserve">Mutual Non-Disparagement</w:t>
      </w:r>
    </w:p>
    <w:p>
      <w:pPr>
        <w:spacing w:after="140" w:before="0"/>
        <w:jc w:val="both"/>
      </w:pPr>
      <w:r>
        <w:rPr>
          <w:rFonts w:ascii="Arial" w:cs="Arial" w:eastAsia="Arial" w:hAnsi="Arial"/>
          <w:color w:val="0D1B2A"/>
          <w:sz w:val="22"/>
          <w:szCs w:val="22"/>
        </w:rPr>
        <w:t xml:space="preserve">During the term of this Agreement and for two (2) years following termination, neither party shall make any public statement — oral, written, or via social media — that disparages, defames, or denigrates the other party, their officers, products, team, customers, or business operations.</w:t>
      </w:r>
    </w:p>
    <w:p>
      <w:pPr>
        <w:spacing w:after="60" w:before="180"/>
      </w:pPr>
      <w:r>
        <w:rPr>
          <w:rFonts w:ascii="Arial" w:cs="Arial" w:eastAsia="Arial" w:hAnsi="Arial"/>
          <w:b/>
          <w:bCs/>
          <w:color w:val="1E4D8C"/>
          <w:sz w:val="22"/>
          <w:szCs w:val="22"/>
        </w:rPr>
        <w:t xml:space="preserve">7.2  </w:t>
      </w:r>
      <w:r>
        <w:rPr>
          <w:rFonts w:ascii="Arial" w:cs="Arial" w:eastAsia="Arial" w:hAnsi="Arial"/>
          <w:b/>
          <w:bCs/>
          <w:color w:val="0D1B2A"/>
          <w:sz w:val="22"/>
          <w:szCs w:val="22"/>
        </w:rPr>
        <w:t xml:space="preserve">Professional Representations</w:t>
      </w:r>
    </w:p>
    <w:p>
      <w:pPr>
        <w:spacing w:after="140" w:before="0"/>
        <w:jc w:val="both"/>
      </w:pPr>
      <w:r>
        <w:rPr>
          <w:rFonts w:ascii="Arial" w:cs="Arial" w:eastAsia="Arial" w:hAnsi="Arial"/>
          <w:color w:val="0D1B2A"/>
          <w:sz w:val="22"/>
          <w:szCs w:val="22"/>
        </w:rPr>
        <w:t xml:space="preserve">Advisor shall represent Company and the NexCort iQ platform truthfully and professionally in all public and private contexts. Advisor shall not misrepresent Company's capabilities, product status, customer relationships, or business standing to any third party.</w:t>
      </w:r>
    </w:p>
    <w:p>
      <w:pPr>
        <w:spacing w:after="80" w:before="0"/>
      </w:pPr>
    </w:p>
    <w:p>
      <w:pPr>
        <w:pStyle w:val="Heading1"/>
        <w:spacing w:after="100" w:before="320"/>
      </w:pPr>
      <w:r>
        <w:rPr>
          <w:rFonts w:ascii="Arial" w:cs="Arial" w:eastAsia="Arial" w:hAnsi="Arial"/>
          <w:b/>
          <w:bCs/>
          <w:caps/>
          <w:color w:val="1B3A6B"/>
          <w:sz w:val="28"/>
          <w:szCs w:val="28"/>
        </w:rPr>
        <w:t xml:space="preserve">Article 8 — Conflict of Interest</w:t>
      </w:r>
    </w:p>
    <w:p>
      <w:pPr>
        <w:spacing w:after="60" w:before="180"/>
      </w:pPr>
      <w:r>
        <w:rPr>
          <w:rFonts w:ascii="Arial" w:cs="Arial" w:eastAsia="Arial" w:hAnsi="Arial"/>
          <w:b/>
          <w:bCs/>
          <w:color w:val="1E4D8C"/>
          <w:sz w:val="22"/>
          <w:szCs w:val="22"/>
        </w:rPr>
        <w:t xml:space="preserve">8.1  </w:t>
      </w:r>
      <w:r>
        <w:rPr>
          <w:rFonts w:ascii="Arial" w:cs="Arial" w:eastAsia="Arial" w:hAnsi="Arial"/>
          <w:b/>
          <w:bCs/>
          <w:color w:val="0D1B2A"/>
          <w:sz w:val="22"/>
          <w:szCs w:val="22"/>
        </w:rPr>
        <w:t xml:space="preserve">Disclosure Obligation</w:t>
      </w:r>
    </w:p>
    <w:p>
      <w:pPr>
        <w:spacing w:after="140" w:before="0"/>
        <w:jc w:val="both"/>
      </w:pPr>
      <w:r>
        <w:rPr>
          <w:rFonts w:ascii="Arial" w:cs="Arial" w:eastAsia="Arial" w:hAnsi="Arial"/>
          <w:color w:val="0D1B2A"/>
          <w:sz w:val="22"/>
          <w:szCs w:val="22"/>
        </w:rPr>
        <w:t xml:space="preserve">Advisor shall promptly disclose to Company in writing any existing or potential conflict of interest, including:</w:t>
      </w:r>
    </w:p>
    <w:p>
      <w:pPr>
        <w:pStyle w:val="ListParagraph"/>
        <w:numPr>
          <w:ilvl w:val="0"/>
          <w:numId w:val="2"/>
        </w:numPr>
        <w:spacing w:after="90" w:before="0"/>
      </w:pPr>
      <w:r>
        <w:rPr>
          <w:rFonts w:ascii="Arial" w:cs="Arial" w:eastAsia="Arial" w:hAnsi="Arial"/>
          <w:color w:val="0D1B2A"/>
          <w:sz w:val="22"/>
          <w:szCs w:val="22"/>
        </w:rPr>
        <w:t xml:space="preserve">Employment or engagement with, or ownership of, a company that is a direct competitor of NexCort iQ or provides similar public safety technology;</w:t>
      </w:r>
    </w:p>
    <w:p>
      <w:pPr>
        <w:pStyle w:val="ListParagraph"/>
        <w:numPr>
          <w:ilvl w:val="0"/>
          <w:numId w:val="2"/>
        </w:numPr>
        <w:spacing w:after="90" w:before="0"/>
      </w:pPr>
      <w:r>
        <w:rPr>
          <w:rFonts w:ascii="Arial" w:cs="Arial" w:eastAsia="Arial" w:hAnsi="Arial"/>
          <w:color w:val="0D1B2A"/>
          <w:sz w:val="22"/>
          <w:szCs w:val="22"/>
        </w:rPr>
        <w:t xml:space="preserve">Any relationship — financial, professional, or personal — with a prospective customer, agency, or partner that could impair Advisor's objectivity or introduce a conflict;</w:t>
      </w:r>
    </w:p>
    <w:p>
      <w:pPr>
        <w:pStyle w:val="ListParagraph"/>
        <w:numPr>
          <w:ilvl w:val="0"/>
          <w:numId w:val="2"/>
        </w:numPr>
        <w:spacing w:after="90" w:before="0"/>
      </w:pPr>
      <w:r>
        <w:rPr>
          <w:rFonts w:ascii="Arial" w:cs="Arial" w:eastAsia="Arial" w:hAnsi="Arial"/>
          <w:color w:val="0D1B2A"/>
          <w:sz w:val="22"/>
          <w:szCs w:val="22"/>
        </w:rPr>
        <w:t xml:space="preserve">Any government or agency employment that restricts Advisor's ability to advise private companies in the public safety sector.</w:t>
      </w:r>
    </w:p>
    <w:p>
      <w:pPr>
        <w:spacing w:after="60" w:before="0"/>
      </w:pPr>
    </w:p>
    <w:p>
      <w:pPr>
        <w:spacing w:after="60" w:before="180"/>
      </w:pPr>
      <w:r>
        <w:rPr>
          <w:rFonts w:ascii="Arial" w:cs="Arial" w:eastAsia="Arial" w:hAnsi="Arial"/>
          <w:b/>
          <w:bCs/>
          <w:color w:val="1E4D8C"/>
          <w:sz w:val="22"/>
          <w:szCs w:val="22"/>
        </w:rPr>
        <w:t xml:space="preserve">8.2  </w:t>
      </w:r>
      <w:r>
        <w:rPr>
          <w:rFonts w:ascii="Arial" w:cs="Arial" w:eastAsia="Arial" w:hAnsi="Arial"/>
          <w:b/>
          <w:bCs/>
          <w:color w:val="0D1B2A"/>
          <w:sz w:val="22"/>
          <w:szCs w:val="22"/>
        </w:rPr>
        <w:t xml:space="preserve">Resolution</w:t>
      </w:r>
    </w:p>
    <w:p>
      <w:pPr>
        <w:spacing w:after="140" w:before="0"/>
        <w:jc w:val="both"/>
      </w:pPr>
      <w:r>
        <w:rPr>
          <w:rFonts w:ascii="Arial" w:cs="Arial" w:eastAsia="Arial" w:hAnsi="Arial"/>
          <w:color w:val="0D1B2A"/>
          <w:sz w:val="22"/>
          <w:szCs w:val="22"/>
        </w:rPr>
        <w:t xml:space="preserve">Upon disclosure, the parties will work in good faith to determine whether the conflict is material. Company reserves the right to terminate this Agreement if a conflict is material and cannot reasonably be managed.</w:t>
      </w:r>
    </w:p>
    <w:p>
      <w:pPr>
        <w:spacing w:after="60" w:before="180"/>
      </w:pPr>
      <w:r>
        <w:rPr>
          <w:rFonts w:ascii="Arial" w:cs="Arial" w:eastAsia="Arial" w:hAnsi="Arial"/>
          <w:b/>
          <w:bCs/>
          <w:color w:val="1E4D8C"/>
          <w:sz w:val="22"/>
          <w:szCs w:val="22"/>
        </w:rPr>
        <w:t xml:space="preserve">8.3  </w:t>
      </w:r>
      <w:r>
        <w:rPr>
          <w:rFonts w:ascii="Arial" w:cs="Arial" w:eastAsia="Arial" w:hAnsi="Arial"/>
          <w:b/>
          <w:bCs/>
          <w:color w:val="0D1B2A"/>
          <w:sz w:val="22"/>
          <w:szCs w:val="22"/>
        </w:rPr>
        <w:t xml:space="preserve">Ongoing Obligation</w:t>
      </w:r>
    </w:p>
    <w:p>
      <w:pPr>
        <w:spacing w:after="140" w:before="0"/>
        <w:jc w:val="both"/>
      </w:pPr>
      <w:r>
        <w:rPr>
          <w:rFonts w:ascii="Arial" w:cs="Arial" w:eastAsia="Arial" w:hAnsi="Arial"/>
          <w:color w:val="0D1B2A"/>
          <w:sz w:val="22"/>
          <w:szCs w:val="22"/>
        </w:rPr>
        <w:t xml:space="preserve">The obligation to disclose conflicts is ongoing throughout the term of this Agreement. Advisor shall notify Company within ten (10) business days of becoming aware of any new potential conflict.</w:t>
      </w:r>
    </w:p>
    <w:p>
      <w:pPr>
        <w:spacing w:after="80" w:before="0"/>
      </w:pPr>
    </w:p>
    <w:p>
      <w:pPr>
        <w:pStyle w:val="Heading1"/>
        <w:spacing w:after="100" w:before="320"/>
      </w:pPr>
      <w:r>
        <w:rPr>
          <w:rFonts w:ascii="Arial" w:cs="Arial" w:eastAsia="Arial" w:hAnsi="Arial"/>
          <w:b/>
          <w:bCs/>
          <w:caps/>
          <w:color w:val="1B3A6B"/>
          <w:sz w:val="28"/>
          <w:szCs w:val="28"/>
        </w:rPr>
        <w:t xml:space="preserve">Article 9 — Term and Termination</w:t>
      </w:r>
    </w:p>
    <w:p>
      <w:pPr>
        <w:spacing w:after="60" w:before="180"/>
      </w:pPr>
      <w:r>
        <w:rPr>
          <w:rFonts w:ascii="Arial" w:cs="Arial" w:eastAsia="Arial" w:hAnsi="Arial"/>
          <w:b/>
          <w:bCs/>
          <w:color w:val="1E4D8C"/>
          <w:sz w:val="22"/>
          <w:szCs w:val="22"/>
        </w:rPr>
        <w:t xml:space="preserve">9.1  </w:t>
      </w:r>
      <w:r>
        <w:rPr>
          <w:rFonts w:ascii="Arial" w:cs="Arial" w:eastAsia="Arial" w:hAnsi="Arial"/>
          <w:b/>
          <w:bCs/>
          <w:color w:val="0D1B2A"/>
          <w:sz w:val="22"/>
          <w:szCs w:val="22"/>
        </w:rPr>
        <w:t xml:space="preserve">Term</w:t>
      </w:r>
    </w:p>
    <w:p>
      <w:pPr>
        <w:spacing w:after="140" w:before="0"/>
        <w:jc w:val="both"/>
      </w:pPr>
      <w:r>
        <w:rPr>
          <w:rFonts w:ascii="Arial" w:cs="Arial" w:eastAsia="Arial" w:hAnsi="Arial"/>
          <w:color w:val="0D1B2A"/>
          <w:sz w:val="22"/>
          <w:szCs w:val="22"/>
        </w:rPr>
        <w:t xml:space="preserve">This Agreement is effective as of the Effective Date and continues for an initial term of twelve (12) months, unless earlier terminated. The Agreement automatically renews for successive twelve (12)-month terms unless either party provides thirty (30) days written notice of non-renewal.</w:t>
      </w:r>
    </w:p>
    <w:p>
      <w:pPr>
        <w:spacing w:after="60" w:before="180"/>
      </w:pPr>
      <w:r>
        <w:rPr>
          <w:rFonts w:ascii="Arial" w:cs="Arial" w:eastAsia="Arial" w:hAnsi="Arial"/>
          <w:b/>
          <w:bCs/>
          <w:color w:val="1E4D8C"/>
          <w:sz w:val="22"/>
          <w:szCs w:val="22"/>
        </w:rPr>
        <w:t xml:space="preserve">9.2  </w:t>
      </w:r>
      <w:r>
        <w:rPr>
          <w:rFonts w:ascii="Arial" w:cs="Arial" w:eastAsia="Arial" w:hAnsi="Arial"/>
          <w:b/>
          <w:bCs/>
          <w:color w:val="0D1B2A"/>
          <w:sz w:val="22"/>
          <w:szCs w:val="22"/>
        </w:rPr>
        <w:t xml:space="preserve">Termination for Convenience</w:t>
      </w:r>
    </w:p>
    <w:p>
      <w:pPr>
        <w:spacing w:after="140" w:before="0"/>
        <w:jc w:val="both"/>
      </w:pPr>
      <w:r>
        <w:rPr>
          <w:rFonts w:ascii="Arial" w:cs="Arial" w:eastAsia="Arial" w:hAnsi="Arial"/>
          <w:color w:val="0D1B2A"/>
          <w:sz w:val="22"/>
          <w:szCs w:val="22"/>
        </w:rPr>
        <w:t xml:space="preserve">Either party may terminate this Agreement at any time, for any reason or no reason, upon thirty (30) days written notice to the other party.</w:t>
      </w:r>
    </w:p>
    <w:p>
      <w:pPr>
        <w:spacing w:after="60" w:before="180"/>
      </w:pPr>
      <w:r>
        <w:rPr>
          <w:rFonts w:ascii="Arial" w:cs="Arial" w:eastAsia="Arial" w:hAnsi="Arial"/>
          <w:b/>
          <w:bCs/>
          <w:color w:val="1E4D8C"/>
          <w:sz w:val="22"/>
          <w:szCs w:val="22"/>
        </w:rPr>
        <w:t xml:space="preserve">9.3  </w:t>
      </w:r>
      <w:r>
        <w:rPr>
          <w:rFonts w:ascii="Arial" w:cs="Arial" w:eastAsia="Arial" w:hAnsi="Arial"/>
          <w:b/>
          <w:bCs/>
          <w:color w:val="0D1B2A"/>
          <w:sz w:val="22"/>
          <w:szCs w:val="22"/>
        </w:rPr>
        <w:t xml:space="preserve">Immediate Termination</w:t>
      </w:r>
    </w:p>
    <w:p>
      <w:pPr>
        <w:spacing w:after="140" w:before="0"/>
        <w:jc w:val="both"/>
      </w:pPr>
      <w:r>
        <w:rPr>
          <w:rFonts w:ascii="Arial" w:cs="Arial" w:eastAsia="Arial" w:hAnsi="Arial"/>
          <w:color w:val="0D1B2A"/>
          <w:sz w:val="22"/>
          <w:szCs w:val="22"/>
        </w:rPr>
        <w:t xml:space="preserve">Company may terminate this Agreement immediately upon written notice if Advisor: (a) materially breaches any provision of this Agreement; (b) engages in conduct harmful to Company's reputation, customers, or business; (c) fails to disclose a material conflict of interest; or (d) violates applicable law in connection with Advisory Services.</w:t>
      </w:r>
    </w:p>
    <w:p>
      <w:pPr>
        <w:spacing w:after="60" w:before="180"/>
      </w:pPr>
      <w:r>
        <w:rPr>
          <w:rFonts w:ascii="Arial" w:cs="Arial" w:eastAsia="Arial" w:hAnsi="Arial"/>
          <w:b/>
          <w:bCs/>
          <w:color w:val="1E4D8C"/>
          <w:sz w:val="22"/>
          <w:szCs w:val="22"/>
        </w:rPr>
        <w:t xml:space="preserve">9.4  </w:t>
      </w:r>
      <w:r>
        <w:rPr>
          <w:rFonts w:ascii="Arial" w:cs="Arial" w:eastAsia="Arial" w:hAnsi="Arial"/>
          <w:b/>
          <w:bCs/>
          <w:color w:val="0D1B2A"/>
          <w:sz w:val="22"/>
          <w:szCs w:val="22"/>
        </w:rPr>
        <w:t xml:space="preserve">Effect of Termination</w:t>
      </w:r>
    </w:p>
    <w:p>
      <w:pPr>
        <w:spacing w:after="140" w:before="0"/>
        <w:jc w:val="both"/>
      </w:pPr>
      <w:r>
        <w:rPr>
          <w:rFonts w:ascii="Arial" w:cs="Arial" w:eastAsia="Arial" w:hAnsi="Arial"/>
          <w:color w:val="0D1B2A"/>
          <w:sz w:val="22"/>
          <w:szCs w:val="22"/>
        </w:rPr>
        <w:t xml:space="preserve">Upon termination: (a) Advisor's advisory title and access to Company resources ceases; (b) equity vesting stops and unvested equity is forfeited; (c) confidentiality and IP obligations survive as specified; (d) Advisor returns all Confidential Information.</w:t>
      </w:r>
    </w:p>
    <w:p>
      <w:pPr>
        <w:spacing w:after="80" w:before="0"/>
      </w:pPr>
    </w:p>
    <w:p>
      <w:pPr>
        <w:pStyle w:val="Heading1"/>
        <w:spacing w:after="100" w:before="320"/>
      </w:pPr>
      <w:r>
        <w:rPr>
          <w:rFonts w:ascii="Arial" w:cs="Arial" w:eastAsia="Arial" w:hAnsi="Arial"/>
          <w:b/>
          <w:bCs/>
          <w:caps/>
          <w:color w:val="1B3A6B"/>
          <w:sz w:val="28"/>
          <w:szCs w:val="28"/>
        </w:rPr>
        <w:t xml:space="preserve">Article 10 — General Provisions</w:t>
      </w:r>
    </w:p>
    <w:p>
      <w:pPr>
        <w:spacing w:after="60" w:before="180"/>
      </w:pPr>
      <w:r>
        <w:rPr>
          <w:rFonts w:ascii="Arial" w:cs="Arial" w:eastAsia="Arial" w:hAnsi="Arial"/>
          <w:b/>
          <w:bCs/>
          <w:color w:val="1E4D8C"/>
          <w:sz w:val="22"/>
          <w:szCs w:val="22"/>
        </w:rPr>
        <w:t xml:space="preserve">10.1  </w:t>
      </w:r>
      <w:r>
        <w:rPr>
          <w:rFonts w:ascii="Arial" w:cs="Arial" w:eastAsia="Arial" w:hAnsi="Arial"/>
          <w:b/>
          <w:bCs/>
          <w:color w:val="0D1B2A"/>
          <w:sz w:val="22"/>
          <w:szCs w:val="22"/>
        </w:rPr>
        <w:t xml:space="preserve">Governing Law</w:t>
      </w:r>
    </w:p>
    <w:p>
      <w:pPr>
        <w:spacing w:after="140" w:before="0"/>
        <w:jc w:val="both"/>
      </w:pPr>
      <w:r>
        <w:rPr>
          <w:rFonts w:ascii="Arial" w:cs="Arial" w:eastAsia="Arial" w:hAnsi="Arial"/>
          <w:color w:val="0D1B2A"/>
          <w:sz w:val="22"/>
          <w:szCs w:val="22"/>
        </w:rPr>
        <w:t xml:space="preserve">This Agreement shall be governed by the laws of the State of Georgia, without regard to its conflict of laws principles. The Georgia Trade Secrets Act (O.C.G.A. § 10-1-760 et seq.) shall apply to confidential information and trade secrets.</w:t>
      </w:r>
    </w:p>
    <w:p>
      <w:pPr>
        <w:spacing w:after="60" w:before="180"/>
      </w:pPr>
      <w:r>
        <w:rPr>
          <w:rFonts w:ascii="Arial" w:cs="Arial" w:eastAsia="Arial" w:hAnsi="Arial"/>
          <w:b/>
          <w:bCs/>
          <w:color w:val="1E4D8C"/>
          <w:sz w:val="22"/>
          <w:szCs w:val="22"/>
        </w:rPr>
        <w:t xml:space="preserve">10.2  </w:t>
      </w:r>
      <w:r>
        <w:rPr>
          <w:rFonts w:ascii="Arial" w:cs="Arial" w:eastAsia="Arial" w:hAnsi="Arial"/>
          <w:b/>
          <w:bCs/>
          <w:color w:val="0D1B2A"/>
          <w:sz w:val="22"/>
          <w:szCs w:val="22"/>
        </w:rPr>
        <w:t xml:space="preserve">Jurisdiction and Venue</w:t>
      </w:r>
    </w:p>
    <w:p>
      <w:pPr>
        <w:spacing w:after="140" w:before="0"/>
        <w:jc w:val="both"/>
      </w:pPr>
      <w:r>
        <w:rPr>
          <w:rFonts w:ascii="Arial" w:cs="Arial" w:eastAsia="Arial" w:hAnsi="Arial"/>
          <w:color w:val="0D1B2A"/>
          <w:sz w:val="22"/>
          <w:szCs w:val="22"/>
        </w:rPr>
        <w:t xml:space="preserve">The parties consent to exclusive jurisdiction of state and federal courts in Georgia for any dispute arising from this Agreement.</w:t>
      </w:r>
    </w:p>
    <w:p>
      <w:pPr>
        <w:spacing w:after="60" w:before="180"/>
      </w:pPr>
      <w:r>
        <w:rPr>
          <w:rFonts w:ascii="Arial" w:cs="Arial" w:eastAsia="Arial" w:hAnsi="Arial"/>
          <w:b/>
          <w:bCs/>
          <w:color w:val="1E4D8C"/>
          <w:sz w:val="22"/>
          <w:szCs w:val="22"/>
        </w:rPr>
        <w:t xml:space="preserve">10.3  </w:t>
      </w:r>
      <w:r>
        <w:rPr>
          <w:rFonts w:ascii="Arial" w:cs="Arial" w:eastAsia="Arial" w:hAnsi="Arial"/>
          <w:b/>
          <w:bCs/>
          <w:color w:val="0D1B2A"/>
          <w:sz w:val="22"/>
          <w:szCs w:val="22"/>
        </w:rPr>
        <w:t xml:space="preserve">Entire Agreement</w:t>
      </w:r>
    </w:p>
    <w:p>
      <w:pPr>
        <w:spacing w:after="140" w:before="0"/>
        <w:jc w:val="both"/>
      </w:pPr>
      <w:r>
        <w:rPr>
          <w:rFonts w:ascii="Arial" w:cs="Arial" w:eastAsia="Arial" w:hAnsi="Arial"/>
          <w:color w:val="0D1B2A"/>
          <w:sz w:val="22"/>
          <w:szCs w:val="22"/>
        </w:rPr>
        <w:t xml:space="preserve">This Agreement constitutes the entire agreement between the parties on the subject matter hereof and supersedes all prior discussions, negotiations, and understandings.</w:t>
      </w:r>
    </w:p>
    <w:p>
      <w:pPr>
        <w:spacing w:after="60" w:before="180"/>
      </w:pPr>
      <w:r>
        <w:rPr>
          <w:rFonts w:ascii="Arial" w:cs="Arial" w:eastAsia="Arial" w:hAnsi="Arial"/>
          <w:b/>
          <w:bCs/>
          <w:color w:val="1E4D8C"/>
          <w:sz w:val="22"/>
          <w:szCs w:val="22"/>
        </w:rPr>
        <w:t xml:space="preserve">10.4  </w:t>
      </w:r>
      <w:r>
        <w:rPr>
          <w:rFonts w:ascii="Arial" w:cs="Arial" w:eastAsia="Arial" w:hAnsi="Arial"/>
          <w:b/>
          <w:bCs/>
          <w:color w:val="0D1B2A"/>
          <w:sz w:val="22"/>
          <w:szCs w:val="22"/>
        </w:rPr>
        <w:t xml:space="preserve">Amendment</w:t>
      </w:r>
    </w:p>
    <w:p>
      <w:pPr>
        <w:spacing w:after="140" w:before="0"/>
        <w:jc w:val="both"/>
      </w:pPr>
      <w:r>
        <w:rPr>
          <w:rFonts w:ascii="Arial" w:cs="Arial" w:eastAsia="Arial" w:hAnsi="Arial"/>
          <w:color w:val="0D1B2A"/>
          <w:sz w:val="22"/>
          <w:szCs w:val="22"/>
        </w:rPr>
        <w:t xml:space="preserve">This Agreement may only be modified by a written instrument signed by both parties.</w:t>
      </w:r>
    </w:p>
    <w:p>
      <w:pPr>
        <w:spacing w:after="60" w:before="180"/>
      </w:pPr>
      <w:r>
        <w:rPr>
          <w:rFonts w:ascii="Arial" w:cs="Arial" w:eastAsia="Arial" w:hAnsi="Arial"/>
          <w:b/>
          <w:bCs/>
          <w:color w:val="1E4D8C"/>
          <w:sz w:val="22"/>
          <w:szCs w:val="22"/>
        </w:rPr>
        <w:t xml:space="preserve">10.5  </w:t>
      </w:r>
      <w:r>
        <w:rPr>
          <w:rFonts w:ascii="Arial" w:cs="Arial" w:eastAsia="Arial" w:hAnsi="Arial"/>
          <w:b/>
          <w:bCs/>
          <w:color w:val="0D1B2A"/>
          <w:sz w:val="22"/>
          <w:szCs w:val="22"/>
        </w:rPr>
        <w:t xml:space="preserve">Severability</w:t>
      </w:r>
    </w:p>
    <w:p>
      <w:pPr>
        <w:spacing w:after="140" w:before="0"/>
        <w:jc w:val="both"/>
      </w:pPr>
      <w:r>
        <w:rPr>
          <w:rFonts w:ascii="Arial" w:cs="Arial" w:eastAsia="Arial" w:hAnsi="Arial"/>
          <w:color w:val="0D1B2A"/>
          <w:sz w:val="22"/>
          <w:szCs w:val="22"/>
        </w:rPr>
        <w:t xml:space="preserve">If any provision is found unenforceable, it shall be modified to the minimum extent necessary and all other provisions remain in full force.</w:t>
      </w:r>
    </w:p>
    <w:p>
      <w:pPr>
        <w:spacing w:after="60" w:before="180"/>
      </w:pPr>
      <w:r>
        <w:rPr>
          <w:rFonts w:ascii="Arial" w:cs="Arial" w:eastAsia="Arial" w:hAnsi="Arial"/>
          <w:b/>
          <w:bCs/>
          <w:color w:val="1E4D8C"/>
          <w:sz w:val="22"/>
          <w:szCs w:val="22"/>
        </w:rPr>
        <w:t xml:space="preserve">10.6  </w:t>
      </w:r>
      <w:r>
        <w:rPr>
          <w:rFonts w:ascii="Arial" w:cs="Arial" w:eastAsia="Arial" w:hAnsi="Arial"/>
          <w:b/>
          <w:bCs/>
          <w:color w:val="0D1B2A"/>
          <w:sz w:val="22"/>
          <w:szCs w:val="22"/>
        </w:rPr>
        <w:t xml:space="preserve">Electronic Signatures</w:t>
      </w:r>
    </w:p>
    <w:p>
      <w:pPr>
        <w:spacing w:after="140" w:before="0"/>
        <w:jc w:val="both"/>
      </w:pPr>
      <w:r>
        <w:rPr>
          <w:rFonts w:ascii="Arial" w:cs="Arial" w:eastAsia="Arial" w:hAnsi="Arial"/>
          <w:color w:val="0D1B2A"/>
          <w:sz w:val="22"/>
          <w:szCs w:val="22"/>
        </w:rPr>
        <w:t xml:space="preserve">Electronic signatures executed via DocuSign, Adobe Sign, or equivalent platforms are legally binding and have the same force as handwritten signatures under ESIGN and UETA.</w:t>
      </w:r>
    </w:p>
    <w:p>
      <w:pPr>
        <w:spacing w:after="60" w:before="180"/>
      </w:pPr>
      <w:r>
        <w:rPr>
          <w:rFonts w:ascii="Arial" w:cs="Arial" w:eastAsia="Arial" w:hAnsi="Arial"/>
          <w:b/>
          <w:bCs/>
          <w:color w:val="1E4D8C"/>
          <w:sz w:val="22"/>
          <w:szCs w:val="22"/>
        </w:rPr>
        <w:t xml:space="preserve">10.7  </w:t>
      </w:r>
      <w:r>
        <w:rPr>
          <w:rFonts w:ascii="Arial" w:cs="Arial" w:eastAsia="Arial" w:hAnsi="Arial"/>
          <w:b/>
          <w:bCs/>
          <w:color w:val="0D1B2A"/>
          <w:sz w:val="22"/>
          <w:szCs w:val="22"/>
        </w:rPr>
        <w:t xml:space="preserve">No Waiver</w:t>
      </w:r>
    </w:p>
    <w:p>
      <w:pPr>
        <w:spacing w:after="140" w:before="0"/>
        <w:jc w:val="both"/>
      </w:pPr>
      <w:r>
        <w:rPr>
          <w:rFonts w:ascii="Arial" w:cs="Arial" w:eastAsia="Arial" w:hAnsi="Arial"/>
          <w:color w:val="0D1B2A"/>
          <w:sz w:val="22"/>
          <w:szCs w:val="22"/>
        </w:rPr>
        <w:t xml:space="preserve">Failure to enforce any provision does not waive future enforcement rights.</w:t>
      </w:r>
    </w:p>
    <w:p>
      <w:pPr>
        <w:spacing w:after="60" w:before="180"/>
      </w:pPr>
      <w:r>
        <w:rPr>
          <w:rFonts w:ascii="Arial" w:cs="Arial" w:eastAsia="Arial" w:hAnsi="Arial"/>
          <w:b/>
          <w:bCs/>
          <w:color w:val="1E4D8C"/>
          <w:sz w:val="22"/>
          <w:szCs w:val="22"/>
        </w:rPr>
        <w:t xml:space="preserve">10.8  </w:t>
      </w:r>
      <w:r>
        <w:rPr>
          <w:rFonts w:ascii="Arial" w:cs="Arial" w:eastAsia="Arial" w:hAnsi="Arial"/>
          <w:b/>
          <w:bCs/>
          <w:color w:val="0D1B2A"/>
          <w:sz w:val="22"/>
          <w:szCs w:val="22"/>
        </w:rPr>
        <w:t xml:space="preserve">Assignment</w:t>
      </w:r>
    </w:p>
    <w:p>
      <w:pPr>
        <w:spacing w:after="140" w:before="0"/>
        <w:jc w:val="both"/>
      </w:pPr>
      <w:r>
        <w:rPr>
          <w:rFonts w:ascii="Arial" w:cs="Arial" w:eastAsia="Arial" w:hAnsi="Arial"/>
          <w:color w:val="0D1B2A"/>
          <w:sz w:val="22"/>
          <w:szCs w:val="22"/>
        </w:rPr>
        <w:t xml:space="preserve">Individual may not assign this Agreement. Company may assign in connection with a merger, acquisition, or sale of substantially all assets.</w:t>
      </w:r>
    </w:p>
    <w:p>
      <w:pPr>
        <w:spacing w:after="60" w:before="180"/>
      </w:pPr>
      <w:r>
        <w:rPr>
          <w:rFonts w:ascii="Arial" w:cs="Arial" w:eastAsia="Arial" w:hAnsi="Arial"/>
          <w:b/>
          <w:bCs/>
          <w:color w:val="1E4D8C"/>
          <w:sz w:val="22"/>
          <w:szCs w:val="22"/>
        </w:rPr>
        <w:t xml:space="preserve">10.9  </w:t>
      </w:r>
      <w:r>
        <w:rPr>
          <w:rFonts w:ascii="Arial" w:cs="Arial" w:eastAsia="Arial" w:hAnsi="Arial"/>
          <w:b/>
          <w:bCs/>
          <w:color w:val="0D1B2A"/>
          <w:sz w:val="22"/>
          <w:szCs w:val="22"/>
        </w:rPr>
        <w:t xml:space="preserve">Notices</w:t>
      </w:r>
    </w:p>
    <w:p>
      <w:pPr>
        <w:spacing w:after="140" w:before="0"/>
        <w:jc w:val="both"/>
      </w:pPr>
      <w:r>
        <w:rPr>
          <w:rFonts w:ascii="Arial" w:cs="Arial" w:eastAsia="Arial" w:hAnsi="Arial"/>
          <w:color w:val="0D1B2A"/>
          <w:sz w:val="22"/>
          <w:szCs w:val="22"/>
        </w:rPr>
        <w:t xml:space="preserve">Legal notices shall be delivered to Company at legal@rapidcortex.us and to Individual at the email provided in the signature block below.</w:t>
      </w:r>
    </w:p>
    <w:p>
      <w:pPr>
        <w:spacing w:after="60" w:before="180"/>
      </w:pPr>
      <w:r>
        <w:rPr>
          <w:rFonts w:ascii="Arial" w:cs="Arial" w:eastAsia="Arial" w:hAnsi="Arial"/>
          <w:b/>
          <w:bCs/>
          <w:color w:val="1E4D8C"/>
          <w:sz w:val="22"/>
          <w:szCs w:val="22"/>
        </w:rPr>
        <w:t xml:space="preserve">10.10  </w:t>
      </w:r>
      <w:r>
        <w:rPr>
          <w:rFonts w:ascii="Arial" w:cs="Arial" w:eastAsia="Arial" w:hAnsi="Arial"/>
          <w:b/>
          <w:bCs/>
          <w:color w:val="0D1B2A"/>
          <w:sz w:val="22"/>
          <w:szCs w:val="22"/>
        </w:rPr>
        <w:t xml:space="preserve">Counterparts</w:t>
      </w:r>
    </w:p>
    <w:p>
      <w:pPr>
        <w:spacing w:after="140" w:before="0"/>
        <w:jc w:val="both"/>
      </w:pPr>
      <w:r>
        <w:rPr>
          <w:rFonts w:ascii="Arial" w:cs="Arial" w:eastAsia="Arial" w:hAnsi="Arial"/>
          <w:color w:val="0D1B2A"/>
          <w:sz w:val="22"/>
          <w:szCs w:val="22"/>
        </w:rPr>
        <w:t xml:space="preserve">This Agreement may be executed in counterparts, each of which is an original, and all of which together constitute one instrument.</w:t>
      </w:r>
    </w:p>
    <w:p>
      <w:pPr>
        <w:spacing w:after="60" w:before="180"/>
      </w:pPr>
      <w:r>
        <w:rPr>
          <w:rFonts w:ascii="Arial" w:cs="Arial" w:eastAsia="Arial" w:hAnsi="Arial"/>
          <w:b/>
          <w:bCs/>
          <w:color w:val="1E4D8C"/>
          <w:sz w:val="22"/>
          <w:szCs w:val="22"/>
        </w:rPr>
        <w:t xml:space="preserve">10.11  </w:t>
      </w:r>
      <w:r>
        <w:rPr>
          <w:rFonts w:ascii="Arial" w:cs="Arial" w:eastAsia="Arial" w:hAnsi="Arial"/>
          <w:b/>
          <w:bCs/>
          <w:color w:val="0D1B2A"/>
          <w:sz w:val="22"/>
          <w:szCs w:val="22"/>
        </w:rPr>
        <w:t xml:space="preserve">Acknowledgment</w:t>
      </w:r>
    </w:p>
    <w:p>
      <w:pPr>
        <w:spacing w:after="140" w:before="0"/>
        <w:jc w:val="both"/>
      </w:pPr>
      <w:r>
        <w:rPr>
          <w:rFonts w:ascii="Arial" w:cs="Arial" w:eastAsia="Arial" w:hAnsi="Arial"/>
          <w:color w:val="0D1B2A"/>
          <w:sz w:val="22"/>
          <w:szCs w:val="22"/>
        </w:rPr>
        <w:t xml:space="preserve">Individual acknowledges reading this Agreement in full, understanding its terms, and having had the opportunity to consult with independent legal counsel before signing.</w:t>
      </w:r>
    </w:p>
    <w:p>
      <w:pPr>
        <w:spacing w:after="80" w:before="0"/>
      </w:pPr>
    </w:p>
    <w:p>
      <w:r>
        <w:br w:type="page"/>
      </w:r>
    </w:p>
    <w:p>
      <w:pPr>
        <w:spacing w:after="40" w:before="0"/>
        <w:jc w:val="center"/>
      </w:pPr>
      <w:r>
        <w:rPr>
          <w:rFonts w:ascii="Arial" w:cs="Arial" w:eastAsia="Arial" w:hAnsi="Arial"/>
          <w:b/>
          <w:bCs/>
          <w:caps/>
          <w:color w:val="1B3A6B"/>
          <w:sz w:val="28"/>
          <w:szCs w:val="28"/>
        </w:rPr>
        <w:t xml:space="preserve">SIGNATURE PAGE — ADVISOR AGREEMENT</w:t>
      </w:r>
    </w:p>
    <w:p>
      <w:pPr>
        <w:spacing w:after="40" w:before="0"/>
        <w:jc w:val="center"/>
      </w:pPr>
      <w:r>
        <w:rPr>
          <w:rFonts w:ascii="Arial" w:cs="Arial" w:eastAsia="Arial" w:hAnsi="Arial"/>
          <w:i/>
          <w:iCs/>
          <w:color w:val="8A9BB0"/>
          <w:sz w:val="20"/>
          <w:szCs w:val="20"/>
        </w:rPr>
        <w:t xml:space="preserve">Apps on Demand  |  NexCort iQ Platform</w:t>
      </w:r>
    </w:p>
    <w:p>
      <w:pPr>
        <w:pBdr>
          <w:bottom w:val="single" w:color="1B3A6B" w:sz="8" w:space="1"/>
        </w:pBdr>
        <w:spacing w:after="120" w:before="0"/>
      </w:pPr>
    </w:p>
    <w:p>
      <w:pPr>
        <w:spacing w:after="120" w:before="0"/>
      </w:pPr>
    </w:p>
    <w:p>
      <w:pPr>
        <w:spacing w:after="140" w:before="0"/>
        <w:jc w:val="both"/>
      </w:pPr>
      <w:r>
        <w:rPr>
          <w:rFonts w:ascii="Arial" w:cs="Arial" w:eastAsia="Arial" w:hAnsi="Arial"/>
          <w:color w:val="0D1B2A"/>
          <w:sz w:val="22"/>
          <w:szCs w:val="22"/>
        </w:rPr>
        <w:t xml:space="preserve">IN WITNESS WHEREOF, the parties have executed this Advisor Agreement as of the Effective Date above.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jc w:val="center"/>
            </w:pPr>
            <w:r>
              <w:rPr>
                <w:rFonts w:ascii="Arial" w:cs="Arial" w:eastAsia="Arial" w:hAnsi="Arial"/>
                <w:b/>
                <w:bCs/>
                <w:color w:val="FFFFFF"/>
                <w:sz w:val="22"/>
                <w:szCs w:val="22"/>
              </w:rPr>
              <w:t xml:space="preserve">APPS ON DEMAND</w:t>
            </w:r>
          </w:p>
        </w:tc>
        <w:tc>
          <w:tcPr>
            <w:tcW w:type="dxa" w:w="360"/>
            <w:tcBorders>
              <w:top w:val="none" w:color="FFFFFF" w:sz="0"/>
              <w:left w:val="none" w:color="FFFFFF" w:sz="0"/>
              <w:bottom w:val="none" w:color="FFFFFF" w:sz="0"/>
              <w:right w:val="none" w:color="FFFFFF" w:sz="0"/>
            </w:tcBorders>
          </w:tcPr>
          <w:p/>
        </w:tc>
        <w:tc>
          <w:tcPr>
            <w:tcW w:type="dxa" w:w="45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jc w:val="center"/>
            </w:pPr>
            <w:r>
              <w:rPr>
                <w:rFonts w:ascii="Arial" w:cs="Arial" w:eastAsia="Arial" w:hAnsi="Arial"/>
                <w:b/>
                <w:bCs/>
                <w:color w:val="FFFFFF"/>
                <w:sz w:val="22"/>
                <w:szCs w:val="22"/>
              </w:rPr>
              <w:t xml:space="preserve">ADVISOR</w:t>
            </w:r>
          </w:p>
        </w:tc>
      </w:tr>
      <w:tr>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Authorized Signatory</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Full Legal Name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Title</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Title / Role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Date</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Date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Email</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Email</w:t>
            </w:r>
          </w:p>
          <w:p>
            <w:pPr>
              <w:pBdr>
                <w:bottom w:val="single" w:color="0D1B2A" w:sz="4"/>
              </w:pBdr>
              <w:spacing w:after="80" w:before="0"/>
            </w:pPr>
            <w:r>
              <w:rPr>
                <w:rFonts w:ascii="Arial" w:cs="Arial" w:eastAsia="Arial" w:hAnsi="Arial"/>
                <w:sz w:val="22"/>
                <w:szCs w:val="22"/>
              </w:rPr>
              <w:t xml:space="preserve"> </w:t>
            </w:r>
          </w:p>
          <w:p>
            <w:pPr>
              <w:spacing w:after="40" w:before="0"/>
            </w:pPr>
          </w:p>
        </w:tc>
      </w:tr>
    </w:tbl>
    <w:p>
      <w:pPr>
        <w:spacing w:after="160" w:before="0"/>
      </w:pPr>
    </w:p>
    <w:p>
      <w:pPr>
        <w:pBdr>
          <w:bottom w:val="single" w:color="1B3A6B" w:sz="4" w:space="1"/>
        </w:pBdr>
        <w:spacing w:after="120" w:before="0"/>
      </w:pPr>
    </w:p>
    <w:p>
      <w:pPr>
        <w:spacing w:after="0" w:before="60"/>
        <w:jc w:val="center"/>
      </w:pPr>
      <w:r>
        <w:rPr>
          <w:rFonts w:ascii="Arial" w:cs="Arial" w:eastAsia="Arial" w:hAnsi="Arial"/>
          <w:i/>
          <w:iCs/>
          <w:color w:val="8A9BB0"/>
          <w:sz w:val="18"/>
          <w:szCs w:val="18"/>
        </w:rPr>
        <w:t xml:space="preserve">This document is confidential and proprietary to Apps on Demand. Unauthorized reproduction is prohibited.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026"/>
      </w:tabs>
      <w:spacing w:after="0" w:before="80"/>
    </w:pPr>
    <w:r>
      <w:rPr>
        <w:rFonts w:ascii="Arial" w:cs="Arial" w:eastAsia="Arial" w:hAnsi="Arial"/>
        <w:color w:val="8A9BB0"/>
        <w:sz w:val="18"/>
        <w:szCs w:val="18"/>
      </w:rPr>
      <w:t xml:space="preserve">Apps on Demand  |  NexCort iQ Platform  |  rapidcortex.us</w:t>
    </w:r>
    <w:r>
      <w:rPr>
        <w:rFonts w:ascii="Arial" w:cs="Arial" w:eastAsia="Arial" w:hAnsi="Arial"/>
        <w:color w:val="8A9BB0"/>
        <w:sz w:val="18"/>
        <w:szCs w:val="18"/>
      </w:rPr>
      <w:t xml:space="preserve">	Page </w:t>
    </w:r>
    <w:r>
      <w:rPr>
        <w:rFonts w:ascii="Arial" w:cs="Arial" w:eastAsia="Arial" w:hAnsi="Arial"/>
        <w:color w:val="8A9BB0"/>
        <w:sz w:val="18"/>
        <w:szCs w:val="18"/>
      </w:rPr>
      <w:fldChar w:fldCharType="begin"/>
      <w:instrText xml:space="preserve">PAGE</w:instrText>
      <w:fldChar w:fldCharType="separate"/>
      <w:fldChar w:fldCharType="end"/>
    </w:r>
    <w:r>
      <w:rPr>
        <w:rFonts w:ascii="Arial" w:cs="Arial" w:eastAsia="Arial" w:hAnsi="Arial"/>
        <w:color w:val="8A9BB0"/>
        <w:sz w:val="18"/>
        <w:szCs w:val="18"/>
      </w:rPr>
      <w:t xml:space="preserve"> of </w:t>
    </w:r>
    <w:r>
      <w:rPr>
        <w:rFonts w:ascii="Arial" w:cs="Arial" w:eastAsia="Arial" w:hAnsi="Arial"/>
        <w:color w:val="8A9BB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026"/>
      </w:tabs>
      <w:spacing w:after="80" w:before="0"/>
    </w:pPr>
    <w:r>
      <w:rPr>
        <w:rFonts w:ascii="Arial" w:cs="Arial" w:eastAsia="Arial" w:hAnsi="Arial"/>
        <w:b/>
        <w:bCs/>
        <w:color w:val="1B3A6B"/>
        <w:sz w:val="18"/>
        <w:szCs w:val="18"/>
      </w:rPr>
      <w:t xml:space="preserve">APPS ON DEMAND  |  NEXCORT IQ</w:t>
    </w:r>
    <w:r>
      <w:rPr>
        <w:rFonts w:ascii="Arial" w:cs="Arial" w:eastAsia="Arial" w:hAnsi="Arial"/>
        <w:color w:val="8A9BB0"/>
        <w:sz w:val="18"/>
        <w:szCs w:val="18"/>
      </w:rPr>
      <w:t xml:space="preserve">	ADVISOR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aps/>
      <w:color w:val="1B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2026-06-09T18:17:05.258Z</dcterms:created>
  <dcterms:modified xsi:type="dcterms:W3CDTF">2026-06-09T18:17:05.258Z</dcterms:modified>
</cp:coreProperties>
</file>

<file path=docProps/custom.xml><?xml version="1.0" encoding="utf-8"?>
<Properties xmlns="http://schemas.openxmlformats.org/officeDocument/2006/custom-properties" xmlns:vt="http://schemas.openxmlformats.org/officeDocument/2006/docPropsVTypes"/>
</file>