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E03030"/>
          <w:sz w:val="48"/>
          <w:szCs w:val="48"/>
        </w:rPr>
        <w:t xml:space="preserve">NEXCORT IQ</w:t>
      </w:r>
    </w:p>
    <w:p>
      <w:pPr>
        <w:jc w:val="center"/>
      </w:pPr>
      <w:r>
        <w:rPr>
          <w:b/>
          <w:bCs/>
          <w:color w:val="1E3A5F"/>
          <w:sz w:val="36"/>
          <w:szCs w:val="36"/>
        </w:rPr>
        <w:t xml:space="preserve">NC Lite API Access Agreement</w:t>
      </w:r>
    </w:p>
    <w:p>
      <w:pPr>
        <w:spacing w:after="200" w:before="200"/>
        <w:jc w:val="center"/>
      </w:pPr>
      <w:r>
        <w:rPr>
          <w:color w:val="555555"/>
          <w:sz w:val="24"/>
          <w:szCs w:val="24"/>
        </w:rPr>
        <w:t xml:space="preserve">API-Only Service Agreement for Technology Partners &amp; Developers</w:t>
      </w:r>
    </w:p>
    <w:p>
      <w:pPr>
        <w:pBdr>
          <w:bottom w:val="single" w:color="2E5C8A" w:sz="6"/>
        </w:pBdr>
        <w:spacing w:after="200" w:before="200"/>
      </w:pPr>
      <w:r>
        <w:t xml:space="preserve"/>
      </w:r>
    </w:p>
    <w:p>
      <w:pPr>
        <w:jc w:val="center"/>
      </w:pPr>
      <w:r>
        <w:rPr>
          <w:color w:val="888888"/>
          <w:sz w:val="20"/>
          <w:szCs w:val="20"/>
        </w:rPr>
        <w:t xml:space="preserve">Version 1.0 | Effective upon execution via Adobe Sign</w:t>
      </w:r>
    </w:p>
    <w:p>
      <w:pPr>
        <w:spacing w:before="480"/>
        <w:jc w:val="center"/>
      </w:pPr>
      <w:r>
        <w:rPr>
          <w:b/>
          <w:bCs/>
          <w:sz w:val="24"/>
          <w:szCs w:val="24"/>
        </w:rPr>
        <w:t xml:space="preserve">BETWEEN:</w:t>
      </w:r>
    </w:p>
    <w:p>
      <w:pPr>
        <w:jc w:val="center"/>
      </w:pPr>
      <w:r>
        <w:rPr>
          <w:b/>
          <w:bCs/>
          <w:sz w:val="24"/>
          <w:szCs w:val="24"/>
        </w:rPr>
        <w:t xml:space="preserve">NexCort iQ, LLC</w:t>
      </w:r>
    </w:p>
    <w:p>
      <w:pPr>
        <w:jc w:val="center"/>
      </w:pPr>
      <w:r>
        <w:rPr>
          <w:color w:val="555555"/>
          <w:sz w:val="22"/>
          <w:szCs w:val="22"/>
        </w:rPr>
        <w:t xml:space="preserve">a Georgia limited liability company</w:t>
      </w:r>
    </w:p>
    <w:p>
      <w:pPr>
        <w:spacing w:before="200"/>
        <w:jc w:val="center"/>
      </w:pPr>
      <w:r>
        <w:rPr>
          <w:sz w:val="22"/>
          <w:szCs w:val="22"/>
        </w:rPr>
        <w:t xml:space="preserve">("NexCort iQ" or "Provider")</w:t>
      </w:r>
    </w:p>
    <w:p>
      <w:pPr>
        <w:spacing w:after="200" w:before="200"/>
        <w:jc w:val="center"/>
      </w:pPr>
      <w:r>
        <w:rPr>
          <w:b/>
          <w:bCs/>
          <w:sz w:val="24"/>
          <w:szCs w:val="24"/>
        </w:rPr>
        <w:t xml:space="preserve">AND</w:t>
      </w:r>
    </w:p>
    <w:p>
      <w:pPr>
        <w:jc w:val="center"/>
      </w:pPr>
      <w:r>
        <w:rPr>
          <w:b/>
          <w:bCs/>
          <w:color w:val="CC0000"/>
          <w:sz w:val="24"/>
          <w:szCs w:val="24"/>
        </w:rPr>
        <w:t xml:space="preserve">[CUSTOMER LEGAL NAME]</w:t>
      </w:r>
    </w:p>
    <w:p>
      <w:pPr>
        <w:jc w:val="center"/>
      </w:pPr>
      <w:r>
        <w:rPr>
          <w:color w:val="888888"/>
          <w:sz w:val="22"/>
          <w:szCs w:val="22"/>
        </w:rPr>
        <w:t xml:space="preserve">[State of Incorporation / Organization]</w:t>
      </w:r>
    </w:p>
    <w:p>
      <w:pPr>
        <w:spacing w:before="200"/>
        <w:jc w:val="center"/>
      </w:pPr>
      <w:r>
        <w:rPr>
          <w:sz w:val="22"/>
          <w:szCs w:val="22"/>
        </w:rPr>
        <w:t xml:space="preserve">("Customer" or "Licensee")</w:t>
      </w:r>
    </w:p>
    <w:p>
      <w:r>
        <w:br w:type="page"/>
      </w:r>
    </w:p>
    <w:p>
      <w:pPr>
        <w:pStyle w:val="Heading1"/>
        <w:spacing w:after="200" w:before="400"/>
      </w:pPr>
      <w:r>
        <w:rPr>
          <w:b/>
          <w:bCs/>
          <w:color w:val="1E3A5F"/>
          <w:sz w:val="28"/>
          <w:szCs w:val="28"/>
        </w:rPr>
        <w:t xml:space="preserve">RECITALS</w:t>
      </w:r>
    </w:p>
    <w:p>
      <w:pPr>
        <w:spacing w:after="120" w:before="120"/>
      </w:pPr>
      <w:r>
        <w:rPr>
          <w:sz w:val="22"/>
          <w:szCs w:val="22"/>
        </w:rPr>
        <w:t xml:space="preserve">WHEREAS, NexCort iQ has developed and operates a cloud-based artificial intelligence platform providing real-time transcription, translation, AI analysis, and related services for public safety and emergency response applications (the "RC Platform");</w:t>
      </w:r>
    </w:p>
    <w:p>
      <w:pPr>
        <w:spacing w:after="120" w:before="120"/>
      </w:pPr>
      <w:r>
        <w:rPr>
          <w:sz w:val="22"/>
          <w:szCs w:val="22"/>
        </w:rPr>
        <w:t xml:space="preserve">WHEREAS, NexCort iQ offers programmatic API access to certain features of the RC Platform through its NC Lite API product, enabling technology partners, software developers, and authorized organizations to integrate AI-powered public safety capabilities into their own systems and applications;</w:t>
      </w:r>
    </w:p>
    <w:p>
      <w:pPr>
        <w:spacing w:after="120" w:before="120"/>
      </w:pPr>
      <w:r>
        <w:rPr>
          <w:sz w:val="22"/>
          <w:szCs w:val="22"/>
        </w:rPr>
        <w:t xml:space="preserve">WHEREAS, Customer desires to obtain NC Lite API access for the purpose of: [DESCRIBE USE CASE — e.g., integrating AI transcription into Customer's CAD system / building a mobile data terminal application / providing AI-assisted dispatch features to Customer's clients];</w:t>
      </w:r>
    </w:p>
    <w:p>
      <w:pPr>
        <w:spacing w:after="120" w:before="120"/>
      </w:pPr>
      <w:r>
        <w:rPr>
          <w:sz w:val="22"/>
          <w:szCs w:val="22"/>
        </w:rPr>
        <w:t xml:space="preserve">WHEREAS, NexCort iQ is willing to grant such access subject to the terms and conditions set forth herein, including compliance with applicable public safety data handling requirements;</w:t>
      </w:r>
    </w:p>
    <w:p>
      <w:pPr>
        <w:spacing w:after="120" w:before="120"/>
      </w:pPr>
      <w:r>
        <w:rPr>
          <w:sz w:val="22"/>
          <w:szCs w:val="22"/>
        </w:rPr>
        <w:t xml:space="preserve">NOW, THEREFORE, in consideration of the mutual covenants and agreements herein, and for other good and valuable consideration, the receipt and sufficiency of which are hereby acknowledged, the parties agree as follows:</w:t>
      </w:r>
    </w:p>
    <w:p>
      <w:pPr>
        <w:pBdr>
          <w:bottom w:val="single" w:color="2E5C8A" w:sz="6"/>
        </w:pBdr>
        <w:spacing w:after="200" w:before="200"/>
      </w:pPr>
      <w:r>
        <w:t xml:space="preserve"/>
      </w:r>
    </w:p>
    <w:p>
      <w:r>
        <w:br w:type="page"/>
      </w:r>
    </w:p>
    <w:p>
      <w:pPr>
        <w:pStyle w:val="Heading1"/>
        <w:spacing w:after="200" w:before="400"/>
      </w:pPr>
      <w:r>
        <w:rPr>
          <w:b/>
          <w:bCs/>
          <w:color w:val="1E3A5F"/>
          <w:sz w:val="28"/>
          <w:szCs w:val="28"/>
        </w:rPr>
        <w:t xml:space="preserve">ARTICLE 1 — DEFINITIONS</w:t>
      </w:r>
    </w:p>
    <w:p>
      <w:pPr>
        <w:spacing w:after="120" w:before="120"/>
      </w:pPr>
      <w:r>
        <w:rPr>
          <w:sz w:val="22"/>
          <w:szCs w:val="22"/>
        </w:rPr>
        <w:t xml:space="preserve">As used in this Agreement, the following terms have the meanings set forth below:</w:t>
      </w:r>
    </w:p>
    <w:p>
      <w:pPr>
        <w:spacing w:after="120" w:before="240"/>
      </w:pPr>
      <w:r>
        <w:rPr>
          <w:b/>
          <w:bCs/>
          <w:sz w:val="22"/>
          <w:szCs w:val="22"/>
        </w:rPr>
        <w:t xml:space="preserve">1.1 "API Key"</w:t>
      </w:r>
    </w:p>
    <w:p>
      <w:pPr>
        <w:spacing w:after="120" w:before="120"/>
      </w:pPr>
      <w:r>
        <w:rPr>
          <w:sz w:val="22"/>
          <w:szCs w:val="22"/>
        </w:rPr>
        <w:t xml:space="preserve">The unique cryptographic credential issued by NexCort iQ to Customer upon activation, used to authenticate API requests. The API Key is specific to Customer's account and may not be shared, transferred, or used on behalf of any third party without prior written consent.</w:t>
      </w:r>
    </w:p>
    <w:p>
      <w:pPr>
        <w:spacing w:after="120" w:before="240"/>
      </w:pPr>
      <w:r>
        <w:rPr>
          <w:b/>
          <w:bCs/>
          <w:sz w:val="22"/>
          <w:szCs w:val="22"/>
        </w:rPr>
        <w:t xml:space="preserve">1.2 "API Documentation"</w:t>
      </w:r>
    </w:p>
    <w:p>
      <w:pPr>
        <w:spacing w:after="120" w:before="120"/>
      </w:pPr>
      <w:r>
        <w:rPr>
          <w:sz w:val="22"/>
          <w:szCs w:val="22"/>
        </w:rPr>
        <w:t xml:space="preserve">The technical specifications, endpoint references, code samples, and integration guides published by NexCort iQ at developers.rapidcortex.us, as updated from time to time.</w:t>
      </w:r>
    </w:p>
    <w:p>
      <w:pPr>
        <w:spacing w:after="120" w:before="240"/>
      </w:pPr>
      <w:r>
        <w:rPr>
          <w:b/>
          <w:bCs/>
          <w:sz w:val="22"/>
          <w:szCs w:val="22"/>
        </w:rPr>
        <w:t xml:space="preserve">1.3 "Call Volume" / "API Calls"</w:t>
      </w:r>
    </w:p>
    <w:p>
      <w:pPr>
        <w:spacing w:after="120" w:before="120"/>
      </w:pPr>
      <w:r>
        <w:rPr>
          <w:sz w:val="22"/>
          <w:szCs w:val="22"/>
        </w:rPr>
        <w:t xml:space="preserve">Each individual HTTP request made to the NC Lite API endpoints, regardless of response status, counted against Customer's monthly quota as specified in the applicable Service Tier.</w:t>
      </w:r>
    </w:p>
    <w:p>
      <w:pPr>
        <w:spacing w:after="120" w:before="240"/>
      </w:pPr>
      <w:r>
        <w:rPr>
          <w:b/>
          <w:bCs/>
          <w:sz w:val="22"/>
          <w:szCs w:val="22"/>
        </w:rPr>
        <w:t xml:space="preserve">1.4 "Confidential Information"</w:t>
      </w:r>
    </w:p>
    <w:p>
      <w:pPr>
        <w:spacing w:after="120" w:before="120"/>
      </w:pPr>
      <w:r>
        <w:rPr>
          <w:sz w:val="22"/>
          <w:szCs w:val="22"/>
        </w:rPr>
        <w:t xml:space="preserve">Any non-public information disclosed by either party to the other, including but not limited to API Keys, technical specifications, pricing, incident data, transcript content, and business information, whether disclosed in writing, orally, or by any other means.</w:t>
      </w:r>
    </w:p>
    <w:p>
      <w:pPr>
        <w:spacing w:after="120" w:before="240"/>
      </w:pPr>
      <w:r>
        <w:rPr>
          <w:b/>
          <w:bCs/>
          <w:sz w:val="22"/>
          <w:szCs w:val="22"/>
        </w:rPr>
        <w:t xml:space="preserve">1.5 "Emergency Communications Data"</w:t>
      </w:r>
    </w:p>
    <w:p>
      <w:pPr>
        <w:spacing w:after="120" w:before="120"/>
      </w:pPr>
      <w:r>
        <w:rPr>
          <w:sz w:val="22"/>
          <w:szCs w:val="22"/>
        </w:rPr>
        <w:t xml:space="preserve">Any audio, transcript, incident record, translation output, or AI analysis result that is derived from or relates to a 911 call, emergency dispatch event, or public safety incident processed through the NC Lite API.</w:t>
      </w:r>
    </w:p>
    <w:p>
      <w:pPr>
        <w:spacing w:after="120" w:before="240"/>
      </w:pPr>
      <w:r>
        <w:rPr>
          <w:b/>
          <w:bCs/>
          <w:sz w:val="22"/>
          <w:szCs w:val="22"/>
        </w:rPr>
        <w:t xml:space="preserve">1.6 "Intellectual Property Rights"</w:t>
      </w:r>
    </w:p>
    <w:p>
      <w:pPr>
        <w:spacing w:after="120" w:before="120"/>
      </w:pPr>
      <w:r>
        <w:rPr>
          <w:sz w:val="22"/>
          <w:szCs w:val="22"/>
        </w:rPr>
        <w:t xml:space="preserve">All patents, copyrights, trademarks, trade secrets, moral rights, and other proprietary rights recognized in any jurisdiction.</w:t>
      </w:r>
    </w:p>
    <w:p>
      <w:pPr>
        <w:spacing w:after="120" w:before="240"/>
      </w:pPr>
      <w:r>
        <w:rPr>
          <w:b/>
          <w:bCs/>
          <w:sz w:val="22"/>
          <w:szCs w:val="22"/>
        </w:rPr>
        <w:t xml:space="preserve">1.7 "Monthly Quota"</w:t>
      </w:r>
    </w:p>
    <w:p>
      <w:pPr>
        <w:spacing w:after="120" w:before="120"/>
      </w:pPr>
      <w:r>
        <w:rPr>
          <w:sz w:val="22"/>
          <w:szCs w:val="22"/>
        </w:rPr>
        <w:t xml:space="preserve">The maximum number of API Calls permitted per calendar month under Customer's selected Service Tier, as set forth in Exhibit A.</w:t>
      </w:r>
    </w:p>
    <w:p>
      <w:pPr>
        <w:spacing w:after="120" w:before="240"/>
      </w:pPr>
      <w:r>
        <w:rPr>
          <w:b/>
          <w:bCs/>
          <w:sz w:val="22"/>
          <w:szCs w:val="22"/>
        </w:rPr>
        <w:t xml:space="preserve">1.8 "NC Lite API" or "Service"</w:t>
      </w:r>
    </w:p>
    <w:p>
      <w:pPr>
        <w:spacing w:after="120" w:before="120"/>
      </w:pPr>
      <w:r>
        <w:rPr>
          <w:sz w:val="22"/>
          <w:szCs w:val="22"/>
        </w:rPr>
        <w:t xml:space="preserve">The application programming interface provided by NexCort iQ that enables programmatic access to transcription, translation, AI analysis, incident management, and related features of the RC Platform, excluding the NexCort iQ web dashboard and dispatcher console.</w:t>
      </w:r>
    </w:p>
    <w:p>
      <w:pPr>
        <w:spacing w:after="120" w:before="240"/>
      </w:pPr>
      <w:r>
        <w:rPr>
          <w:b/>
          <w:bCs/>
          <w:sz w:val="22"/>
          <w:szCs w:val="22"/>
        </w:rPr>
        <w:t xml:space="preserve">1.9 "Service Tier"</w:t>
      </w:r>
    </w:p>
    <w:p>
      <w:pPr>
        <w:spacing w:after="120" w:before="120"/>
      </w:pPr>
      <w:r>
        <w:rPr>
          <w:sz w:val="22"/>
          <w:szCs w:val="22"/>
        </w:rPr>
        <w:t xml:space="preserve">The subscription level selected by Customer as set forth in Exhibit A, which determines the Monthly Quota, rate limits, pricing, and included features.</w:t>
      </w:r>
    </w:p>
    <w:p>
      <w:pPr>
        <w:spacing w:after="120" w:before="240"/>
      </w:pPr>
      <w:r>
        <w:rPr>
          <w:b/>
          <w:bCs/>
          <w:sz w:val="22"/>
          <w:szCs w:val="22"/>
        </w:rPr>
        <w:t xml:space="preserve">1.10 "Overage"</w:t>
      </w:r>
    </w:p>
    <w:p>
      <w:pPr>
        <w:spacing w:after="120" w:before="120"/>
      </w:pPr>
      <w:r>
        <w:rPr>
          <w:sz w:val="22"/>
          <w:szCs w:val="22"/>
        </w:rPr>
        <w:t xml:space="preserve">API Calls that exceed the Monthly Quota for Customer's Service Tier in any given calendar month, billed at the overage rate specified in Exhibit A.</w:t>
      </w:r>
    </w:p>
    <w:p>
      <w:r>
        <w:br w:type="page"/>
      </w:r>
    </w:p>
    <w:p>
      <w:pPr>
        <w:pStyle w:val="Heading1"/>
        <w:spacing w:after="200" w:before="400"/>
      </w:pPr>
      <w:r>
        <w:rPr>
          <w:b/>
          <w:bCs/>
          <w:color w:val="1E3A5F"/>
          <w:sz w:val="28"/>
          <w:szCs w:val="28"/>
        </w:rPr>
        <w:t xml:space="preserve">ARTICLE 2 — GRANT OF API ACCESS</w:t>
      </w:r>
    </w:p>
    <w:p>
      <w:pPr>
        <w:pStyle w:val="Heading2"/>
        <w:spacing w:after="150" w:before="300"/>
      </w:pPr>
      <w:r>
        <w:rPr>
          <w:b/>
          <w:bCs/>
          <w:color w:val="2E5C8A"/>
          <w:sz w:val="24"/>
          <w:szCs w:val="24"/>
        </w:rPr>
        <w:t xml:space="preserve">2.1 License Grant</w:t>
      </w:r>
    </w:p>
    <w:p>
      <w:pPr>
        <w:spacing w:after="120" w:before="120"/>
      </w:pPr>
      <w:r>
        <w:rPr>
          <w:sz w:val="22"/>
          <w:szCs w:val="22"/>
        </w:rPr>
        <w:t xml:space="preserve">Subject to the terms of this Agreement and timely payment of all fees, NexCort iQ hereby grants Customer a limited, non-exclusive, non-transferable, revocable license to access and use the NC Lite API solely for Customer's internal business purposes or for integration into Customer's own authorized products and services, as described in the Permitted Use set forth in Exhibit A.</w:t>
      </w:r>
    </w:p>
    <w:p>
      <w:pPr>
        <w:pStyle w:val="Heading2"/>
        <w:spacing w:after="150" w:before="300"/>
      </w:pPr>
      <w:r>
        <w:rPr>
          <w:b/>
          <w:bCs/>
          <w:color w:val="2E5C8A"/>
          <w:sz w:val="24"/>
          <w:szCs w:val="24"/>
        </w:rPr>
        <w:t xml:space="preserve">2.2 API Key Issuance</w:t>
      </w:r>
    </w:p>
    <w:p>
      <w:pPr>
        <w:spacing w:after="120" w:before="120"/>
      </w:pPr>
      <w:r>
        <w:rPr>
          <w:sz w:val="22"/>
          <w:szCs w:val="22"/>
        </w:rPr>
        <w:t xml:space="preserve">Upon execution of this Agreement, NexCort iQ will issue Customer one (1) API Key for production use. Customer may request additional API Keys subject to availability and additional fees. API Keys will be delivered via secure email to the technical contact designated in Exhibit A.</w:t>
      </w:r>
    </w:p>
    <w:p>
      <w:pPr>
        <w:pStyle w:val="Heading2"/>
        <w:spacing w:after="150" w:before="300"/>
      </w:pPr>
      <w:r>
        <w:rPr>
          <w:b/>
          <w:bCs/>
          <w:color w:val="2E5C8A"/>
          <w:sz w:val="24"/>
          <w:szCs w:val="24"/>
        </w:rPr>
        <w:t xml:space="preserve">2.3 Restrictions</w:t>
      </w:r>
    </w:p>
    <w:p>
      <w:pPr>
        <w:spacing w:after="120" w:before="120"/>
      </w:pPr>
      <w:r>
        <w:rPr>
          <w:sz w:val="22"/>
          <w:szCs w:val="22"/>
        </w:rPr>
        <w:t xml:space="preserve">Customer shall NOT:</w:t>
      </w:r>
    </w:p>
    <w:p>
      <w:pPr>
        <w:pStyle w:val="ListParagraph"/>
        <w:numPr>
          <w:ilvl w:val="0"/>
          <w:numId w:val="2"/>
        </w:numPr>
        <w:spacing w:after="80" w:before="80"/>
      </w:pPr>
      <w:r>
        <w:rPr>
          <w:sz w:val="22"/>
          <w:szCs w:val="22"/>
        </w:rPr>
        <w:t xml:space="preserve">Share, sell, sublicense, or transfer the API Key or API access to any third party</w:t>
      </w:r>
    </w:p>
    <w:p>
      <w:pPr>
        <w:pStyle w:val="ListParagraph"/>
        <w:numPr>
          <w:ilvl w:val="0"/>
          <w:numId w:val="2"/>
        </w:numPr>
        <w:spacing w:after="80" w:before="80"/>
      </w:pPr>
      <w:r>
        <w:rPr>
          <w:sz w:val="22"/>
          <w:szCs w:val="22"/>
        </w:rPr>
        <w:t xml:space="preserve">Use the NC Lite API to build a competing product or service</w:t>
      </w:r>
    </w:p>
    <w:p>
      <w:pPr>
        <w:pStyle w:val="ListParagraph"/>
        <w:numPr>
          <w:ilvl w:val="0"/>
          <w:numId w:val="2"/>
        </w:numPr>
        <w:spacing w:after="80" w:before="80"/>
      </w:pPr>
      <w:r>
        <w:rPr>
          <w:sz w:val="22"/>
          <w:szCs w:val="22"/>
        </w:rPr>
        <w:t xml:space="preserve">Reverse engineer, decompile, or attempt to extract NexCort iQ proprietary models or algorithms</w:t>
      </w:r>
    </w:p>
    <w:p>
      <w:pPr>
        <w:pStyle w:val="ListParagraph"/>
        <w:numPr>
          <w:ilvl w:val="0"/>
          <w:numId w:val="2"/>
        </w:numPr>
        <w:spacing w:after="80" w:before="80"/>
      </w:pPr>
      <w:r>
        <w:rPr>
          <w:sz w:val="22"/>
          <w:szCs w:val="22"/>
        </w:rPr>
        <w:t xml:space="preserve">Remove or obscure any attribution, copyright, or branding requirements</w:t>
      </w:r>
    </w:p>
    <w:p>
      <w:pPr>
        <w:pStyle w:val="ListParagraph"/>
        <w:numPr>
          <w:ilvl w:val="0"/>
          <w:numId w:val="2"/>
        </w:numPr>
        <w:spacing w:after="80" w:before="80"/>
      </w:pPr>
      <w:r>
        <w:rPr>
          <w:sz w:val="22"/>
          <w:szCs w:val="22"/>
        </w:rPr>
        <w:t xml:space="preserve">Use the API in any application intended to replace licensed dispatchers or operate without human oversight</w:t>
      </w:r>
    </w:p>
    <w:p>
      <w:pPr>
        <w:pStyle w:val="ListParagraph"/>
        <w:numPr>
          <w:ilvl w:val="0"/>
          <w:numId w:val="2"/>
        </w:numPr>
        <w:spacing w:after="80" w:before="80"/>
      </w:pPr>
      <w:r>
        <w:rPr>
          <w:sz w:val="22"/>
          <w:szCs w:val="22"/>
        </w:rPr>
        <w:t xml:space="preserve">Process data from agencies or jurisdictions not expressly authorized in Exhibit A</w:t>
      </w:r>
    </w:p>
    <w:p>
      <w:pPr>
        <w:pStyle w:val="ListParagraph"/>
        <w:numPr>
          <w:ilvl w:val="0"/>
          <w:numId w:val="2"/>
        </w:numPr>
        <w:spacing w:after="80" w:before="80"/>
      </w:pPr>
      <w:r>
        <w:rPr>
          <w:sz w:val="22"/>
          <w:szCs w:val="22"/>
        </w:rPr>
        <w:t xml:space="preserve">Circumvent rate limiting, quota enforcement, or security controls</w:t>
      </w:r>
    </w:p>
    <w:p>
      <w:pPr>
        <w:pStyle w:val="ListParagraph"/>
        <w:numPr>
          <w:ilvl w:val="0"/>
          <w:numId w:val="2"/>
        </w:numPr>
        <w:spacing w:after="80" w:before="80"/>
      </w:pPr>
      <w:r>
        <w:rPr>
          <w:sz w:val="22"/>
          <w:szCs w:val="22"/>
        </w:rPr>
        <w:t xml:space="preserve">Use the API to process Criminal Justice Information (CJI) without a separate CJIS agreement with NexCort iQ</w:t>
      </w:r>
    </w:p>
    <w:p>
      <w:pPr>
        <w:pStyle w:val="Heading2"/>
        <w:spacing w:after="150" w:before="300"/>
      </w:pPr>
      <w:r>
        <w:rPr>
          <w:b/>
          <w:bCs/>
          <w:color w:val="2E5C8A"/>
          <w:sz w:val="24"/>
          <w:szCs w:val="24"/>
        </w:rPr>
        <w:t xml:space="preserve">2.4 Permitted Use</w:t>
      </w:r>
    </w:p>
    <w:p>
      <w:pPr>
        <w:spacing w:after="120" w:before="120"/>
      </w:pPr>
      <w:r>
        <w:rPr>
          <w:sz w:val="22"/>
          <w:szCs w:val="22"/>
        </w:rPr>
        <w:t xml:space="preserve">Customer's authorized use case is described in Exhibit A. Any material change to the use case requires written amendment to this Agreement. NexCort iQ reserves the right to suspend access pending review of any use case change.</w:t>
      </w:r>
    </w:p>
    <w:p>
      <w:pPr>
        <w:pStyle w:val="Heading2"/>
        <w:spacing w:after="150" w:before="300"/>
      </w:pPr>
      <w:r>
        <w:rPr>
          <w:b/>
          <w:bCs/>
          <w:color w:val="2E5C8A"/>
          <w:sz w:val="24"/>
          <w:szCs w:val="24"/>
        </w:rPr>
        <w:t xml:space="preserve">2.5 Attribution</w:t>
      </w:r>
    </w:p>
    <w:p>
      <w:pPr>
        <w:spacing w:after="120" w:before="120"/>
      </w:pPr>
      <w:r>
        <w:rPr>
          <w:sz w:val="22"/>
          <w:szCs w:val="22"/>
        </w:rPr>
        <w:t xml:space="preserve">Customer agrees to include the following attribution in any product or interface that incorporates NC Lite API output: "Powered by NexCort iQ AI" unless NexCort iQ grants a written waiver of this requirement.</w:t>
      </w:r>
    </w:p>
    <w:p>
      <w:r>
        <w:br w:type="page"/>
      </w:r>
    </w:p>
    <w:p>
      <w:pPr>
        <w:pStyle w:val="Heading1"/>
        <w:spacing w:after="200" w:before="400"/>
      </w:pPr>
      <w:r>
        <w:rPr>
          <w:b/>
          <w:bCs/>
          <w:color w:val="1E3A5F"/>
          <w:sz w:val="28"/>
          <w:szCs w:val="28"/>
        </w:rPr>
        <w:t xml:space="preserve">ARTICLE 3 — FEES AND PAYMENT</w:t>
      </w:r>
    </w:p>
    <w:p>
      <w:pPr>
        <w:pStyle w:val="Heading2"/>
        <w:spacing w:after="150" w:before="300"/>
      </w:pPr>
      <w:r>
        <w:rPr>
          <w:b/>
          <w:bCs/>
          <w:color w:val="2E5C8A"/>
          <w:sz w:val="24"/>
          <w:szCs w:val="24"/>
        </w:rPr>
        <w:t xml:space="preserve">3.1 Service Fees</w:t>
      </w:r>
    </w:p>
    <w:p>
      <w:pPr>
        <w:spacing w:after="120" w:before="120"/>
      </w:pPr>
      <w:r>
        <w:rPr>
          <w:sz w:val="22"/>
          <w:szCs w:val="22"/>
        </w:rPr>
        <w:t xml:space="preserve">Customer agrees to pay the monthly subscription fee corresponding to Customer's selected Service Tier as set forth in Exhibit A. Fees are due net thirty (30) days from the date of invoice.</w:t>
      </w:r>
    </w:p>
    <w:p>
      <w:pPr>
        <w:pStyle w:val="Heading2"/>
        <w:spacing w:after="150" w:before="300"/>
      </w:pPr>
      <w:r>
        <w:rPr>
          <w:b/>
          <w:bCs/>
          <w:color w:val="2E5C8A"/>
          <w:sz w:val="24"/>
          <w:szCs w:val="24"/>
        </w:rPr>
        <w:t xml:space="preserve">3.2 Overage Fees</w:t>
      </w:r>
    </w:p>
    <w:p>
      <w:pPr>
        <w:spacing w:after="120" w:before="120"/>
      </w:pPr>
      <w:r>
        <w:rPr>
          <w:sz w:val="22"/>
          <w:szCs w:val="22"/>
        </w:rPr>
        <w:t xml:space="preserve">API Calls exceeding the Monthly Quota will be billed at the overage rate specified in Exhibit A. Overage fees will be invoiced at the end of the calendar month in which they accrue.</w:t>
      </w:r>
    </w:p>
    <w:p>
      <w:pPr>
        <w:pStyle w:val="Heading2"/>
        <w:spacing w:after="150" w:before="300"/>
      </w:pPr>
      <w:r>
        <w:rPr>
          <w:b/>
          <w:bCs/>
          <w:color w:val="2E5C8A"/>
          <w:sz w:val="24"/>
          <w:szCs w:val="24"/>
        </w:rPr>
        <w:t xml:space="preserve">3.3 Payment Methods</w:t>
      </w:r>
    </w:p>
    <w:p>
      <w:pPr>
        <w:spacing w:after="120" w:before="120"/>
      </w:pPr>
      <w:r>
        <w:rPr>
          <w:sz w:val="22"/>
          <w:szCs w:val="22"/>
        </w:rPr>
        <w:t xml:space="preserve">NexCort iQ accepts payment by check, ACH bank transfer, or wire transfer. All amounts are in U.S. Dollars. NexCort iQ will issue invoices to Customer's billing contact designated in Exhibit A. Customer shall provide a valid Purchase Order number if required by Customer's procurement process.</w:t>
      </w:r>
    </w:p>
    <w:p>
      <w:pPr>
        <w:pStyle w:val="Heading2"/>
        <w:spacing w:after="150" w:before="300"/>
      </w:pPr>
      <w:r>
        <w:rPr>
          <w:b/>
          <w:bCs/>
          <w:color w:val="2E5C8A"/>
          <w:sz w:val="24"/>
          <w:szCs w:val="24"/>
        </w:rPr>
        <w:t xml:space="preserve">3.4 Late Payment</w:t>
      </w:r>
    </w:p>
    <w:p>
      <w:pPr>
        <w:spacing w:after="120" w:before="120"/>
      </w:pPr>
      <w:r>
        <w:rPr>
          <w:sz w:val="22"/>
          <w:szCs w:val="22"/>
        </w:rPr>
        <w:t xml:space="preserve">Amounts not paid within thirty (30) days of the invoice date shall accrue interest at the rate of one and one-half percent (1.5%) per month, or the maximum rate permitted by applicable law, whichever is lower. NexCort iQ may suspend API access for accounts more than sixty (60) days past due upon ten (10) days written notice.</w:t>
      </w:r>
    </w:p>
    <w:p>
      <w:pPr>
        <w:pStyle w:val="Heading2"/>
        <w:spacing w:after="150" w:before="300"/>
      </w:pPr>
      <w:r>
        <w:rPr>
          <w:b/>
          <w:bCs/>
          <w:color w:val="2E5C8A"/>
          <w:sz w:val="24"/>
          <w:szCs w:val="24"/>
        </w:rPr>
        <w:t xml:space="preserve">3.5 Price Adjustments</w:t>
      </w:r>
    </w:p>
    <w:p>
      <w:pPr>
        <w:spacing w:after="120" w:before="120"/>
      </w:pPr>
      <w:r>
        <w:rPr>
          <w:sz w:val="22"/>
          <w:szCs w:val="22"/>
        </w:rPr>
        <w:t xml:space="preserve">NexCort iQ may adjust pricing upon sixty (60) days written notice. Price adjustments will not take effect during a prepaid annual term.</w:t>
      </w:r>
    </w:p>
    <w:p>
      <w:pPr>
        <w:pStyle w:val="Heading2"/>
        <w:spacing w:after="150" w:before="300"/>
      </w:pPr>
      <w:r>
        <w:rPr>
          <w:b/>
          <w:bCs/>
          <w:color w:val="2E5C8A"/>
          <w:sz w:val="24"/>
          <w:szCs w:val="24"/>
        </w:rPr>
        <w:t xml:space="preserve">3.6 Taxes</w:t>
      </w:r>
    </w:p>
    <w:p>
      <w:pPr>
        <w:spacing w:after="120" w:before="120"/>
      </w:pPr>
      <w:r>
        <w:rPr>
          <w:sz w:val="22"/>
          <w:szCs w:val="22"/>
        </w:rPr>
        <w:t xml:space="preserve">Customer is responsible for all applicable taxes, duties, and government-imposed fees associated with this Agreement, excluding taxes on NexCort iQ net income.</w:t>
      </w:r>
    </w:p>
    <w:p>
      <w:r>
        <w:br w:type="page"/>
      </w:r>
    </w:p>
    <w:p>
      <w:pPr>
        <w:pStyle w:val="Heading1"/>
        <w:spacing w:after="200" w:before="400"/>
      </w:pPr>
      <w:r>
        <w:rPr>
          <w:b/>
          <w:bCs/>
          <w:color w:val="1E3A5F"/>
          <w:sz w:val="28"/>
          <w:szCs w:val="28"/>
        </w:rPr>
        <w:t xml:space="preserve">ARTICLE 4 — DATA HANDLING AND SECURITY</w:t>
      </w:r>
    </w:p>
    <w:p>
      <w:pPr>
        <w:pStyle w:val="Heading2"/>
        <w:spacing w:after="150" w:before="300"/>
      </w:pPr>
      <w:r>
        <w:rPr>
          <w:b/>
          <w:bCs/>
          <w:color w:val="2E5C8A"/>
          <w:sz w:val="24"/>
          <w:szCs w:val="24"/>
        </w:rPr>
        <w:t xml:space="preserve">4.1 Customer Data Ownership</w:t>
      </w:r>
    </w:p>
    <w:p>
      <w:pPr>
        <w:spacing w:after="120" w:before="120"/>
      </w:pPr>
      <w:r>
        <w:rPr>
          <w:sz w:val="22"/>
          <w:szCs w:val="22"/>
        </w:rPr>
        <w:t xml:space="preserve">Customer retains all right, title, and interest in and to any data submitted to the NC Lite API ("Customer Data"). NexCort iQ acquires no ownership rights in Customer Data.</w:t>
      </w:r>
    </w:p>
    <w:p>
      <w:pPr>
        <w:pStyle w:val="Heading2"/>
        <w:spacing w:after="150" w:before="300"/>
      </w:pPr>
      <w:r>
        <w:rPr>
          <w:b/>
          <w:bCs/>
          <w:color w:val="2E5C8A"/>
          <w:sz w:val="24"/>
          <w:szCs w:val="24"/>
        </w:rPr>
        <w:t xml:space="preserve">4.2 NexCort iQ Data Use</w:t>
      </w:r>
    </w:p>
    <w:p>
      <w:pPr>
        <w:spacing w:after="120" w:before="120"/>
      </w:pPr>
      <w:r>
        <w:rPr>
          <w:sz w:val="22"/>
          <w:szCs w:val="22"/>
        </w:rPr>
        <w:t xml:space="preserve">NexCort iQ will use Customer Data solely to provide the NC Lite API services. NexCort iQ will not sell, rent, or share Customer Data with third parties except as required to provide the services (e.g., AI model inference infrastructure) or as required by law.</w:t>
      </w:r>
    </w:p>
    <w:p>
      <w:pPr>
        <w:pStyle w:val="Heading2"/>
        <w:spacing w:after="150" w:before="300"/>
      </w:pPr>
      <w:r>
        <w:rPr>
          <w:b/>
          <w:bCs/>
          <w:color w:val="2E5C8A"/>
          <w:sz w:val="24"/>
          <w:szCs w:val="24"/>
        </w:rPr>
        <w:t xml:space="preserve">4.3 Security Controls</w:t>
      </w:r>
    </w:p>
    <w:p>
      <w:pPr>
        <w:spacing w:after="120" w:before="120"/>
      </w:pPr>
      <w:r>
        <w:rPr>
          <w:sz w:val="22"/>
          <w:szCs w:val="22"/>
        </w:rPr>
        <w:t xml:space="preserve">NexCort iQ maintains security controls designed to protect Customer Data, including encryption in transit (TLS 1.2+), encryption at rest (AES-256), access controls, and audit logging. Customer is responsible for securing its API Key and preventing unauthorized access.</w:t>
      </w:r>
    </w:p>
    <w:p>
      <w:pPr>
        <w:pStyle w:val="Heading2"/>
        <w:spacing w:after="150" w:before="300"/>
      </w:pPr>
      <w:r>
        <w:rPr>
          <w:b/>
          <w:bCs/>
          <w:color w:val="2E5C8A"/>
          <w:sz w:val="24"/>
          <w:szCs w:val="24"/>
        </w:rPr>
        <w:t xml:space="preserve">4.4 Data Retention</w:t>
      </w:r>
    </w:p>
    <w:p>
      <w:pPr>
        <w:spacing w:after="120" w:before="120"/>
      </w:pPr>
      <w:r>
        <w:rPr>
          <w:sz w:val="22"/>
          <w:szCs w:val="22"/>
        </w:rPr>
        <w:t xml:space="preserve">NexCort iQ retains API request logs and associated data for ninety (90) days for the Dev tier, one (1) year for Small and Medium tiers, and three (3) years for Large and Enterprise tiers, unless a shorter retention period is required by applicable law or requested by Customer.</w:t>
      </w:r>
    </w:p>
    <w:p>
      <w:pPr>
        <w:pStyle w:val="Heading2"/>
        <w:spacing w:after="150" w:before="300"/>
      </w:pPr>
      <w:r>
        <w:rPr>
          <w:b/>
          <w:bCs/>
          <w:color w:val="2E5C8A"/>
          <w:sz w:val="24"/>
          <w:szCs w:val="24"/>
        </w:rPr>
        <w:t xml:space="preserve">4.5 CJI / CJIS</w:t>
      </w:r>
    </w:p>
    <w:p>
      <w:pPr>
        <w:spacing w:after="120" w:before="120"/>
      </w:pPr>
      <w:r>
        <w:rPr>
          <w:sz w:val="22"/>
          <w:szCs w:val="22"/>
        </w:rPr>
        <w:t xml:space="preserve">The NC Lite API is NOT authorized for processing of Criminal Justice Information (CJI) as defined by the FBI CJIS Security Policy without execution of a separate CJIS Supplemental Agreement. Customer warrants that it will not submit CJI to the NC Lite API without such agreement in place.</w:t>
      </w:r>
    </w:p>
    <w:p>
      <w:pPr>
        <w:pStyle w:val="Heading2"/>
        <w:spacing w:after="150" w:before="300"/>
      </w:pPr>
      <w:r>
        <w:rPr>
          <w:b/>
          <w:bCs/>
          <w:color w:val="2E5C8A"/>
          <w:sz w:val="24"/>
          <w:szCs w:val="24"/>
        </w:rPr>
        <w:t xml:space="preserve">4.6 Incident Notification</w:t>
      </w:r>
    </w:p>
    <w:p>
      <w:pPr>
        <w:spacing w:after="120" w:before="120"/>
      </w:pPr>
      <w:r>
        <w:rPr>
          <w:sz w:val="22"/>
          <w:szCs w:val="22"/>
        </w:rPr>
        <w:t xml:space="preserve">NexCort iQ will notify Customer within seventy-two (72) hours of discovering a confirmed security incident that may have compromised Customer Data.</w:t>
      </w:r>
    </w:p>
    <w:p>
      <w:r>
        <w:br w:type="page"/>
      </w:r>
    </w:p>
    <w:p>
      <w:pPr>
        <w:pStyle w:val="Heading1"/>
        <w:spacing w:after="200" w:before="400"/>
      </w:pPr>
      <w:r>
        <w:rPr>
          <w:b/>
          <w:bCs/>
          <w:color w:val="1E3A5F"/>
          <w:sz w:val="28"/>
          <w:szCs w:val="28"/>
        </w:rPr>
        <w:t xml:space="preserve">ARTICLE 5 — SERVICE LEVELS</w:t>
      </w:r>
    </w:p>
    <w:p>
      <w:pPr>
        <w:pStyle w:val="Heading2"/>
        <w:spacing w:after="150" w:before="300"/>
      </w:pPr>
      <w:r>
        <w:rPr>
          <w:b/>
          <w:bCs/>
          <w:color w:val="2E5C8A"/>
          <w:sz w:val="24"/>
          <w:szCs w:val="24"/>
        </w:rPr>
        <w:t xml:space="preserve">5.1 Availability Commitment</w:t>
      </w:r>
    </w:p>
    <w:p>
      <w:pPr>
        <w:spacing w:after="120" w:before="120"/>
      </w:pPr>
      <w:r>
        <w:rPr>
          <w:sz w:val="22"/>
          <w:szCs w:val="22"/>
        </w:rPr>
        <w:t xml:space="preserve">NexCort iQ targets the following monthly uptime availability for the NC Lite API by Service Tier:</w:t>
      </w:r>
    </w:p>
    <w:p>
      <w:pPr>
        <w:pStyle w:val="ListParagraph"/>
        <w:numPr>
          <w:ilvl w:val="0"/>
          <w:numId w:val="2"/>
        </w:numPr>
        <w:spacing w:after="80" w:before="80"/>
      </w:pPr>
      <w:r>
        <w:rPr>
          <w:sz w:val="22"/>
          <w:szCs w:val="22"/>
        </w:rPr>
        <w:t xml:space="preserve">Dev: Best effort (no SLA commitment)</w:t>
      </w:r>
    </w:p>
    <w:p>
      <w:pPr>
        <w:pStyle w:val="ListParagraph"/>
        <w:numPr>
          <w:ilvl w:val="0"/>
          <w:numId w:val="2"/>
        </w:numPr>
        <w:spacing w:after="80" w:before="80"/>
      </w:pPr>
      <w:r>
        <w:rPr>
          <w:sz w:val="22"/>
          <w:szCs w:val="22"/>
        </w:rPr>
        <w:t xml:space="preserve">Small: 99.5% monthly uptime</w:t>
      </w:r>
    </w:p>
    <w:p>
      <w:pPr>
        <w:pStyle w:val="ListParagraph"/>
        <w:numPr>
          <w:ilvl w:val="0"/>
          <w:numId w:val="2"/>
        </w:numPr>
        <w:spacing w:after="80" w:before="80"/>
      </w:pPr>
      <w:r>
        <w:rPr>
          <w:sz w:val="22"/>
          <w:szCs w:val="22"/>
        </w:rPr>
        <w:t xml:space="preserve">Medium: 99.9% monthly uptime</w:t>
      </w:r>
    </w:p>
    <w:p>
      <w:pPr>
        <w:pStyle w:val="ListParagraph"/>
        <w:numPr>
          <w:ilvl w:val="0"/>
          <w:numId w:val="2"/>
        </w:numPr>
        <w:spacing w:after="80" w:before="80"/>
      </w:pPr>
      <w:r>
        <w:rPr>
          <w:sz w:val="22"/>
          <w:szCs w:val="22"/>
        </w:rPr>
        <w:t xml:space="preserve">Large / Enterprise: 99.95% monthly uptime</w:t>
      </w:r>
    </w:p>
    <w:p>
      <w:pPr>
        <w:pStyle w:val="Heading2"/>
        <w:spacing w:after="150" w:before="300"/>
      </w:pPr>
      <w:r>
        <w:rPr>
          <w:b/>
          <w:bCs/>
          <w:color w:val="2E5C8A"/>
          <w:sz w:val="24"/>
          <w:szCs w:val="24"/>
        </w:rPr>
        <w:t xml:space="preserve">5.2 Service Credits</w:t>
      </w:r>
    </w:p>
    <w:p>
      <w:pPr>
        <w:spacing w:after="120" w:before="120"/>
      </w:pPr>
      <w:r>
        <w:rPr>
          <w:sz w:val="22"/>
          <w:szCs w:val="22"/>
        </w:rPr>
        <w:t xml:space="preserve">In the event of downtime below the applicable SLA commitment, Customer may request service credits calculated as follows: For each 0.1% of availability below the SLA target, Customer receives a credit equal to 1% of that month's subscription fee, up to a maximum of 30% of the monthly fee. Service credits are Customer's sole remedy for SLA failures.</w:t>
      </w:r>
    </w:p>
    <w:p>
      <w:pPr>
        <w:pStyle w:val="Heading2"/>
        <w:spacing w:after="150" w:before="300"/>
      </w:pPr>
      <w:r>
        <w:rPr>
          <w:b/>
          <w:bCs/>
          <w:color w:val="2E5C8A"/>
          <w:sz w:val="24"/>
          <w:szCs w:val="24"/>
        </w:rPr>
        <w:t xml:space="preserve">5.3 Exclusions</w:t>
      </w:r>
    </w:p>
    <w:p>
      <w:pPr>
        <w:spacing w:after="120" w:before="120"/>
      </w:pPr>
      <w:r>
        <w:rPr>
          <w:sz w:val="22"/>
          <w:szCs w:val="22"/>
        </w:rPr>
        <w:t xml:space="preserve">SLA calculations exclude: (a) scheduled maintenance (notified 48 hours in advance); (b) customer-caused outages; (c) third-party service failures outside NexCort iQ control; (d) force majeure events.</w:t>
      </w:r>
    </w:p>
    <w:p>
      <w:r>
        <w:br w:type="page"/>
      </w:r>
    </w:p>
    <w:p>
      <w:pPr>
        <w:pStyle w:val="Heading1"/>
        <w:spacing w:after="200" w:before="400"/>
      </w:pPr>
      <w:r>
        <w:rPr>
          <w:b/>
          <w:bCs/>
          <w:color w:val="1E3A5F"/>
          <w:sz w:val="28"/>
          <w:szCs w:val="28"/>
        </w:rPr>
        <w:t xml:space="preserve">ARTICLE 6 — TERM AND TERMINATION</w:t>
      </w:r>
    </w:p>
    <w:p>
      <w:pPr>
        <w:pStyle w:val="Heading2"/>
        <w:spacing w:after="150" w:before="300"/>
      </w:pPr>
      <w:r>
        <w:rPr>
          <w:b/>
          <w:bCs/>
          <w:color w:val="2E5C8A"/>
          <w:sz w:val="24"/>
          <w:szCs w:val="24"/>
        </w:rPr>
        <w:t xml:space="preserve">6.1 Term</w:t>
      </w:r>
    </w:p>
    <w:p>
      <w:pPr>
        <w:spacing w:after="120" w:before="120"/>
      </w:pPr>
      <w:r>
        <w:rPr>
          <w:sz w:val="22"/>
          <w:szCs w:val="22"/>
        </w:rPr>
        <w:t xml:space="preserve">This Agreement commences on the Effective Date and continues for twelve (12) months (the "Initial Term"), unless earlier terminated. After the Initial Term, this Agreement renews automatically for successive twelve (12) month periods unless either party provides sixty (60) days written notice of non-renewal.</w:t>
      </w:r>
    </w:p>
    <w:p>
      <w:pPr>
        <w:pStyle w:val="Heading2"/>
        <w:spacing w:after="150" w:before="300"/>
      </w:pPr>
      <w:r>
        <w:rPr>
          <w:b/>
          <w:bCs/>
          <w:color w:val="2E5C8A"/>
          <w:sz w:val="24"/>
          <w:szCs w:val="24"/>
        </w:rPr>
        <w:t xml:space="preserve">6.2 Termination for Cause</w:t>
      </w:r>
    </w:p>
    <w:p>
      <w:pPr>
        <w:spacing w:after="120" w:before="120"/>
      </w:pPr>
      <w:r>
        <w:rPr>
          <w:sz w:val="22"/>
          <w:szCs w:val="22"/>
        </w:rPr>
        <w:t xml:space="preserve">Either party may terminate this Agreement immediately upon written notice if the other party: (a) materially breaches this Agreement and fails to cure such breach within thirty (30) days of written notice; (b) becomes insolvent, makes a general assignment for the benefit of creditors, or has a receiver appointed; or (c) violates applicable law in connection with this Agreement.</w:t>
      </w:r>
    </w:p>
    <w:p>
      <w:pPr>
        <w:pStyle w:val="Heading2"/>
        <w:spacing w:after="150" w:before="300"/>
      </w:pPr>
      <w:r>
        <w:rPr>
          <w:b/>
          <w:bCs/>
          <w:color w:val="2E5C8A"/>
          <w:sz w:val="24"/>
          <w:szCs w:val="24"/>
        </w:rPr>
        <w:t xml:space="preserve">6.3 Termination for Convenience</w:t>
      </w:r>
    </w:p>
    <w:p>
      <w:pPr>
        <w:spacing w:after="120" w:before="120"/>
      </w:pPr>
      <w:r>
        <w:rPr>
          <w:sz w:val="22"/>
          <w:szCs w:val="22"/>
        </w:rPr>
        <w:t xml:space="preserve">Customer may terminate this Agreement upon sixty (60) days written notice. No refund will be issued for prepaid fees unless otherwise agreed in writing.</w:t>
      </w:r>
    </w:p>
    <w:p>
      <w:pPr>
        <w:pStyle w:val="Heading2"/>
        <w:spacing w:after="150" w:before="300"/>
      </w:pPr>
      <w:r>
        <w:rPr>
          <w:b/>
          <w:bCs/>
          <w:color w:val="2E5C8A"/>
          <w:sz w:val="24"/>
          <w:szCs w:val="24"/>
        </w:rPr>
        <w:t xml:space="preserve">6.4 Effect of Termination</w:t>
      </w:r>
    </w:p>
    <w:p>
      <w:pPr>
        <w:spacing w:after="120" w:before="120"/>
      </w:pPr>
      <w:r>
        <w:rPr>
          <w:sz w:val="22"/>
          <w:szCs w:val="22"/>
        </w:rPr>
        <w:t xml:space="preserve">Upon termination: (a) Customer's API Key will be revoked and API access will cease; (b) Customer must cease all use of the NC Lite API; (c) each party will return or destroy the other party's Confidential Information upon request; (d) NexCort iQ will provide a data export of Customer Data upon request within thirty (30) days of termination.</w:t>
      </w:r>
    </w:p>
    <w:p>
      <w:r>
        <w:br w:type="page"/>
      </w:r>
    </w:p>
    <w:p>
      <w:pPr>
        <w:pStyle w:val="Heading1"/>
        <w:spacing w:after="200" w:before="400"/>
      </w:pPr>
      <w:r>
        <w:rPr>
          <w:b/>
          <w:bCs/>
          <w:color w:val="1E3A5F"/>
          <w:sz w:val="28"/>
          <w:szCs w:val="28"/>
        </w:rPr>
        <w:t xml:space="preserve">ARTICLE 7 — INTELLECTUAL PROPERTY</w:t>
      </w:r>
    </w:p>
    <w:p>
      <w:pPr>
        <w:pStyle w:val="Heading2"/>
        <w:spacing w:after="150" w:before="300"/>
      </w:pPr>
      <w:r>
        <w:rPr>
          <w:b/>
          <w:bCs/>
          <w:color w:val="2E5C8A"/>
          <w:sz w:val="24"/>
          <w:szCs w:val="24"/>
        </w:rPr>
        <w:t xml:space="preserve">7.1 NexCort iQ IP</w:t>
      </w:r>
    </w:p>
    <w:p>
      <w:pPr>
        <w:spacing w:after="120" w:before="120"/>
      </w:pPr>
      <w:r>
        <w:rPr>
          <w:sz w:val="22"/>
          <w:szCs w:val="22"/>
        </w:rPr>
        <w:t xml:space="preserve">NexCort iQ retains all right, title, and interest in and to the RC Platform, NC Lite API, AI models, software, documentation, and all Intellectual Property Rights therein. This Agreement grants Customer no ownership rights in NexCort iQ IP.</w:t>
      </w:r>
    </w:p>
    <w:p>
      <w:pPr>
        <w:pStyle w:val="Heading2"/>
        <w:spacing w:after="150" w:before="300"/>
      </w:pPr>
      <w:r>
        <w:rPr>
          <w:b/>
          <w:bCs/>
          <w:color w:val="2E5C8A"/>
          <w:sz w:val="24"/>
          <w:szCs w:val="24"/>
        </w:rPr>
        <w:t xml:space="preserve">7.2 Customer IP</w:t>
      </w:r>
    </w:p>
    <w:p>
      <w:pPr>
        <w:spacing w:after="120" w:before="120"/>
      </w:pPr>
      <w:r>
        <w:rPr>
          <w:sz w:val="22"/>
          <w:szCs w:val="22"/>
        </w:rPr>
        <w:t xml:space="preserve">Customer retains all right, title, and interest in and to Customer's products, software, and integrations built using the NC Lite API, excluding any NexCort iQ IP incorporated therein.</w:t>
      </w:r>
    </w:p>
    <w:p>
      <w:pPr>
        <w:pStyle w:val="Heading2"/>
        <w:spacing w:after="150" w:before="300"/>
      </w:pPr>
      <w:r>
        <w:rPr>
          <w:b/>
          <w:bCs/>
          <w:color w:val="2E5C8A"/>
          <w:sz w:val="24"/>
          <w:szCs w:val="24"/>
        </w:rPr>
        <w:t xml:space="preserve">7.3 Feedback</w:t>
      </w:r>
    </w:p>
    <w:p>
      <w:pPr>
        <w:spacing w:after="120" w:before="120"/>
      </w:pPr>
      <w:r>
        <w:rPr>
          <w:sz w:val="22"/>
          <w:szCs w:val="22"/>
        </w:rPr>
        <w:t xml:space="preserve">If Customer provides feedback, suggestions, or improvement ideas to NexCort iQ, Customer grants NexCort iQ a perpetual, royalty-free, irrevocable license to use such feedback in any manner without obligation to Customer.</w:t>
      </w:r>
    </w:p>
    <w:p>
      <w:r>
        <w:br w:type="page"/>
      </w:r>
    </w:p>
    <w:p>
      <w:pPr>
        <w:pStyle w:val="Heading1"/>
        <w:spacing w:after="200" w:before="400"/>
      </w:pPr>
      <w:r>
        <w:rPr>
          <w:b/>
          <w:bCs/>
          <w:color w:val="1E3A5F"/>
          <w:sz w:val="28"/>
          <w:szCs w:val="28"/>
        </w:rPr>
        <w:t xml:space="preserve">ARTICLE 8 — WARRANTIES AND DISCLAIMERS</w:t>
      </w:r>
    </w:p>
    <w:p>
      <w:pPr>
        <w:pStyle w:val="Heading2"/>
        <w:spacing w:after="150" w:before="300"/>
      </w:pPr>
      <w:r>
        <w:rPr>
          <w:b/>
          <w:bCs/>
          <w:color w:val="2E5C8A"/>
          <w:sz w:val="24"/>
          <w:szCs w:val="24"/>
        </w:rPr>
        <w:t xml:space="preserve">8.1 Mutual Warranties</w:t>
      </w:r>
    </w:p>
    <w:p>
      <w:pPr>
        <w:spacing w:after="120" w:before="120"/>
      </w:pPr>
      <w:r>
        <w:rPr>
          <w:sz w:val="22"/>
          <w:szCs w:val="22"/>
        </w:rPr>
        <w:t xml:space="preserve">Each party represents and warrants that: (a) it has the legal authority to enter into this Agreement; (b) this Agreement does not conflict with any other agreement to which it is a party; and (c) it will comply with all applicable laws in connection with this Agreement.</w:t>
      </w:r>
    </w:p>
    <w:p>
      <w:pPr>
        <w:pStyle w:val="Heading2"/>
        <w:spacing w:after="150" w:before="300"/>
      </w:pPr>
      <w:r>
        <w:rPr>
          <w:b/>
          <w:bCs/>
          <w:color w:val="2E5C8A"/>
          <w:sz w:val="24"/>
          <w:szCs w:val="24"/>
        </w:rPr>
        <w:t xml:space="preserve">8.2 AI Disclaimer</w:t>
      </w:r>
    </w:p>
    <w:p>
      <w:pPr>
        <w:spacing w:after="120" w:before="120"/>
      </w:pPr>
      <w:r>
        <w:rPr>
          <w:sz w:val="22"/>
          <w:szCs w:val="22"/>
        </w:rPr>
        <w:t xml:space="preserve">CUSTOMER ACKNOWLEDGES THAT THE RC LITE API PROVIDES ARTIFICIAL INTELLIGENCE-ASSISTED OUTPUT THAT IS ASSISTIVE IN NATURE AND NOT A SUBSTITUTE FOR PROFESSIONAL JUDGMENT. ALL AI OUTPUT MUST BE REVIEWED BY QUALIFIED HUMAN PERSONNEL BEFORE USE IN ANY OPERATIONAL DECISION, PARTICULARLY IN PUBLIC SAFETY OR EMERGENCY RESPONSE CONTEXTS. NEXCORT IQ DOES NOT WARRANT THE ACCURACY, COMPLETENESS, OR FITNESS FOR A PARTICULAR PURPOSE OF ANY AI-GENERATED OUTPUT.</w:t>
      </w:r>
    </w:p>
    <w:p>
      <w:pPr>
        <w:pStyle w:val="Heading2"/>
        <w:spacing w:after="150" w:before="300"/>
      </w:pPr>
      <w:r>
        <w:rPr>
          <w:b/>
          <w:bCs/>
          <w:color w:val="2E5C8A"/>
          <w:sz w:val="24"/>
          <w:szCs w:val="24"/>
        </w:rPr>
        <w:t xml:space="preserve">8.3 Service Disclaimer</w:t>
      </w:r>
    </w:p>
    <w:p>
      <w:pPr>
        <w:spacing w:after="120" w:before="120"/>
      </w:pPr>
      <w:r>
        <w:rPr>
          <w:sz w:val="22"/>
          <w:szCs w:val="22"/>
        </w:rPr>
        <w:t xml:space="preserve">EXCEPT AS EXPRESSLY SET FORTH IN THIS AGREEMENT, THE RC LITE API IS PROVIDED "AS IS" AND "AS AVAILABLE" WITHOUT WARRANTY OF ANY KIND, EXPRESS OR IMPLIED, INCLUDING WARRANTIES OF MERCHANTABILITY, FITNESS FOR A PARTICULAR PURPOSE, AND NON-INFRINGEMENT.</w:t>
      </w:r>
    </w:p>
    <w:p>
      <w:r>
        <w:br w:type="page"/>
      </w:r>
    </w:p>
    <w:p>
      <w:pPr>
        <w:pStyle w:val="Heading1"/>
        <w:spacing w:after="200" w:before="400"/>
      </w:pPr>
      <w:r>
        <w:rPr>
          <w:b/>
          <w:bCs/>
          <w:color w:val="1E3A5F"/>
          <w:sz w:val="28"/>
          <w:szCs w:val="28"/>
        </w:rPr>
        <w:t xml:space="preserve">ARTICLE 9 — LIMITATION OF LIABILITY</w:t>
      </w:r>
    </w:p>
    <w:p>
      <w:pPr>
        <w:pStyle w:val="Heading2"/>
        <w:spacing w:after="150" w:before="300"/>
      </w:pPr>
      <w:r>
        <w:rPr>
          <w:b/>
          <w:bCs/>
          <w:color w:val="2E5C8A"/>
          <w:sz w:val="24"/>
          <w:szCs w:val="24"/>
        </w:rPr>
        <w:t xml:space="preserve">9.1 Exclusion of Consequential Damages</w:t>
      </w:r>
    </w:p>
    <w:p>
      <w:pPr>
        <w:spacing w:after="120" w:before="120"/>
      </w:pPr>
      <w:r>
        <w:rPr>
          <w:sz w:val="22"/>
          <w:szCs w:val="22"/>
        </w:rPr>
        <w:t xml:space="preserve">IN NO EVENT SHALL EITHER PARTY BE LIABLE TO THE OTHER FOR ANY INDIRECT, INCIDENTAL, SPECIAL, CONSEQUENTIAL, EXEMPLARY, OR PUNITIVE DAMAGES, INCLUDING LOSS OF PROFITS, LOSS OF DATA, LOSS OF GOODWILL, OR COST OF SUBSTITUTE SERVICES, EVEN IF ADVISED OF THE POSSIBILITY OF SUCH DAMAGES.</w:t>
      </w:r>
    </w:p>
    <w:p>
      <w:pPr>
        <w:pStyle w:val="Heading2"/>
        <w:spacing w:after="150" w:before="300"/>
      </w:pPr>
      <w:r>
        <w:rPr>
          <w:b/>
          <w:bCs/>
          <w:color w:val="2E5C8A"/>
          <w:sz w:val="24"/>
          <w:szCs w:val="24"/>
        </w:rPr>
        <w:t xml:space="preserve">9.2 Aggregate Cap</w:t>
      </w:r>
    </w:p>
    <w:p>
      <w:pPr>
        <w:spacing w:after="120" w:before="120"/>
      </w:pPr>
      <w:r>
        <w:rPr>
          <w:sz w:val="22"/>
          <w:szCs w:val="22"/>
        </w:rPr>
        <w:t xml:space="preserve">NEXCORT IQ'S TOTAL CUMULATIVE LIABILITY ARISING OUT OF OR RELATED TO THIS AGREEMENT SHALL NOT EXCEED THE TOTAL FEES PAID BY CUSTOMER TO NEXCORT IQ IN THE TWELVE (12) MONTHS IMMEDIATELY PRECEDING THE CLAIM.</w:t>
      </w:r>
    </w:p>
    <w:p>
      <w:pPr>
        <w:pStyle w:val="Heading2"/>
        <w:spacing w:after="150" w:before="300"/>
      </w:pPr>
      <w:r>
        <w:rPr>
          <w:b/>
          <w:bCs/>
          <w:color w:val="2E5C8A"/>
          <w:sz w:val="24"/>
          <w:szCs w:val="24"/>
        </w:rPr>
        <w:t xml:space="preserve">9.3 Essential Basis</w:t>
      </w:r>
    </w:p>
    <w:p>
      <w:pPr>
        <w:spacing w:after="120" w:before="120"/>
      </w:pPr>
      <w:r>
        <w:rPr>
          <w:sz w:val="22"/>
          <w:szCs w:val="22"/>
        </w:rPr>
        <w:t xml:space="preserve">The parties acknowledge that the limitations of liability in this Article reflect a reasonable allocation of risk and are an essential basis of the bargain between the parties.</w:t>
      </w:r>
    </w:p>
    <w:p>
      <w:r>
        <w:br w:type="page"/>
      </w:r>
    </w:p>
    <w:p>
      <w:pPr>
        <w:pStyle w:val="Heading1"/>
        <w:spacing w:after="200" w:before="400"/>
      </w:pPr>
      <w:r>
        <w:rPr>
          <w:b/>
          <w:bCs/>
          <w:color w:val="1E3A5F"/>
          <w:sz w:val="28"/>
          <w:szCs w:val="28"/>
        </w:rPr>
        <w:t xml:space="preserve">ARTICLE 10 — GENERAL PROVISIONS</w:t>
      </w:r>
    </w:p>
    <w:p>
      <w:pPr>
        <w:pStyle w:val="Heading2"/>
        <w:spacing w:after="150" w:before="300"/>
      </w:pPr>
      <w:r>
        <w:rPr>
          <w:b/>
          <w:bCs/>
          <w:color w:val="2E5C8A"/>
          <w:sz w:val="24"/>
          <w:szCs w:val="24"/>
        </w:rPr>
        <w:t xml:space="preserve">10.1 Governing Law</w:t>
      </w:r>
    </w:p>
    <w:p>
      <w:pPr>
        <w:spacing w:after="120" w:before="120"/>
      </w:pPr>
      <w:r>
        <w:rPr>
          <w:sz w:val="22"/>
          <w:szCs w:val="22"/>
        </w:rPr>
        <w:t xml:space="preserve">This Agreement shall be governed by the laws of the State of Georgia, without regard to its conflict of law provisions. Any dispute shall be submitted to binding arbitration in Columbus, Georgia under the rules of the American Arbitration Association.</w:t>
      </w:r>
    </w:p>
    <w:p>
      <w:pPr>
        <w:pStyle w:val="Heading2"/>
        <w:spacing w:after="150" w:before="300"/>
      </w:pPr>
      <w:r>
        <w:rPr>
          <w:b/>
          <w:bCs/>
          <w:color w:val="2E5C8A"/>
          <w:sz w:val="24"/>
          <w:szCs w:val="24"/>
        </w:rPr>
        <w:t xml:space="preserve">10.2 Entire Agreement</w:t>
      </w:r>
    </w:p>
    <w:p>
      <w:pPr>
        <w:spacing w:after="120" w:before="120"/>
      </w:pPr>
      <w:r>
        <w:rPr>
          <w:sz w:val="22"/>
          <w:szCs w:val="22"/>
        </w:rPr>
        <w:t xml:space="preserve">This Agreement, together with all Exhibits, constitutes the entire agreement between the parties with respect to the NC Lite API and supersedes all prior negotiations, representations, and agreements. This Agreement may only be amended by a written instrument signed by authorized representatives of both parties.</w:t>
      </w:r>
    </w:p>
    <w:p>
      <w:pPr>
        <w:pStyle w:val="Heading2"/>
        <w:spacing w:after="150" w:before="300"/>
      </w:pPr>
      <w:r>
        <w:rPr>
          <w:b/>
          <w:bCs/>
          <w:color w:val="2E5C8A"/>
          <w:sz w:val="24"/>
          <w:szCs w:val="24"/>
        </w:rPr>
        <w:t xml:space="preserve">10.3 Notices</w:t>
      </w:r>
    </w:p>
    <w:p>
      <w:pPr>
        <w:spacing w:after="120" w:before="120"/>
      </w:pPr>
      <w:r>
        <w:rPr>
          <w:sz w:val="22"/>
          <w:szCs w:val="22"/>
        </w:rPr>
        <w:t xml:space="preserve">All notices under this Agreement shall be in writing and delivered by email with read receipt or by certified mail to the addresses set forth in Exhibit A.</w:t>
      </w:r>
    </w:p>
    <w:p>
      <w:pPr>
        <w:pStyle w:val="Heading2"/>
        <w:spacing w:after="150" w:before="300"/>
      </w:pPr>
      <w:r>
        <w:rPr>
          <w:b/>
          <w:bCs/>
          <w:color w:val="2E5C8A"/>
          <w:sz w:val="24"/>
          <w:szCs w:val="24"/>
        </w:rPr>
        <w:t xml:space="preserve">10.4 Assignment</w:t>
      </w:r>
    </w:p>
    <w:p>
      <w:pPr>
        <w:spacing w:after="120" w:before="120"/>
      </w:pPr>
      <w:r>
        <w:rPr>
          <w:sz w:val="22"/>
          <w:szCs w:val="22"/>
        </w:rPr>
        <w:t xml:space="preserve">Customer may not assign this Agreement or any rights hereunder without prior written consent. NexCort iQ may assign this Agreement in connection with a merger, acquisition, or sale of substantially all its assets.</w:t>
      </w:r>
    </w:p>
    <w:p>
      <w:pPr>
        <w:pStyle w:val="Heading2"/>
        <w:spacing w:after="150" w:before="300"/>
      </w:pPr>
      <w:r>
        <w:rPr>
          <w:b/>
          <w:bCs/>
          <w:color w:val="2E5C8A"/>
          <w:sz w:val="24"/>
          <w:szCs w:val="24"/>
        </w:rPr>
        <w:t xml:space="preserve">10.5 Force Majeure</w:t>
      </w:r>
    </w:p>
    <w:p>
      <w:pPr>
        <w:spacing w:after="120" w:before="120"/>
      </w:pPr>
      <w:r>
        <w:rPr>
          <w:sz w:val="22"/>
          <w:szCs w:val="22"/>
        </w:rPr>
        <w:t xml:space="preserve">Neither party shall be liable for delays or failures in performance resulting from causes beyond its reasonable control, including acts of God, government actions, natural disasters, pandemics, or telecommunications failures.</w:t>
      </w:r>
    </w:p>
    <w:p>
      <w:pPr>
        <w:pStyle w:val="Heading2"/>
        <w:spacing w:after="150" w:before="300"/>
      </w:pPr>
      <w:r>
        <w:rPr>
          <w:b/>
          <w:bCs/>
          <w:color w:val="2E5C8A"/>
          <w:sz w:val="24"/>
          <w:szCs w:val="24"/>
        </w:rPr>
        <w:t xml:space="preserve">10.6 Severability</w:t>
      </w:r>
    </w:p>
    <w:p>
      <w:pPr>
        <w:spacing w:after="120" w:before="120"/>
      </w:pPr>
      <w:r>
        <w:rPr>
          <w:sz w:val="22"/>
          <w:szCs w:val="22"/>
        </w:rPr>
        <w:t xml:space="preserve">If any provision of this Agreement is held invalid or unenforceable, the remaining provisions shall continue in full force and effect.</w:t>
      </w:r>
    </w:p>
    <w:p>
      <w:pPr>
        <w:pStyle w:val="Heading2"/>
        <w:spacing w:after="150" w:before="300"/>
      </w:pPr>
      <w:r>
        <w:rPr>
          <w:b/>
          <w:bCs/>
          <w:color w:val="2E5C8A"/>
          <w:sz w:val="24"/>
          <w:szCs w:val="24"/>
        </w:rPr>
        <w:t xml:space="preserve">10.7 Waiver</w:t>
      </w:r>
    </w:p>
    <w:p>
      <w:pPr>
        <w:spacing w:after="120" w:before="120"/>
      </w:pPr>
      <w:r>
        <w:rPr>
          <w:sz w:val="22"/>
          <w:szCs w:val="22"/>
        </w:rPr>
        <w:t xml:space="preserve">Failure by either party to enforce any provision of this Agreement shall not constitute a waiver of future enforcement.</w:t>
      </w:r>
    </w:p>
    <w:p>
      <w:r>
        <w:br w:type="page"/>
      </w:r>
    </w:p>
    <w:p>
      <w:pPr>
        <w:pStyle w:val="Heading1"/>
        <w:spacing w:after="200" w:before="400"/>
      </w:pPr>
      <w:r>
        <w:rPr>
          <w:b/>
          <w:bCs/>
          <w:color w:val="1E3A5F"/>
          <w:sz w:val="28"/>
          <w:szCs w:val="28"/>
        </w:rPr>
        <w:t xml:space="preserve">SIGNATURE PAGE</w:t>
      </w:r>
    </w:p>
    <w:p>
      <w:pPr>
        <w:spacing w:after="120" w:before="120"/>
      </w:pPr>
      <w:r>
        <w:rPr>
          <w:sz w:val="22"/>
          <w:szCs w:val="22"/>
        </w:rPr>
        <w:t xml:space="preserve">IN WITNESS WHEREOF, the parties have executed this NC Lite API Access Agreement as of the date last signed below (the "Effective Date").</w:t>
      </w:r>
    </w:p>
    <w:p>
      <w:pPr>
        <w:spacing w:before="400"/>
      </w:pPr>
      <w:r>
        <w:rPr>
          <w:b/>
          <w:bCs/>
          <w:sz w:val="24"/>
          <w:szCs w:val="24"/>
        </w:rPr>
        <w:t xml:space="preserve">NEXCORT IQ, LLC</w:t>
      </w:r>
    </w:p>
    <w:p>
      <w:pPr>
        <w:spacing w:after="400" w:before="80"/>
      </w:pPr>
      <w:r>
        <w:rPr>
          <w:color w:val="555555"/>
          <w:sz w:val="20"/>
          <w:szCs w:val="20"/>
        </w:rPr>
        <w:t xml:space="preserve">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Authorized Signature</w:t>
            </w:r>
          </w:p>
        </w:tc>
        <w:tc>
          <w:tcPr>
            <w:tcW w:type="dxa" w:w="72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Date</w:t>
            </w:r>
          </w:p>
        </w:tc>
      </w:tr>
    </w:tbl>
    <w:p>
      <w:pPr>
        <w:spacing w:after="60" w:before="120"/>
      </w:pPr>
      <w:r>
        <w:rPr>
          <w:sz w:val="22"/>
          <w:szCs w:val="22"/>
        </w:rPr>
        <w:t xml:space="preserve">Printed Name: _________________________________</w:t>
      </w:r>
    </w:p>
    <w:p>
      <w:pPr>
        <w:spacing w:after="60" w:before="60"/>
      </w:pPr>
      <w:r>
        <w:rPr>
          <w:sz w:val="22"/>
          <w:szCs w:val="22"/>
        </w:rPr>
        <w:t xml:space="preserve">Title: _________________________________</w:t>
      </w:r>
    </w:p>
    <w:p>
      <w:pPr>
        <w:spacing w:after="400" w:before="60"/>
      </w:pPr>
      <w:r>
        <w:rPr>
          <w:sz w:val="22"/>
          <w:szCs w:val="22"/>
        </w:rPr>
        <w:t xml:space="preserve">Email: _________________________________</w:t>
      </w:r>
    </w:p>
    <w:p>
      <w:r>
        <w:rPr>
          <w:b/>
          <w:bCs/>
          <w:color w:val="CC0000"/>
          <w:sz w:val="24"/>
          <w:szCs w:val="24"/>
        </w:rPr>
        <w:t xml:space="preserve">[CUSTOMER LEGAL NAME]</w:t>
      </w:r>
    </w:p>
    <w:p>
      <w:pPr>
        <w:spacing w:after="400" w:before="80"/>
      </w:pPr>
      <w:r>
        <w:rPr>
          <w:color w:val="555555"/>
          <w:sz w:val="20"/>
          <w:szCs w:val="20"/>
        </w:rPr>
        <w:t xml:space="preserve">Customer / Licensee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Authorized Signature</w:t>
            </w:r>
          </w:p>
        </w:tc>
        <w:tc>
          <w:tcPr>
            <w:tcW w:type="dxa" w:w="72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Date</w:t>
            </w:r>
          </w:p>
        </w:tc>
      </w:tr>
    </w:tbl>
    <w:p>
      <w:pPr>
        <w:spacing w:after="60" w:before="120"/>
      </w:pPr>
      <w:r>
        <w:rPr>
          <w:sz w:val="22"/>
          <w:szCs w:val="22"/>
        </w:rPr>
        <w:t xml:space="preserve">Printed Name: _________________________________</w:t>
      </w:r>
    </w:p>
    <w:p>
      <w:pPr>
        <w:spacing w:after="60" w:before="60"/>
      </w:pPr>
      <w:r>
        <w:rPr>
          <w:sz w:val="22"/>
          <w:szCs w:val="22"/>
        </w:rPr>
        <w:t xml:space="preserve">Title: _________________________________</w:t>
      </w:r>
    </w:p>
    <w:p>
      <w:pPr>
        <w:spacing w:after="60" w:before="60"/>
      </w:pPr>
      <w:r>
        <w:rPr>
          <w:sz w:val="22"/>
          <w:szCs w:val="22"/>
        </w:rPr>
        <w:t xml:space="preserve">Email: _________________________________</w:t>
      </w:r>
    </w:p>
    <w:p>
      <w:pPr>
        <w:spacing w:after="400" w:before="60"/>
      </w:pPr>
      <w:r>
        <w:rPr>
          <w:sz w:val="22"/>
          <w:szCs w:val="22"/>
        </w:rPr>
        <w:t xml:space="preserve">Organization: _________________________________</w:t>
      </w:r>
    </w:p>
    <w:p>
      <w:r>
        <w:br w:type="page"/>
      </w:r>
    </w:p>
    <w:p>
      <w:pPr>
        <w:pStyle w:val="Heading1"/>
        <w:spacing w:after="200" w:before="400"/>
      </w:pPr>
      <w:r>
        <w:rPr>
          <w:b/>
          <w:bCs/>
          <w:color w:val="1E3A5F"/>
          <w:sz w:val="28"/>
          <w:szCs w:val="28"/>
        </w:rPr>
        <w:t xml:space="preserve">EXHIBIT A — SERVICE TIER, PRICING &amp; PERMITTED USE</w:t>
      </w:r>
    </w:p>
    <w:p>
      <w:pPr>
        <w:pStyle w:val="Heading2"/>
        <w:spacing w:after="150" w:before="300"/>
      </w:pPr>
      <w:r>
        <w:rPr>
          <w:b/>
          <w:bCs/>
          <w:color w:val="2E5C8A"/>
          <w:sz w:val="24"/>
          <w:szCs w:val="24"/>
        </w:rPr>
        <w:t xml:space="preserve">A.1 Selected Service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Monthly Fee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Monthly API Call Quota</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Dev / Sandbox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$500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1,000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25,000 calls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Medium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$8,500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150,000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750,000 calls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Enterprise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Custom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Unlimited</w:t>
            </w:r>
          </w:p>
        </w:tc>
      </w:tr>
    </w:tbl>
    <w:p>
      <w:pPr>
        <w:spacing w:after="120" w:before="200"/>
      </w:pPr>
      <w:r>
        <w:rPr>
          <w:b/>
          <w:bCs/>
          <w:sz w:val="22"/>
          <w:szCs w:val="22"/>
        </w:rPr>
        <w:t xml:space="preserve">Customer's Selected Tier: _________________________________</w:t>
      </w:r>
    </w:p>
    <w:p>
      <w:pPr>
        <w:spacing w:after="60" w:before="60"/>
      </w:pPr>
      <w:r>
        <w:rPr>
          <w:sz w:val="20"/>
          <w:szCs w:val="20"/>
        </w:rPr>
        <w:t xml:space="preserve">Overage Rate: $0.50 per 1,000 calls (Dev) | $0.10 per 1,000 (Small) | $0.08 per 1,000 (Medium) | $0.05 per 1,000 (Large)</w:t>
      </w:r>
    </w:p>
    <w:p>
      <w:pPr>
        <w:pStyle w:val="Heading2"/>
        <w:spacing w:after="150" w:before="300"/>
      </w:pPr>
      <w:r>
        <w:rPr>
          <w:b/>
          <w:bCs/>
          <w:color w:val="2E5C8A"/>
          <w:sz w:val="24"/>
          <w:szCs w:val="24"/>
        </w:rPr>
        <w:t xml:space="preserve">A.2 Permitted Use Case</w:t>
      </w:r>
    </w:p>
    <w:p>
      <w:pPr>
        <w:pBdr>
          <w:bottom w:val="single" w:color="CCCCCC" w:sz="4"/>
        </w:pBdr>
        <w:spacing w:after="400" w:before="120"/>
      </w:pPr>
      <w:r>
        <w:rPr>
          <w:sz w:val="22"/>
          <w:szCs w:val="22"/>
        </w:rPr>
        <w:t xml:space="preserve">Describe the specific use case: ____________________________________________________________
__________________________________________________________________________________________
__________________________________________________________________________________________</w:t>
      </w:r>
    </w:p>
    <w:p>
      <w:pPr>
        <w:pStyle w:val="Heading2"/>
        <w:spacing w:after="150" w:before="300"/>
      </w:pPr>
      <w:r>
        <w:rPr>
          <w:b/>
          <w:bCs/>
          <w:color w:val="2E5C8A"/>
          <w:sz w:val="24"/>
          <w:szCs w:val="24"/>
        </w:rPr>
        <w:t xml:space="preserve">A.3 Technical Contact</w:t>
      </w:r>
    </w:p>
    <w:p>
      <w:pPr>
        <w:spacing w:after="60" w:before="120"/>
      </w:pPr>
      <w:r>
        <w:rPr>
          <w:sz w:val="22"/>
          <w:szCs w:val="22"/>
        </w:rPr>
        <w:t xml:space="preserve">Name: _________________________________ Title: _________________________________</w:t>
      </w:r>
    </w:p>
    <w:p>
      <w:pPr>
        <w:spacing w:after="60" w:before="60"/>
      </w:pPr>
      <w:r>
        <w:rPr>
          <w:b/>
          <w:bCs/>
          <w:sz w:val="22"/>
          <w:szCs w:val="22"/>
        </w:rPr>
        <w:t xml:space="preserve">Email (API key delivery): _________________________________</w:t>
      </w:r>
    </w:p>
    <w:p>
      <w:pPr>
        <w:spacing w:after="60" w:before="60"/>
      </w:pPr>
      <w:r>
        <w:rPr>
          <w:sz w:val="22"/>
          <w:szCs w:val="22"/>
        </w:rPr>
        <w:t xml:space="preserve">Phone: _________________________________</w:t>
      </w:r>
    </w:p>
    <w:p>
      <w:pPr>
        <w:pStyle w:val="Heading2"/>
        <w:spacing w:after="150" w:before="300"/>
      </w:pPr>
      <w:r>
        <w:rPr>
          <w:b/>
          <w:bCs/>
          <w:color w:val="2E5C8A"/>
          <w:sz w:val="24"/>
          <w:szCs w:val="24"/>
        </w:rPr>
        <w:t xml:space="preserve">A.4 Billing Contact</w:t>
      </w:r>
    </w:p>
    <w:p>
      <w:pPr>
        <w:spacing w:after="60" w:before="120"/>
      </w:pPr>
      <w:r>
        <w:rPr>
          <w:sz w:val="22"/>
          <w:szCs w:val="22"/>
        </w:rPr>
        <w:t xml:space="preserve">Name: _________________________________ Email: _________________________________</w:t>
      </w:r>
    </w:p>
    <w:p>
      <w:pPr>
        <w:spacing w:after="60" w:before="60"/>
      </w:pPr>
      <w:r>
        <w:rPr>
          <w:sz w:val="22"/>
          <w:szCs w:val="22"/>
        </w:rPr>
        <w:t xml:space="preserve">Mailing Address: _________________________________</w:t>
      </w:r>
    </w:p>
    <w:p>
      <w:pPr>
        <w:spacing w:after="60" w:before="60"/>
      </w:pPr>
      <w:r>
        <w:rPr>
          <w:sz w:val="22"/>
          <w:szCs w:val="22"/>
        </w:rPr>
        <w:t xml:space="preserve">Purchase Order Required?  [ ] Yes — PO#: _____________  [ ] No</w:t>
      </w:r>
    </w:p>
    <w:p>
      <w:pPr>
        <w:pStyle w:val="Heading2"/>
        <w:spacing w:after="150" w:before="300"/>
      </w:pPr>
      <w:r>
        <w:rPr>
          <w:b/>
          <w:bCs/>
          <w:color w:val="2E5C8A"/>
          <w:sz w:val="24"/>
          <w:szCs w:val="24"/>
        </w:rPr>
        <w:t xml:space="preserve">A.5 Authorized Jurisdictions / Agencies</w:t>
      </w:r>
    </w:p>
    <w:p>
      <w:pPr>
        <w:spacing w:after="120" w:before="120"/>
      </w:pPr>
      <w:r>
        <w:rPr>
          <w:sz w:val="22"/>
          <w:szCs w:val="22"/>
        </w:rPr>
        <w:t xml:space="preserve">Customer is authorized to process data from the following agencies/jurisdictions only:</w:t>
      </w:r>
    </w:p>
    <w:p>
      <w:pPr>
        <w:spacing w:after="400" w:before="120"/>
      </w:pPr>
      <w:r>
        <w:rPr>
          <w:sz w:val="22"/>
          <w:szCs w:val="22"/>
        </w:rPr>
        <w:t xml:space="preserve">____________________________________________________________
____________________________________________________________
____________________________________________________________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NC Lite API Agreement | Confidential | Page </w:t>
    </w:r>
    <w:r>
      <w:rPr>
        <w:color w:val="888888"/>
        <w:sz w:val="18"/>
        <w:szCs w:val="18"/>
      </w:rPr>
      <w:pgNum/>
    </w:r>
    <w:r>
      <w:rPr>
        <w:color w:val="888888"/>
        <w:sz w:val="18"/>
        <w:szCs w:val="18"/>
      </w:rPr>
      <w:t xml:space="preserve"> | rapidcortex.us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2026-05-16T12:34:51.794Z</dcterms:created>
  <dcterms:modified xsi:type="dcterms:W3CDTF">2026-05-16T12:34:51.794Z</dcterms:modified>
</cp:coreProperties>
</file>

<file path=docProps/custom.xml><?xml version="1.0" encoding="utf-8"?>
<Properties xmlns="http://schemas.openxmlformats.org/officeDocument/2006/custom-properties" xmlns:vt="http://schemas.openxmlformats.org/officeDocument/2006/docPropsVTypes"/>
</file>