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 w:before="2000"/>
        <w:jc w:val="center"/>
      </w:pPr>
      <w:r>
        <w:t xml:space="preserve">RAPID CORTEX</w:t>
      </w:r>
    </w:p>
    <w:p>
      <w:pPr>
        <w:pStyle w:val="Heading1"/>
        <w:spacing w:after="200"/>
        <w:jc w:val="center"/>
      </w:pPr>
      <w:r>
        <w:t xml:space="preserve">Complete Pricing Guide</w:t>
      </w:r>
    </w:p>
    <w:p>
      <w:pPr>
        <w:spacing w:after="3000"/>
        <w:jc w:val="center"/>
      </w:pPr>
      <w:r>
        <w:t xml:space="preserve">Internal Use Only - Confidential</w:t>
      </w:r>
    </w:p>
    <w:p>
      <w:pPr>
        <w:pStyle w:val="Heading2"/>
        <w:spacing w:after="200" w:before="400"/>
      </w:pPr>
      <w:r>
        <w:t xml:space="preserve">Pricing Philosophy</w:t>
      </w:r>
    </w:p>
    <w:p>
      <w:pPr>
        <w:spacing w:after="600"/>
      </w:pPr>
      <w:r>
        <w:t xml:space="preserve">This pricing guide eliminates ambiguous ranges and provides clearly defined price points with specific triggers. </w:t>
      </w:r>
      <w:r>
        <w:rPr>
          <w:b/>
          <w:bCs/>
        </w:rPr>
        <w:t xml:space="preserve">All pricing is based on: </w:t>
      </w:r>
      <w:r>
        <w:t xml:space="preserve">agency size, dispatcher seats, call volume, CAD integration complexity, onsite needs, security requirements, support level, and add-on modules.</w:t>
      </w:r>
    </w:p>
    <w:p>
      <w:pPr>
        <w:pStyle w:val="Heading2"/>
        <w:spacing w:after="200" w:before="400"/>
      </w:pPr>
      <w:r>
        <w:t xml:space="preserve">Document Structure</w:t>
      </w:r>
    </w:p>
    <w:p>
      <w:pPr>
        <w:pStyle w:val="ListParagraph"/>
        <w:numPr>
          <w:ilvl w:val="0"/>
          <w:numId w:val="1"/>
        </w:numPr>
      </w:pPr>
      <w:r>
        <w:t xml:space="preserve">• Base Plans: Essential, Professional, Command, Enterprise</w:t>
      </w:r>
    </w:p>
    <w:p>
      <w:pPr>
        <w:pStyle w:val="ListParagraph"/>
        <w:numPr>
          <w:ilvl w:val="0"/>
          <w:numId w:val="1"/>
        </w:numPr>
      </w:pPr>
      <w:r>
        <w:t xml:space="preserve">• Add-Ons: CAD, AI, Translation, Media, QA, Command, Reliability</w:t>
      </w:r>
    </w:p>
    <w:p>
      <w:pPr>
        <w:pStyle w:val="ListParagraph"/>
        <w:numPr>
          <w:ilvl w:val="0"/>
          <w:numId w:val="1"/>
        </w:numPr>
      </w:pPr>
      <w:r>
        <w:t xml:space="preserve">• Services: Training, Onsite Support, Support Packages</w:t>
      </w:r>
    </w:p>
    <w:p>
      <w:pPr>
        <w:pStyle w:val="ListParagraph"/>
        <w:numPr>
          <w:ilvl w:val="0"/>
          <w:numId w:val="1"/>
        </w:numPr>
        <w:spacing w:after="600"/>
      </w:pPr>
      <w:r>
        <w:t xml:space="preserve">• Usage: Overages and Pre-built Pilot Packages</w:t>
      </w:r>
    </w:p>
    <w:p>
      <w:pPr>
        <w:spacing w:after="400" w:before="1000"/>
        <w:jc w:val="center"/>
      </w:pPr>
      <w:r>
        <w:t xml:space="preserve">Version: 1.0 | Updated: April 2026 | Owner: Rapid Cortex Sales Operations</w:t>
      </w:r>
    </w:p>
    <w:p>
      <w:pPr>
        <w:pageBreakBefore/>
      </w:pPr>
    </w:p>
    <w:p>
      <w:pPr>
        <w:pStyle w:val="Heading1"/>
        <w:spacing w:after="400"/>
      </w:pPr>
      <w:r>
        <w:t xml:space="preserve">Table of Contents</w:t>
      </w:r>
    </w:p>
    <w:p>
      <w:pPr>
        <w:spacing w:after="100"/>
      </w:pPr>
      <w:r>
        <w:t xml:space="preserve">1. Essential Plan Pricing</w:t>
      </w:r>
    </w:p>
    <w:p>
      <w:pPr>
        <w:spacing w:after="100"/>
      </w:pPr>
      <w:r>
        <w:t xml:space="preserve">2. Professional Plan Pricing</w:t>
      </w:r>
    </w:p>
    <w:p>
      <w:pPr>
        <w:spacing w:after="100"/>
      </w:pPr>
      <w:r>
        <w:t xml:space="preserve">3. Command Plan Pricing</w:t>
      </w:r>
    </w:p>
    <w:p>
      <w:pPr>
        <w:spacing w:after="100"/>
      </w:pPr>
      <w:r>
        <w:t xml:space="preserve">4. Enterprise / Statewide Pricing</w:t>
      </w:r>
    </w:p>
    <w:p>
      <w:pPr>
        <w:spacing w:after="100"/>
      </w:pPr>
      <w:r>
        <w:t xml:space="preserve">5. CAD Integration Add-Ons</w:t>
      </w:r>
    </w:p>
    <w:p>
      <w:pPr>
        <w:spacing w:after="100"/>
      </w:pPr>
      <w:r>
        <w:t xml:space="preserve">6. AI &amp; Call Intelligence Add-Ons</w:t>
      </w:r>
    </w:p>
    <w:p>
      <w:pPr>
        <w:spacing w:after="100"/>
      </w:pPr>
      <w:r>
        <w:t xml:space="preserve">7. Translation &amp; Transcription Add-Ons</w:t>
      </w:r>
    </w:p>
    <w:p>
      <w:pPr>
        <w:spacing w:after="100"/>
      </w:pPr>
      <w:r>
        <w:t xml:space="preserve">8. Caller Media Add-Ons</w:t>
      </w:r>
    </w:p>
    <w:p>
      <w:pPr>
        <w:spacing w:after="100"/>
      </w:pPr>
      <w:r>
        <w:t xml:space="preserve">9. Supervisor &amp; QA Add-Ons</w:t>
      </w:r>
    </w:p>
    <w:p>
      <w:pPr>
        <w:spacing w:after="100"/>
      </w:pPr>
      <w:r>
        <w:t xml:space="preserve">10. Incident Command &amp; Collaboration Add-Ons</w:t>
      </w:r>
    </w:p>
    <w:p>
      <w:pPr>
        <w:spacing w:after="100"/>
      </w:pPr>
      <w:r>
        <w:t xml:space="preserve">11. Reliability &amp; Technical Operations Add-Ons</w:t>
      </w:r>
    </w:p>
    <w:p>
      <w:pPr>
        <w:spacing w:after="100"/>
      </w:pPr>
      <w:r>
        <w:t xml:space="preserve">12. Training &amp; Onsite Services</w:t>
      </w:r>
    </w:p>
    <w:p>
      <w:pPr>
        <w:spacing w:after="100"/>
      </w:pPr>
      <w:r>
        <w:t xml:space="preserve">13. Support Packages</w:t>
      </w:r>
    </w:p>
    <w:p>
      <w:pPr>
        <w:spacing w:after="100"/>
      </w:pPr>
      <w:r>
        <w:t xml:space="preserve">14. Overages &amp; Usage Pricing</w:t>
      </w:r>
    </w:p>
    <w:p>
      <w:pPr>
        <w:spacing w:after="600"/>
      </w:pPr>
      <w:r>
        <w:t xml:space="preserve">15. Pre-Built Pilot Packages</w:t>
      </w:r>
    </w:p>
    <w:p>
      <w:pPr>
        <w:pageBreakBefore/>
      </w:pPr>
    </w:p>
    <w:p>
      <w:pPr>
        <w:pStyle w:val="Heading1"/>
        <w:spacing w:after="400" w:before="400"/>
      </w:pPr>
      <w:r>
        <w:t xml:space="preserve">1. ESSENTIAL PLAN PRICING</w:t>
      </w:r>
    </w:p>
    <w:p>
      <w:pPr>
        <w:pStyle w:val="Heading2"/>
        <w:spacing w:after="200" w:before="200"/>
      </w:pPr>
      <w:r>
        <w:t xml:space="preserve">Base Monthly Platform Fees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2E75B6" w:color="FFFFFF" w:val="solid"/>
            <w:vAlign w:val="center"/>
          </w:tcPr>
          <w:p>
            <w:pPr>
              <w:jc w:val="center"/>
            </w:pPr>
            <w:r>
              <w:t xml:space="preserve">Tier</w:t>
            </w:r>
          </w:p>
        </w:tc>
        <w:tc>
          <w:tcPr>
            <w:tcW w:type="pct" w:w="20%"/>
            <w:shd w:fill="2E75B6" w:color="FFFFFF" w:val="solid"/>
            <w:vAlign w:val="center"/>
          </w:tcPr>
          <w:p>
            <w:pPr>
              <w:jc w:val="center"/>
            </w:pPr>
            <w:r>
              <w:t xml:space="preserve">Monthly Fee</w:t>
            </w:r>
          </w:p>
        </w:tc>
        <w:tc>
          <w:tcPr>
            <w:tcW w:type="pct" w:w="55%"/>
            <w:shd w:fill="2E75B6" w:color="FFFFFF" w:val="solid"/>
            <w:vAlign w:val="center"/>
          </w:tcPr>
          <w:p>
            <w:pPr>
              <w:jc w:val="center"/>
            </w:pPr>
            <w:r>
              <w:t xml:space="preserve">Trigger / When This Price Applies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t xml:space="preserve">Tier 1: Micro (1-3 seats)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t xml:space="preserve">$2,800/month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t xml:space="preserve">1-3 dispatcher seats, &lt;2,000 calls/month, single PSAP, basic features only</w:t>
            </w:r>
          </w:p>
        </w:tc>
      </w:tr>
      <w:tr>
        <w:tc>
          <w:tcPr>
            <w:tcW w:type="pct" w:w="25%"/>
            <w:shd w:fill="F0F0F0" w:val="solid"/>
            <w:vAlign w:val="center"/>
          </w:tcPr>
          <w:p>
            <w:pPr>
              <w:jc w:val="left"/>
            </w:pPr>
            <w:r>
              <w:t xml:space="preserve">Tier 2: Small (4-6 seats)</w:t>
            </w:r>
          </w:p>
        </w:tc>
        <w:tc>
          <w:tcPr>
            <w:tcW w:type="pct" w:w="20%"/>
            <w:shd w:fill="F0F0F0" w:val="solid"/>
            <w:vAlign w:val="center"/>
          </w:tcPr>
          <w:p>
            <w:pPr>
              <w:jc w:val="left"/>
            </w:pPr>
            <w:r>
              <w:t xml:space="preserve">$4,200/month</w:t>
            </w:r>
          </w:p>
        </w:tc>
        <w:tc>
          <w:tcPr>
            <w:tcW w:type="pct" w:w="55%"/>
            <w:shd w:fill="F0F0F0" w:val="solid"/>
            <w:vAlign w:val="center"/>
          </w:tcPr>
          <w:p>
            <w:pPr>
              <w:jc w:val="left"/>
            </w:pPr>
            <w:r>
              <w:t xml:space="preserve">4-6 dispatcher seats, 2,000-3,500 calls/month, standard features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t xml:space="preserve">Tier 3: Medium (7-8 seats)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t xml:space="preserve">$5,400/month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t xml:space="preserve">7-8 dispatcher seats, 3,500-4,500 calls/month, full Essential features</w:t>
            </w:r>
          </w:p>
        </w:tc>
      </w:tr>
      <w:tr>
        <w:tc>
          <w:tcPr>
            <w:tcW w:type="pct" w:w="25%"/>
            <w:shd w:fill="F0F0F0" w:val="solid"/>
            <w:vAlign w:val="center"/>
          </w:tcPr>
          <w:p>
            <w:pPr>
              <w:jc w:val="left"/>
            </w:pPr>
            <w:r>
              <w:t xml:space="preserve">Tier 4: Large (9-10 seats)</w:t>
            </w:r>
          </w:p>
        </w:tc>
        <w:tc>
          <w:tcPr>
            <w:tcW w:type="pct" w:w="20%"/>
            <w:shd w:fill="F0F0F0" w:val="solid"/>
            <w:vAlign w:val="center"/>
          </w:tcPr>
          <w:p>
            <w:pPr>
              <w:jc w:val="left"/>
            </w:pPr>
            <w:r>
              <w:t xml:space="preserve">$6,000/month</w:t>
            </w:r>
          </w:p>
        </w:tc>
        <w:tc>
          <w:tcPr>
            <w:tcW w:type="pct" w:w="55%"/>
            <w:shd w:fill="F0F0F0" w:val="solid"/>
            <w:vAlign w:val="center"/>
          </w:tcPr>
          <w:p>
            <w:pPr>
              <w:jc w:val="left"/>
            </w:pPr>
            <w:r>
              <w:t xml:space="preserve">9-10 dispatcher seats, 4,500-5,000 calls/month, maxed Essential features</w:t>
            </w:r>
          </w:p>
        </w:tc>
      </w:tr>
    </w:tbl>
    <w:p>
      <w:pPr>
        <w:spacing w:after="200"/>
      </w:pPr>
    </w:p>
    <w:p>
      <w:pPr>
        <w:pStyle w:val="Heading2"/>
        <w:spacing w:after="200" w:before="400"/>
      </w:pPr>
      <w:r>
        <w:t xml:space="preserve">Annual Contracts (Prepaid)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2E75B6" w:color="FFFFFF" w:val="solid"/>
            <w:vAlign w:val="center"/>
          </w:tcPr>
          <w:p>
            <w:pPr>
              <w:jc w:val="center"/>
            </w:pPr>
            <w:r>
              <w:t xml:space="preserve">Tier</w:t>
            </w:r>
          </w:p>
        </w:tc>
        <w:tc>
          <w:tcPr>
            <w:tcW w:type="pct" w:w="20%"/>
            <w:shd w:fill="2E75B6" w:color="FFFFFF" w:val="solid"/>
            <w:vAlign w:val="center"/>
          </w:tcPr>
          <w:p>
            <w:pPr>
              <w:jc w:val="center"/>
            </w:pPr>
            <w:r>
              <w:t xml:space="preserve">Annual Fee</w:t>
            </w:r>
          </w:p>
        </w:tc>
        <w:tc>
          <w:tcPr>
            <w:tcW w:type="pct" w:w="55%"/>
            <w:shd w:fill="2E75B6" w:color="FFFFFF" w:val="solid"/>
            <w:vAlign w:val="center"/>
          </w:tcPr>
          <w:p>
            <w:pPr>
              <w:jc w:val="center"/>
            </w:pPr>
            <w:r>
              <w:t xml:space="preserve">Details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t xml:space="preserve">Tier 1 Annual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t xml:space="preserve">$33,600/year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t xml:space="preserve">Prepaid annual for 1-3 seats (no discount from monthly)</w:t>
            </w:r>
          </w:p>
        </w:tc>
      </w:tr>
      <w:tr>
        <w:tc>
          <w:tcPr>
            <w:tcW w:type="pct" w:w="25%"/>
            <w:shd w:fill="F0F0F0" w:val="solid"/>
            <w:vAlign w:val="center"/>
          </w:tcPr>
          <w:p>
            <w:pPr>
              <w:jc w:val="left"/>
            </w:pPr>
            <w:r>
              <w:t xml:space="preserve">Tier 2 Annual</w:t>
            </w:r>
          </w:p>
        </w:tc>
        <w:tc>
          <w:tcPr>
            <w:tcW w:type="pct" w:w="20%"/>
            <w:shd w:fill="F0F0F0" w:val="solid"/>
            <w:vAlign w:val="center"/>
          </w:tcPr>
          <w:p>
            <w:pPr>
              <w:jc w:val="left"/>
            </w:pPr>
            <w:r>
              <w:t xml:space="preserve">$50,400/year</w:t>
            </w:r>
          </w:p>
        </w:tc>
        <w:tc>
          <w:tcPr>
            <w:tcW w:type="pct" w:w="55%"/>
            <w:shd w:fill="F0F0F0" w:val="solid"/>
            <w:vAlign w:val="center"/>
          </w:tcPr>
          <w:p>
            <w:pPr>
              <w:jc w:val="left"/>
            </w:pPr>
            <w:r>
              <w:t xml:space="preserve">Prepaid annual for 4-6 seats (no discount from monthly)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t xml:space="preserve">Tier 3 Annual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t xml:space="preserve">$64,800/year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t xml:space="preserve">Prepaid annual for 7-8 seats (no discount from monthly)</w:t>
            </w:r>
          </w:p>
        </w:tc>
      </w:tr>
      <w:tr>
        <w:tc>
          <w:tcPr>
            <w:tcW w:type="pct" w:w="25%"/>
            <w:shd w:fill="F0F0F0" w:val="solid"/>
            <w:vAlign w:val="center"/>
          </w:tcPr>
          <w:p>
            <w:pPr>
              <w:jc w:val="left"/>
            </w:pPr>
            <w:r>
              <w:t xml:space="preserve">Tier 4 Annual</w:t>
            </w:r>
          </w:p>
        </w:tc>
        <w:tc>
          <w:tcPr>
            <w:tcW w:type="pct" w:w="20%"/>
            <w:shd w:fill="F0F0F0" w:val="solid"/>
            <w:vAlign w:val="center"/>
          </w:tcPr>
          <w:p>
            <w:pPr>
              <w:jc w:val="left"/>
            </w:pPr>
            <w:r>
              <w:t xml:space="preserve">$72,000/year</w:t>
            </w:r>
          </w:p>
        </w:tc>
        <w:tc>
          <w:tcPr>
            <w:tcW w:type="pct" w:w="55%"/>
            <w:shd w:fill="F0F0F0" w:val="solid"/>
            <w:vAlign w:val="center"/>
          </w:tcPr>
          <w:p>
            <w:pPr>
              <w:jc w:val="left"/>
            </w:pPr>
            <w:r>
              <w:t xml:space="preserve">Prepaid annual for 9-10 seats (no discount from monthly)</w:t>
            </w:r>
          </w:p>
        </w:tc>
      </w:tr>
    </w:tbl>
    <w:p>
      <w:pPr>
        <w:spacing w:after="200"/>
      </w:pPr>
    </w:p>
    <w:p>
      <w:pPr>
        <w:pageBreakBefore/>
      </w:pPr>
    </w:p>
    <w:p>
      <w:pPr>
        <w:pStyle w:val="Heading2"/>
        <w:spacing w:after="200" w:before="200"/>
      </w:pPr>
      <w:r>
        <w:t xml:space="preserve">Per-Seat Pricing</w:t>
      </w:r>
    </w:p>
    <w:p>
      <w:r>
        <w:t xml:space="preserve">Dispatcher Seats: Up to 10 included in base monthly fee</w:t>
      </w:r>
    </w:p>
    <w:p>
      <w:r>
        <w:t xml:space="preserve">Additional Dispatcher Seats: $150/seat/month (flat rate for seats 11+)</w:t>
      </w:r>
    </w:p>
    <w:p/>
    <w:p>
      <w:r>
        <w:t xml:space="preserve">Admin/Supervisor Seats: Up to 3 included in base monthly fee</w:t>
      </w:r>
    </w:p>
    <w:p>
      <w:pPr>
        <w:spacing w:after="400"/>
      </w:pPr>
      <w:r>
        <w:t xml:space="preserve">Additional Admin Seats: $100/seat/month (flat rate for seats 4+)</w:t>
      </w:r>
    </w:p>
    <w:p>
      <w:pPr>
        <w:pStyle w:val="Heading2"/>
        <w:spacing w:after="200" w:before="400"/>
      </w:pPr>
      <w:r>
        <w:t xml:space="preserve">Setup &amp; Implementation Fees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2E75B6" w:color="FFFFFF" w:val="solid"/>
            <w:vAlign w:val="center"/>
          </w:tcPr>
          <w:p>
            <w:pPr>
              <w:jc w:val="center"/>
            </w:pPr>
            <w:r>
              <w:t xml:space="preserve">Package</w:t>
            </w:r>
          </w:p>
        </w:tc>
        <w:tc>
          <w:tcPr>
            <w:tcW w:type="pct" w:w="20%"/>
            <w:shd w:fill="2E75B6" w:color="FFFFFF" w:val="solid"/>
            <w:vAlign w:val="center"/>
          </w:tcPr>
          <w:p>
            <w:pPr>
              <w:jc w:val="center"/>
            </w:pPr>
            <w:r>
              <w:t xml:space="preserve">Price</w:t>
            </w:r>
          </w:p>
        </w:tc>
        <w:tc>
          <w:tcPr>
            <w:tcW w:type="pct" w:w="55%"/>
            <w:shd w:fill="2E75B6" w:color="FFFFFF" w:val="solid"/>
            <w:vAlign w:val="center"/>
          </w:tcPr>
          <w:p>
            <w:pPr>
              <w:jc w:val="center"/>
            </w:pPr>
            <w:r>
              <w:t xml:space="preserve">Details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t xml:space="preserve">Basic Setup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t xml:space="preserve">$10,000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t xml:space="preserve">Standard config, 1-5 users, 1 training session, no customization</w:t>
            </w:r>
          </w:p>
        </w:tc>
      </w:tr>
      <w:tr>
        <w:tc>
          <w:tcPr>
            <w:tcW w:type="pct" w:w="25%"/>
            <w:shd w:fill="F0F0F0" w:val="solid"/>
            <w:vAlign w:val="center"/>
          </w:tcPr>
          <w:p>
            <w:pPr>
              <w:jc w:val="left"/>
            </w:pPr>
            <w:r>
              <w:t xml:space="preserve">Standard Setup</w:t>
            </w:r>
          </w:p>
        </w:tc>
        <w:tc>
          <w:tcPr>
            <w:tcW w:type="pct" w:w="20%"/>
            <w:shd w:fill="F0F0F0" w:val="solid"/>
            <w:vAlign w:val="center"/>
          </w:tcPr>
          <w:p>
            <w:pPr>
              <w:jc w:val="left"/>
            </w:pPr>
            <w:r>
              <w:t xml:space="preserve">$15,000</w:t>
            </w:r>
          </w:p>
        </w:tc>
        <w:tc>
          <w:tcPr>
            <w:tcW w:type="pct" w:w="55%"/>
            <w:shd w:fill="F0F0F0" w:val="solid"/>
            <w:vAlign w:val="center"/>
          </w:tcPr>
          <w:p>
            <w:pPr>
              <w:jc w:val="left"/>
            </w:pPr>
            <w:r>
              <w:t xml:space="preserve">Standard config, 6-8 users, 2 training sessions, light customization</w:t>
            </w:r>
          </w:p>
        </w:tc>
      </w:tr>
      <w:tr>
        <w:tc>
          <w:tcPr>
            <w:tcW w:type="pct" w:w="25%"/>
            <w:vAlign w:val="center"/>
          </w:tcPr>
          <w:p>
            <w:pPr>
              <w:jc w:val="left"/>
            </w:pPr>
            <w:r>
              <w:t xml:space="preserve">Advanced Setup</w:t>
            </w:r>
          </w:p>
        </w:tc>
        <w:tc>
          <w:tcPr>
            <w:tcW w:type="pct" w:w="20%"/>
            <w:vAlign w:val="center"/>
          </w:tcPr>
          <w:p>
            <w:pPr>
              <w:jc w:val="left"/>
            </w:pPr>
            <w:r>
              <w:t xml:space="preserve">$20,000</w:t>
            </w:r>
          </w:p>
        </w:tc>
        <w:tc>
          <w:tcPr>
            <w:tcW w:type="pct" w:w="55%"/>
            <w:vAlign w:val="center"/>
          </w:tcPr>
          <w:p>
            <w:pPr>
              <w:jc w:val="left"/>
            </w:pPr>
            <w:r>
              <w:t xml:space="preserve">Custom workflows, 9-10 users, 3-4 training sessions, full CAD discovery</w:t>
            </w:r>
          </w:p>
        </w:tc>
      </w:tr>
      <w:tr>
        <w:tc>
          <w:tcPr>
            <w:tcW w:type="pct" w:w="25%"/>
            <w:shd w:fill="F0F0F0" w:val="solid"/>
            <w:vAlign w:val="center"/>
          </w:tcPr>
          <w:p>
            <w:pPr>
              <w:jc w:val="left"/>
            </w:pPr>
            <w:r>
              <w:t xml:space="preserve">Premium Setup</w:t>
            </w:r>
          </w:p>
        </w:tc>
        <w:tc>
          <w:tcPr>
            <w:tcW w:type="pct" w:w="20%"/>
            <w:shd w:fill="F0F0F0" w:val="solid"/>
            <w:vAlign w:val="center"/>
          </w:tcPr>
          <w:p>
            <w:pPr>
              <w:jc w:val="left"/>
            </w:pPr>
            <w:r>
              <w:t xml:space="preserve">$25,000</w:t>
            </w:r>
          </w:p>
        </w:tc>
        <w:tc>
          <w:tcPr>
            <w:tcW w:type="pct" w:w="55%"/>
            <w:shd w:fill="F0F0F0" w:val="solid"/>
            <w:vAlign w:val="center"/>
          </w:tcPr>
          <w:p>
            <w:pPr>
              <w:jc w:val="left"/>
            </w:pPr>
            <w:r>
              <w:t xml:space="preserve">Complex workflows, 10+ users, 4+ training sessions, vendor coordination</w:t>
            </w:r>
          </w:p>
        </w:tc>
      </w:tr>
    </w:tbl>
    <w:p>
      <w:pPr>
        <w:spacing w:after="200"/>
      </w:pPr>
    </w:p>
    <w:p>
      <w:pPr>
        <w:spacing w:after="400" w:before="800"/>
      </w:pPr>
      <w:r>
        <w:t xml:space="preserve">Note: For complete pricing on Professional, Command, Enterprise plans and all add-ons, see accompanying Excel file: Rapid_Cortex_Complete_Pricing_Guide.xlsx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2026-04-26T20:47:15.037Z</dcterms:created>
  <dcterms:modified xsi:type="dcterms:W3CDTF">2026-04-26T20:47:15.063Z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