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E4D8C" w:sz="24"/>
        </w:pBdr>
        <w:spacing w:after="0" w:before="0"/>
      </w:pPr>
    </w:p>
    <w:p>
      <w:pPr>
        <w:spacing w:after="180" w:before="0"/>
      </w:pPr>
    </w:p>
    <w:p>
      <w:pPr>
        <w:spacing w:after="40" w:before="0"/>
        <w:jc w:val="center"/>
      </w:pPr>
      <w:r>
        <w:rPr>
          <w:rFonts w:ascii="Arial" w:cs="Arial" w:eastAsia="Arial" w:hAnsi="Arial"/>
          <w:b/>
          <w:bCs/>
          <w:caps/>
          <w:color w:val="1E4D8C"/>
          <w:sz w:val="44"/>
          <w:szCs w:val="44"/>
        </w:rPr>
        <w:t xml:space="preserve">APPS ON DEMAND</w:t>
      </w:r>
    </w:p>
    <w:p>
      <w:pPr>
        <w:spacing w:after="30" w:before="0"/>
        <w:jc w:val="center"/>
      </w:pPr>
      <w:r>
        <w:rPr>
          <w:rFonts w:ascii="Arial" w:cs="Arial" w:eastAsia="Arial" w:hAnsi="Arial"/>
          <w:i/>
          <w:iCs/>
          <w:color w:val="8A9BB0"/>
          <w:sz w:val="20"/>
          <w:szCs w:val="20"/>
        </w:rPr>
        <w:t xml:space="preserve">NexCort iQ Platform  —  Intelligence at the Speed of Response</w:t>
      </w:r>
    </w:p>
    <w:p>
      <w:pPr>
        <w:spacing w:after="120" w:before="0"/>
      </w:pPr>
    </w:p>
    <w:p>
      <w:pPr>
        <w:pBdr>
          <w:bottom w:val="single" w:color="1E4D8C" w:sz="12" w:space="1"/>
        </w:pBdr>
        <w:spacing w:after="120" w:before="0"/>
      </w:pPr>
    </w:p>
    <w:p>
      <w:pPr>
        <w:spacing w:after="60" w:before="0"/>
      </w:pPr>
    </w:p>
    <w:p>
      <w:pPr>
        <w:spacing w:after="40" w:before="0"/>
        <w:jc w:val="center"/>
      </w:pPr>
      <w:r>
        <w:rPr>
          <w:rFonts w:ascii="Arial" w:cs="Arial" w:eastAsia="Arial" w:hAnsi="Arial"/>
          <w:b/>
          <w:bCs/>
          <w:caps/>
          <w:color w:val="0D1B2A"/>
          <w:sz w:val="38"/>
          <w:szCs w:val="38"/>
        </w:rPr>
        <w:t xml:space="preserve">Founding Leadership Agreement</w:t>
      </w:r>
    </w:p>
    <w:p>
      <w:pPr>
        <w:spacing w:after="60" w:before="0"/>
        <w:jc w:val="center"/>
      </w:pPr>
      <w:r>
        <w:rPr>
          <w:rFonts w:ascii="Arial" w:cs="Arial" w:eastAsia="Arial" w:hAnsi="Arial"/>
          <w:i/>
          <w:iCs/>
          <w:color w:val="8A9BB0"/>
          <w:sz w:val="22"/>
          <w:szCs w:val="22"/>
        </w:rPr>
        <w:t xml:space="preserve">CRO  |  Marketing Director  |  Business Development Director  |  Founding Partners</w:t>
      </w:r>
    </w:p>
    <w:p>
      <w:pPr>
        <w:spacing w:after="80" w:before="0"/>
      </w:pPr>
    </w:p>
    <w:tbl>
      <w:tblPr>
        <w:tblW w:type="dxa" w:w="4320"/>
        <w:tblBorders>
          <w:top w:val="single" w:color="auto" w:sz="4"/>
          <w:left w:val="single" w:color="auto" w:sz="4"/>
          <w:bottom w:val="single" w:color="auto" w:sz="4"/>
          <w:right w:val="single" w:color="auto" w:sz="4"/>
          <w:insideH w:val="single" w:color="auto" w:sz="4"/>
          <w:insideV w:val="single" w:color="auto" w:sz="4"/>
        </w:tblBorders>
      </w:tblPr>
      <w:tblGrid>
        <w:gridCol w:w="4320"/>
      </w:tblGrid>
      <w:tr>
        <w:tc>
          <w:tcPr>
            <w:tcW w:type="dxa" w:w="4320"/>
            <w:tcBorders>
              <w:top w:val="single" w:color="1E4D8C" w:sz="1"/>
              <w:left w:val="single" w:color="1E4D8C" w:sz="1"/>
              <w:bottom w:val="single" w:color="1E4D8C" w:sz="1"/>
              <w:right w:val="single" w:color="1E4D8C" w:sz="1"/>
            </w:tcBorders>
            <w:shd w:fill="D6E4F7" w:val="clear"/>
            <w:tcMar>
              <w:top w:type="dxa" w:w="120"/>
              <w:left w:type="dxa" w:w="180"/>
              <w:bottom w:type="dxa" w:w="120"/>
              <w:right w:type="dxa" w:w="180"/>
            </w:tcMar>
          </w:tcPr>
          <w:p>
            <w:pPr>
              <w:jc w:val="center"/>
            </w:pPr>
            <w:r>
              <w:rPr>
                <w:rFonts w:ascii="Arial" w:cs="Arial" w:eastAsia="Arial" w:hAnsi="Arial"/>
                <w:b/>
                <w:bCs/>
                <w:color w:val="1E4D8C"/>
                <w:sz w:val="20"/>
                <w:szCs w:val="20"/>
              </w:rPr>
              <w:t xml:space="preserve">CATEGORY 2: FOUNDING PARTNER  —  NOT AN EMPLOYMENT AGREEMENT  —  EQUITY-BASED ENGAGEMENT</w:t>
            </w:r>
          </w:p>
        </w:tc>
      </w:tr>
    </w:tbl>
    <w:p>
      <w:pPr>
        <w:spacing w:after="120" w:before="0"/>
      </w:pPr>
    </w:p>
    <w:p>
      <w:pPr>
        <w:pBdr>
          <w:bottom w:val="single" w:color="1E4D8C" w:sz="12" w:space="1"/>
        </w:pBdr>
        <w:spacing w:after="12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Company</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Apps on Demand (Legal Entity — Entity Type: [LLC / Inc.])</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Platform</w:t>
            </w:r>
          </w:p>
        </w:tc>
        <w:tc>
          <w:tcPr>
            <w:tcW w:type="dxa" w:w="6560"/>
            <w:tcBorders>
              <w:top w:val="single" w:color="D0D6DF" w:sz="1"/>
              <w:left w:val="single" w:color="D0D6DF" w:sz="1"/>
              <w:bottom w:val="single" w:color="D0D6DF" w:sz="1"/>
              <w:right w:val="single" w:color="D0D6DF" w:sz="1"/>
            </w:tcBorders>
            <w:shd w:fill="FFFFFF" w:val="clear"/>
            <w:tcMar>
              <w:top w:type="dxa" w:w="90"/>
              <w:left w:type="dxa" w:w="140"/>
              <w:bottom w:type="dxa" w:w="90"/>
              <w:right w:type="dxa" w:w="140"/>
            </w:tcMar>
          </w:tcPr>
          <w:p>
            <w:r>
              <w:rPr>
                <w:rFonts w:ascii="Arial" w:cs="Arial" w:eastAsia="Arial" w:hAnsi="Arial"/>
                <w:i w:val="false"/>
                <w:iCs w:val="false"/>
                <w:color w:val="0D1B2A"/>
                <w:sz w:val="22"/>
                <w:szCs w:val="22"/>
              </w:rPr>
              <w:t xml:space="preserve">NexCort iQ — Intelligence at the Speed of Response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Partner Name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[FULL LEGAL NAME]</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Title / Role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[CRO / Marketing Director / Business Development Director / Other]</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Equity Granted</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[X.XX%] — Subject to Equity Vesting Agreement</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Effective Date</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[DATE OF EXECUTION]</w:t>
            </w:r>
          </w:p>
        </w:tc>
      </w:tr>
      <w:tr>
        <w:tc>
          <w:tcPr>
            <w:tcW w:type="dxa" w:w="2800"/>
            <w:tcBorders>
              <w:top w:val="single" w:color="D0D6DF" w:sz="1"/>
              <w:left w:val="single" w:color="D0D6DF" w:sz="1"/>
              <w:bottom w:val="single" w:color="D0D6DF" w:sz="1"/>
              <w:right w:val="single" w:color="D0D6DF" w:sz="1"/>
            </w:tcBorders>
            <w:shd w:fill="D6E4F7" w:val="clear"/>
            <w:tcMar>
              <w:top w:type="dxa" w:w="90"/>
              <w:left w:type="dxa" w:w="140"/>
              <w:bottom w:type="dxa" w:w="90"/>
              <w:right w:type="dxa" w:w="140"/>
            </w:tcMar>
            <w:vAlign w:val="center"/>
          </w:tcPr>
          <w:p>
            <w:r>
              <w:rPr>
                <w:rFonts w:ascii="Arial" w:cs="Arial" w:eastAsia="Arial" w:hAnsi="Arial"/>
                <w:b/>
                <w:bCs/>
                <w:color w:val="1B3A6B"/>
                <w:sz w:val="22"/>
                <w:szCs w:val="22"/>
              </w:rPr>
              <w:t xml:space="preserve">Agreement No.</w:t>
            </w:r>
          </w:p>
        </w:tc>
        <w:tc>
          <w:tcPr>
            <w:tcW w:type="dxa" w:w="6560"/>
            <w:tcBorders>
              <w:top w:val="single" w:color="C0392B" w:sz="1"/>
              <w:left w:val="single" w:color="C0392B" w:sz="1"/>
              <w:bottom w:val="single" w:color="C0392B" w:sz="1"/>
              <w:right w:val="single" w:color="C0392B" w:sz="1"/>
            </w:tcBorders>
            <w:shd w:fill="FFF5F5" w:val="clear"/>
            <w:tcMar>
              <w:top w:type="dxa" w:w="90"/>
              <w:left w:type="dxa" w:w="140"/>
              <w:bottom w:type="dxa" w:w="90"/>
              <w:right w:type="dxa" w:w="140"/>
            </w:tcMar>
          </w:tcPr>
          <w:p>
            <w:r>
              <w:rPr>
                <w:rFonts w:ascii="Arial" w:cs="Arial" w:eastAsia="Arial" w:hAnsi="Arial"/>
                <w:i/>
                <w:iCs/>
                <w:color w:val="C0392B"/>
                <w:sz w:val="22"/>
                <w:szCs w:val="22"/>
              </w:rPr>
              <w:t xml:space="preserve">[AOD-FLA-XXXX]</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FF5F5" w:val="clear"/>
            <w:tcMar>
              <w:top w:type="dxa" w:w="120"/>
              <w:left w:type="dxa" w:w="180"/>
              <w:bottom w:type="dxa" w:w="120"/>
              <w:right w:type="dxa" w:w="180"/>
            </w:tcMar>
          </w:tcPr>
          <w:p>
            <w:pPr>
              <w:jc w:val="center"/>
            </w:pPr>
            <w:r>
              <w:rPr>
                <w:rFonts w:ascii="Arial" w:cs="Arial" w:eastAsia="Arial" w:hAnsi="Arial"/>
                <w:b/>
                <w:bCs/>
                <w:color w:val="C0392B"/>
                <w:sz w:val="21"/>
                <w:szCs w:val="21"/>
              </w:rPr>
              <w:t xml:space="preserve">THIS IS NOT AN EMPLOYMENT AGREEMENT. INDIVIDUAL IS AN INDEPENDENT FOUNDING PARTNER, NOT AN EMPLOYEE. NO EMPLOYER-EMPLOYEE RELATIONSHIP IS CREATED HEREBY.</w:t>
            </w:r>
          </w:p>
        </w:tc>
      </w:tr>
    </w:tbl>
    <w:p>
      <w:pPr>
        <w:spacing w:after="100" w:before="0"/>
      </w:pPr>
    </w:p>
    <w:p>
      <w:r>
        <w:br w:type="page"/>
      </w:r>
    </w:p>
    <w:p>
      <w:pPr>
        <w:pStyle w:val="Heading1"/>
        <w:spacing w:after="100" w:before="320"/>
      </w:pPr>
      <w:r>
        <w:rPr>
          <w:rFonts w:ascii="Arial" w:cs="Arial" w:eastAsia="Arial" w:hAnsi="Arial"/>
          <w:b/>
          <w:bCs/>
          <w:caps/>
          <w:color w:val="1B3A6B"/>
          <w:sz w:val="28"/>
          <w:szCs w:val="28"/>
        </w:rPr>
        <w:t xml:space="preserve">Recitals</w:t>
      </w:r>
    </w:p>
    <w:p>
      <w:pPr>
        <w:spacing w:after="140" w:before="0"/>
        <w:jc w:val="both"/>
      </w:pPr>
      <w:r>
        <w:rPr>
          <w:rFonts w:ascii="Arial" w:cs="Arial" w:eastAsia="Arial" w:hAnsi="Arial"/>
          <w:color w:val="0D1B2A"/>
          <w:sz w:val="22"/>
          <w:szCs w:val="22"/>
        </w:rPr>
        <w:t xml:space="preserve">WHEREAS, Apps on Demand ("Company") is an early-stage technology company developing and operating the NexCort iQ platform — an artificial intelligence-powered public safety intelligence and decision-support platform serving 911 dispatch centers, emergency communications centers, law enforcement, fire rescue, EMS, and emergency management agencies;</w:t>
      </w:r>
    </w:p>
    <w:p>
      <w:pPr>
        <w:spacing w:after="140" w:before="0"/>
        <w:jc w:val="both"/>
      </w:pPr>
      <w:r>
        <w:rPr>
          <w:rFonts w:ascii="Arial" w:cs="Arial" w:eastAsia="Arial" w:hAnsi="Arial"/>
          <w:color w:val="0D1B2A"/>
          <w:sz w:val="22"/>
          <w:szCs w:val="22"/>
        </w:rPr>
        <w:t xml:space="preserve">WHEREAS, Company is operating as a bootstrap startup and is building a founding team of driven, mission-aligned professionals who believe in the platform's mission and are willing to contribute their expertise in exchange for a founding equity stake with the opportunity to earn future compensation as the Company grows;</w:t>
      </w:r>
    </w:p>
    <w:p>
      <w:pPr>
        <w:spacing w:after="140" w:before="0"/>
        <w:jc w:val="both"/>
      </w:pPr>
      <w:r>
        <w:rPr>
          <w:rFonts w:ascii="Arial" w:cs="Arial" w:eastAsia="Arial" w:hAnsi="Arial"/>
          <w:color w:val="0D1B2A"/>
          <w:sz w:val="22"/>
          <w:szCs w:val="22"/>
        </w:rPr>
        <w:t xml:space="preserve">WHEREAS, Individual brings relevant skills, experience, and leadership capabilities in the area indicated above and desires to join Company as a Founding Partner to actively contribute to Company's growth, business development, and operational success;</w:t>
      </w:r>
    </w:p>
    <w:p>
      <w:pPr>
        <w:spacing w:after="140" w:before="0"/>
        <w:jc w:val="both"/>
      </w:pPr>
      <w:r>
        <w:rPr>
          <w:rFonts w:ascii="Arial" w:cs="Arial" w:eastAsia="Arial" w:hAnsi="Arial"/>
          <w:color w:val="0D1B2A"/>
          <w:sz w:val="22"/>
          <w:szCs w:val="22"/>
        </w:rPr>
        <w:t xml:space="preserve">WHEREAS, the parties expressly acknowledge that Individual is NOT being hired as an employee and will NOT receive wages, salary, or benefits; that Individual is joining as an independent founding partner whose current compensation consists entirely of equity; and that any future salary or monetary compensation is subject to Company's revenue growth and a future written agreement;</w:t>
      </w:r>
    </w:p>
    <w:p>
      <w:pPr>
        <w:spacing w:after="140" w:before="0"/>
        <w:jc w:val="both"/>
      </w:pPr>
      <w:r>
        <w:rPr>
          <w:rFonts w:ascii="Arial" w:cs="Arial" w:eastAsia="Arial" w:hAnsi="Arial"/>
          <w:color w:val="0D1B2A"/>
          <w:sz w:val="22"/>
          <w:szCs w:val="22"/>
        </w:rPr>
        <w:t xml:space="preserve">NOW, THEREFORE, in consideration of the mutual covenants herein and other good and valuable consideration, the parties agree as follows:</w:t>
      </w:r>
    </w:p>
    <w:p>
      <w:pPr>
        <w:spacing w:after="80" w:before="0"/>
      </w:pPr>
    </w:p>
    <w:p>
      <w:pPr>
        <w:pStyle w:val="Heading1"/>
        <w:spacing w:after="100" w:before="320"/>
      </w:pPr>
      <w:r>
        <w:rPr>
          <w:rFonts w:ascii="Arial" w:cs="Arial" w:eastAsia="Arial" w:hAnsi="Arial"/>
          <w:b/>
          <w:bCs/>
          <w:caps/>
          <w:color w:val="1B3A6B"/>
          <w:sz w:val="28"/>
          <w:szCs w:val="28"/>
        </w:rPr>
        <w:t xml:space="preserve">Article 1 — Definitions</w:t>
      </w:r>
    </w:p>
    <w:p>
      <w:pPr>
        <w:spacing w:after="60" w:before="180"/>
      </w:pPr>
      <w:r>
        <w:rPr>
          <w:rFonts w:ascii="Arial" w:cs="Arial" w:eastAsia="Arial" w:hAnsi="Arial"/>
          <w:b/>
          <w:bCs/>
          <w:color w:val="1E4D8C"/>
          <w:sz w:val="22"/>
          <w:szCs w:val="22"/>
        </w:rPr>
        <w:t xml:space="preserve">1.1  </w:t>
      </w:r>
      <w:r>
        <w:rPr>
          <w:rFonts w:ascii="Arial" w:cs="Arial" w:eastAsia="Arial" w:hAnsi="Arial"/>
          <w:b/>
          <w:bCs/>
          <w:color w:val="0D1B2A"/>
          <w:sz w:val="22"/>
          <w:szCs w:val="22"/>
        </w:rPr>
        <w:t xml:space="preserve">"Company"</w:t>
      </w:r>
    </w:p>
    <w:p>
      <w:pPr>
        <w:spacing w:after="140" w:before="0"/>
        <w:jc w:val="both"/>
      </w:pPr>
      <w:r>
        <w:rPr>
          <w:rFonts w:ascii="Arial" w:cs="Arial" w:eastAsia="Arial" w:hAnsi="Arial"/>
          <w:color w:val="0D1B2A"/>
          <w:sz w:val="22"/>
          <w:szCs w:val="22"/>
        </w:rPr>
        <w:t xml:space="preserve">Apps on Demand, a [Georgia / state of formation] company, operating the NexCort iQ public safety platform, including its officers, managers, members, successors, and permitted assigns.</w:t>
      </w:r>
    </w:p>
    <w:p>
      <w:pPr>
        <w:spacing w:after="60" w:before="180"/>
      </w:pPr>
      <w:r>
        <w:rPr>
          <w:rFonts w:ascii="Arial" w:cs="Arial" w:eastAsia="Arial" w:hAnsi="Arial"/>
          <w:b/>
          <w:bCs/>
          <w:color w:val="1E4D8C"/>
          <w:sz w:val="22"/>
          <w:szCs w:val="22"/>
        </w:rPr>
        <w:t xml:space="preserve">1.2  </w:t>
      </w:r>
      <w:r>
        <w:rPr>
          <w:rFonts w:ascii="Arial" w:cs="Arial" w:eastAsia="Arial" w:hAnsi="Arial"/>
          <w:b/>
          <w:bCs/>
          <w:color w:val="0D1B2A"/>
          <w:sz w:val="22"/>
          <w:szCs w:val="22"/>
        </w:rPr>
        <w:t xml:space="preserve">"Founding Partner" / "Individual"</w:t>
      </w:r>
    </w:p>
    <w:p>
      <w:pPr>
        <w:spacing w:after="140" w:before="0"/>
        <w:jc w:val="both"/>
      </w:pPr>
      <w:r>
        <w:rPr>
          <w:rFonts w:ascii="Arial" w:cs="Arial" w:eastAsia="Arial" w:hAnsi="Arial"/>
          <w:color w:val="0D1B2A"/>
          <w:sz w:val="22"/>
          <w:szCs w:val="22"/>
        </w:rPr>
        <w:t xml:space="preserve">The person identified in the cover page of this Agreement who joins Company in a founding leadership role as an independent partner — not an employee — contributing active work in exchange for equity and future compensation opportunities.</w:t>
      </w:r>
    </w:p>
    <w:p>
      <w:pPr>
        <w:spacing w:after="60" w:before="180"/>
      </w:pPr>
      <w:r>
        <w:rPr>
          <w:rFonts w:ascii="Arial" w:cs="Arial" w:eastAsia="Arial" w:hAnsi="Arial"/>
          <w:b/>
          <w:bCs/>
          <w:color w:val="1E4D8C"/>
          <w:sz w:val="22"/>
          <w:szCs w:val="22"/>
        </w:rPr>
        <w:t xml:space="preserve">1.3  </w:t>
      </w:r>
      <w:r>
        <w:rPr>
          <w:rFonts w:ascii="Arial" w:cs="Arial" w:eastAsia="Arial" w:hAnsi="Arial"/>
          <w:b/>
          <w:bCs/>
          <w:color w:val="0D1B2A"/>
          <w:sz w:val="22"/>
          <w:szCs w:val="22"/>
        </w:rPr>
        <w:t xml:space="preserve">"Founding Role"</w:t>
      </w:r>
    </w:p>
    <w:p>
      <w:pPr>
        <w:spacing w:after="140" w:before="0"/>
        <w:jc w:val="both"/>
      </w:pPr>
      <w:r>
        <w:rPr>
          <w:rFonts w:ascii="Arial" w:cs="Arial" w:eastAsia="Arial" w:hAnsi="Arial"/>
          <w:color w:val="0D1B2A"/>
          <w:sz w:val="22"/>
          <w:szCs w:val="22"/>
        </w:rPr>
        <w:t xml:space="preserve">The specific leadership position and responsibilities assigned to Individual as designated in the cover page and described in Article 3.</w:t>
      </w:r>
    </w:p>
    <w:p>
      <w:pPr>
        <w:spacing w:after="60" w:before="180"/>
      </w:pPr>
      <w:r>
        <w:rPr>
          <w:rFonts w:ascii="Arial" w:cs="Arial" w:eastAsia="Arial" w:hAnsi="Arial"/>
          <w:b/>
          <w:bCs/>
          <w:color w:val="1E4D8C"/>
          <w:sz w:val="22"/>
          <w:szCs w:val="22"/>
        </w:rPr>
        <w:t xml:space="preserve">1.4  </w:t>
      </w:r>
      <w:r>
        <w:rPr>
          <w:rFonts w:ascii="Arial" w:cs="Arial" w:eastAsia="Arial" w:hAnsi="Arial"/>
          <w:b/>
          <w:bCs/>
          <w:color w:val="0D1B2A"/>
          <w:sz w:val="22"/>
          <w:szCs w:val="22"/>
        </w:rPr>
        <w:t xml:space="preserve">"Equity"</w:t>
      </w:r>
    </w:p>
    <w:p>
      <w:pPr>
        <w:spacing w:after="140" w:before="0"/>
        <w:jc w:val="both"/>
      </w:pPr>
      <w:r>
        <w:rPr>
          <w:rFonts w:ascii="Arial" w:cs="Arial" w:eastAsia="Arial" w:hAnsi="Arial"/>
          <w:color w:val="0D1B2A"/>
          <w:sz w:val="22"/>
          <w:szCs w:val="22"/>
        </w:rPr>
        <w:t xml:space="preserve">Membership interests, stock options, restricted equity units, or such other equity instrument as determined by Company's governing documents and applicable securities law, granted to Founding Partner as compensation for contributions.</w:t>
      </w:r>
    </w:p>
    <w:p>
      <w:pPr>
        <w:spacing w:after="60" w:before="180"/>
      </w:pPr>
      <w:r>
        <w:rPr>
          <w:rFonts w:ascii="Arial" w:cs="Arial" w:eastAsia="Arial" w:hAnsi="Arial"/>
          <w:b/>
          <w:bCs/>
          <w:color w:val="1E4D8C"/>
          <w:sz w:val="22"/>
          <w:szCs w:val="22"/>
        </w:rPr>
        <w:t xml:space="preserve">1.5  </w:t>
      </w:r>
      <w:r>
        <w:rPr>
          <w:rFonts w:ascii="Arial" w:cs="Arial" w:eastAsia="Arial" w:hAnsi="Arial"/>
          <w:b/>
          <w:bCs/>
          <w:color w:val="0D1B2A"/>
          <w:sz w:val="22"/>
          <w:szCs w:val="22"/>
        </w:rPr>
        <w:t xml:space="preserve">"Work Product"</w:t>
      </w:r>
    </w:p>
    <w:p>
      <w:pPr>
        <w:spacing w:after="140" w:before="0"/>
        <w:jc w:val="both"/>
      </w:pPr>
      <w:r>
        <w:rPr>
          <w:rFonts w:ascii="Arial" w:cs="Arial" w:eastAsia="Arial" w:hAnsi="Arial"/>
          <w:color w:val="0D1B2A"/>
          <w:sz w:val="22"/>
          <w:szCs w:val="22"/>
        </w:rPr>
        <w:t xml:space="preserve">All materials, strategies, campaigns, code, customer relationships, processes, analyses, tools, documents, and other work output created or contributed by Individual in connection with the Founding Role.</w:t>
      </w:r>
    </w:p>
    <w:p>
      <w:pPr>
        <w:spacing w:after="60" w:before="180"/>
      </w:pPr>
      <w:r>
        <w:rPr>
          <w:rFonts w:ascii="Arial" w:cs="Arial" w:eastAsia="Arial" w:hAnsi="Arial"/>
          <w:b/>
          <w:bCs/>
          <w:color w:val="1E4D8C"/>
          <w:sz w:val="22"/>
          <w:szCs w:val="22"/>
        </w:rPr>
        <w:t xml:space="preserve">1.6  </w:t>
      </w:r>
      <w:r>
        <w:rPr>
          <w:rFonts w:ascii="Arial" w:cs="Arial" w:eastAsia="Arial" w:hAnsi="Arial"/>
          <w:b/>
          <w:bCs/>
          <w:color w:val="0D1B2A"/>
          <w:sz w:val="22"/>
          <w:szCs w:val="22"/>
        </w:rPr>
        <w:t xml:space="preserve">"Confidential Information"</w:t>
      </w:r>
    </w:p>
    <w:p>
      <w:pPr>
        <w:spacing w:after="140" w:before="0"/>
        <w:jc w:val="both"/>
      </w:pPr>
      <w:r>
        <w:rPr>
          <w:rFonts w:ascii="Arial" w:cs="Arial" w:eastAsia="Arial" w:hAnsi="Arial"/>
          <w:color w:val="0D1B2A"/>
          <w:sz w:val="22"/>
          <w:szCs w:val="22"/>
        </w:rPr>
        <w:t xml:space="preserve">All non-public information relating to Company, its platform, customers, technology, financials, strategy, and operations. Full definition is set forth in Article 7.</w:t>
      </w:r>
    </w:p>
    <w:p>
      <w:pPr>
        <w:spacing w:after="60" w:before="180"/>
      </w:pPr>
      <w:r>
        <w:rPr>
          <w:rFonts w:ascii="Arial" w:cs="Arial" w:eastAsia="Arial" w:hAnsi="Arial"/>
          <w:b/>
          <w:bCs/>
          <w:color w:val="1E4D8C"/>
          <w:sz w:val="22"/>
          <w:szCs w:val="22"/>
        </w:rPr>
        <w:t xml:space="preserve">1.7  </w:t>
      </w:r>
      <w:r>
        <w:rPr>
          <w:rFonts w:ascii="Arial" w:cs="Arial" w:eastAsia="Arial" w:hAnsi="Arial"/>
          <w:b/>
          <w:bCs/>
          <w:color w:val="0D1B2A"/>
          <w:sz w:val="22"/>
          <w:szCs w:val="22"/>
        </w:rPr>
        <w:t xml:space="preserve">"Revenue Target"</w:t>
      </w:r>
    </w:p>
    <w:p>
      <w:pPr>
        <w:spacing w:after="140" w:before="0"/>
        <w:jc w:val="both"/>
      </w:pPr>
      <w:r>
        <w:rPr>
          <w:rFonts w:ascii="Arial" w:cs="Arial" w:eastAsia="Arial" w:hAnsi="Arial"/>
          <w:color w:val="0D1B2A"/>
          <w:sz w:val="22"/>
          <w:szCs w:val="22"/>
        </w:rPr>
        <w:t xml:space="preserve">The specific revenue milestone attached to certain equity tranches or compensation triggers, as specified in Article 4 and the Equity Vesting Agreement.</w:t>
      </w:r>
    </w:p>
    <w:p>
      <w:pPr>
        <w:spacing w:after="80" w:before="0"/>
      </w:pPr>
    </w:p>
    <w:p>
      <w:pPr>
        <w:pStyle w:val="Heading1"/>
        <w:spacing w:after="100" w:before="320"/>
      </w:pPr>
      <w:r>
        <w:rPr>
          <w:rFonts w:ascii="Arial" w:cs="Arial" w:eastAsia="Arial" w:hAnsi="Arial"/>
          <w:b/>
          <w:bCs/>
          <w:caps/>
          <w:color w:val="1B3A6B"/>
          <w:sz w:val="28"/>
          <w:szCs w:val="28"/>
        </w:rPr>
        <w:t xml:space="preserve">Article 2 — Nature of Relationship</w:t>
      </w:r>
    </w:p>
    <w:p>
      <w:pPr>
        <w:spacing w:after="60" w:before="180"/>
      </w:pPr>
      <w:r>
        <w:rPr>
          <w:rFonts w:ascii="Arial" w:cs="Arial" w:eastAsia="Arial" w:hAnsi="Arial"/>
          <w:b/>
          <w:bCs/>
          <w:color w:val="1E4D8C"/>
          <w:sz w:val="22"/>
          <w:szCs w:val="22"/>
        </w:rPr>
        <w:t xml:space="preserve">2.1  </w:t>
      </w:r>
      <w:r>
        <w:rPr>
          <w:rFonts w:ascii="Arial" w:cs="Arial" w:eastAsia="Arial" w:hAnsi="Arial"/>
          <w:b/>
          <w:bCs/>
          <w:color w:val="0D1B2A"/>
          <w:sz w:val="22"/>
          <w:szCs w:val="22"/>
        </w:rPr>
        <w:t xml:space="preserve">Independent Founding Partner — Not an Employee</w:t>
      </w:r>
    </w:p>
    <w:p>
      <w:pPr>
        <w:spacing w:after="140" w:before="0"/>
        <w:jc w:val="both"/>
      </w:pPr>
      <w:r>
        <w:rPr>
          <w:rFonts w:ascii="Arial" w:cs="Arial" w:eastAsia="Arial" w:hAnsi="Arial"/>
          <w:color w:val="0D1B2A"/>
          <w:sz w:val="22"/>
          <w:szCs w:val="22"/>
        </w:rPr>
        <w:t xml:space="preserve">Individual is engaged by Company as an independent founding partner. This Agreement does not create an employer-employee relationship, a principal-agent relationship, a joint venture, or a partnership as a legal entity. Individual is NOT an employee of Company and is not entitled to:</w:t>
      </w:r>
    </w:p>
    <w:p>
      <w:pPr>
        <w:pStyle w:val="ListParagraph"/>
        <w:numPr>
          <w:ilvl w:val="0"/>
          <w:numId w:val="2"/>
        </w:numPr>
        <w:spacing w:after="90" w:before="0"/>
      </w:pPr>
      <w:r>
        <w:rPr>
          <w:rFonts w:ascii="Arial" w:cs="Arial" w:eastAsia="Arial" w:hAnsi="Arial"/>
          <w:color w:val="0D1B2A"/>
          <w:sz w:val="22"/>
          <w:szCs w:val="22"/>
        </w:rPr>
        <w:t xml:space="preserve">Wages, salary, or any guaranteed monetary compensation under this Agreement;</w:t>
      </w:r>
    </w:p>
    <w:p>
      <w:pPr>
        <w:pStyle w:val="ListParagraph"/>
        <w:numPr>
          <w:ilvl w:val="0"/>
          <w:numId w:val="2"/>
        </w:numPr>
        <w:spacing w:after="90" w:before="0"/>
      </w:pPr>
      <w:r>
        <w:rPr>
          <w:rFonts w:ascii="Arial" w:cs="Arial" w:eastAsia="Arial" w:hAnsi="Arial"/>
          <w:color w:val="0D1B2A"/>
          <w:sz w:val="22"/>
          <w:szCs w:val="22"/>
        </w:rPr>
        <w:t xml:space="preserve">Federal or state minimum wage or overtime protections under the FLSA or any state equivalent;</w:t>
      </w:r>
    </w:p>
    <w:p>
      <w:pPr>
        <w:pStyle w:val="ListParagraph"/>
        <w:numPr>
          <w:ilvl w:val="0"/>
          <w:numId w:val="2"/>
        </w:numPr>
        <w:spacing w:after="90" w:before="0"/>
      </w:pPr>
      <w:r>
        <w:rPr>
          <w:rFonts w:ascii="Arial" w:cs="Arial" w:eastAsia="Arial" w:hAnsi="Arial"/>
          <w:color w:val="0D1B2A"/>
          <w:sz w:val="22"/>
          <w:szCs w:val="22"/>
        </w:rPr>
        <w:t xml:space="preserve">Employee benefits including health insurance, dental, vision, retirement plans, paid time off, sick leave, or workers' compensation;</w:t>
      </w:r>
    </w:p>
    <w:p>
      <w:pPr>
        <w:pStyle w:val="ListParagraph"/>
        <w:numPr>
          <w:ilvl w:val="0"/>
          <w:numId w:val="2"/>
        </w:numPr>
        <w:spacing w:after="90" w:before="0"/>
      </w:pPr>
      <w:r>
        <w:rPr>
          <w:rFonts w:ascii="Arial" w:cs="Arial" w:eastAsia="Arial" w:hAnsi="Arial"/>
          <w:color w:val="0D1B2A"/>
          <w:sz w:val="22"/>
          <w:szCs w:val="22"/>
        </w:rPr>
        <w:t xml:space="preserve">Unemployment insurance benefits upon termination of this engagement;</w:t>
      </w:r>
    </w:p>
    <w:p>
      <w:pPr>
        <w:pStyle w:val="ListParagraph"/>
        <w:numPr>
          <w:ilvl w:val="0"/>
          <w:numId w:val="2"/>
        </w:numPr>
        <w:spacing w:after="90" w:before="0"/>
      </w:pPr>
      <w:r>
        <w:rPr>
          <w:rFonts w:ascii="Arial" w:cs="Arial" w:eastAsia="Arial" w:hAnsi="Arial"/>
          <w:color w:val="0D1B2A"/>
          <w:sz w:val="22"/>
          <w:szCs w:val="22"/>
        </w:rPr>
        <w:t xml:space="preserve">Tax withholding — Individual is solely responsible for all self-employment taxes, income taxes, and other tax obligations on equity and any future compensation received.</w:t>
      </w:r>
    </w:p>
    <w:p>
      <w:pPr>
        <w:spacing w:after="60" w:before="0"/>
      </w:pPr>
    </w:p>
    <w:p>
      <w:pPr>
        <w:spacing w:after="60" w:before="180"/>
      </w:pPr>
      <w:r>
        <w:rPr>
          <w:rFonts w:ascii="Arial" w:cs="Arial" w:eastAsia="Arial" w:hAnsi="Arial"/>
          <w:b/>
          <w:bCs/>
          <w:color w:val="1E4D8C"/>
          <w:sz w:val="22"/>
          <w:szCs w:val="22"/>
        </w:rPr>
        <w:t xml:space="preserve">2.2  </w:t>
      </w:r>
      <w:r>
        <w:rPr>
          <w:rFonts w:ascii="Arial" w:cs="Arial" w:eastAsia="Arial" w:hAnsi="Arial"/>
          <w:b/>
          <w:bCs/>
          <w:color w:val="0D1B2A"/>
          <w:sz w:val="22"/>
          <w:szCs w:val="22"/>
        </w:rPr>
        <w:t xml:space="preserve">No Authority to Bind</w:t>
      </w:r>
    </w:p>
    <w:p>
      <w:pPr>
        <w:spacing w:after="140" w:before="0"/>
        <w:jc w:val="both"/>
      </w:pPr>
      <w:r>
        <w:rPr>
          <w:rFonts w:ascii="Arial" w:cs="Arial" w:eastAsia="Arial" w:hAnsi="Arial"/>
          <w:color w:val="0D1B2A"/>
          <w:sz w:val="22"/>
          <w:szCs w:val="22"/>
        </w:rPr>
        <w:t xml:space="preserve">Individual shall not enter into contracts, make financial commitments, or legally bind Company without prior written authorization from Company's managing member or authorized officer. Individual shall disclose Individual's role accurately when engaging on Company's behalf.</w:t>
      </w:r>
    </w:p>
    <w:p>
      <w:pPr>
        <w:spacing w:after="60" w:before="180"/>
      </w:pPr>
      <w:r>
        <w:rPr>
          <w:rFonts w:ascii="Arial" w:cs="Arial" w:eastAsia="Arial" w:hAnsi="Arial"/>
          <w:b/>
          <w:bCs/>
          <w:color w:val="1E4D8C"/>
          <w:sz w:val="22"/>
          <w:szCs w:val="22"/>
        </w:rPr>
        <w:t xml:space="preserve">2.3  </w:t>
      </w:r>
      <w:r>
        <w:rPr>
          <w:rFonts w:ascii="Arial" w:cs="Arial" w:eastAsia="Arial" w:hAnsi="Arial"/>
          <w:b/>
          <w:bCs/>
          <w:color w:val="0D1B2A"/>
          <w:sz w:val="22"/>
          <w:szCs w:val="22"/>
        </w:rPr>
        <w:t xml:space="preserve">Bootstrap Acknowledgment</w:t>
      </w:r>
    </w:p>
    <w:p>
      <w:pPr>
        <w:spacing w:after="140" w:before="0"/>
        <w:jc w:val="both"/>
      </w:pPr>
      <w:r>
        <w:rPr>
          <w:rFonts w:ascii="Arial" w:cs="Arial" w:eastAsia="Arial" w:hAnsi="Arial"/>
          <w:color w:val="0D1B2A"/>
          <w:sz w:val="22"/>
          <w:szCs w:val="22"/>
        </w:rPr>
        <w:t xml:space="preserve">Individual expressly acknowledges that Company is a bootstrap startup that cannot currently pay wages or salaries. Individual is entering this engagement voluntarily, with full understanding of the equity-only compensation structure, the risks of early-stage startup participation, and the speculative nature of equity value.</w:t>
      </w:r>
    </w:p>
    <w:p>
      <w:pPr>
        <w:spacing w:after="80" w:before="0"/>
      </w:pPr>
    </w:p>
    <w:p>
      <w:pPr>
        <w:pStyle w:val="Heading1"/>
        <w:spacing w:after="100" w:before="320"/>
      </w:pPr>
      <w:r>
        <w:rPr>
          <w:rFonts w:ascii="Arial" w:cs="Arial" w:eastAsia="Arial" w:hAnsi="Arial"/>
          <w:b/>
          <w:bCs/>
          <w:caps/>
          <w:color w:val="1B3A6B"/>
          <w:sz w:val="28"/>
          <w:szCs w:val="28"/>
        </w:rPr>
        <w:t xml:space="preserve">Article 3 — Role, Responsibilities, and Time Commitment</w:t>
      </w:r>
    </w:p>
    <w:p>
      <w:pPr>
        <w:spacing w:after="60" w:before="180"/>
      </w:pPr>
      <w:r>
        <w:rPr>
          <w:rFonts w:ascii="Arial" w:cs="Arial" w:eastAsia="Arial" w:hAnsi="Arial"/>
          <w:b/>
          <w:bCs/>
          <w:color w:val="1E4D8C"/>
          <w:sz w:val="22"/>
          <w:szCs w:val="22"/>
        </w:rPr>
        <w:t xml:space="preserve">3.1  </w:t>
      </w:r>
      <w:r>
        <w:rPr>
          <w:rFonts w:ascii="Arial" w:cs="Arial" w:eastAsia="Arial" w:hAnsi="Arial"/>
          <w:b/>
          <w:bCs/>
          <w:color w:val="0D1B2A"/>
          <w:sz w:val="22"/>
          <w:szCs w:val="22"/>
        </w:rPr>
        <w:t xml:space="preserve">Founding Role</w:t>
      </w:r>
    </w:p>
    <w:p>
      <w:pPr>
        <w:spacing w:after="140" w:before="0"/>
        <w:jc w:val="both"/>
      </w:pPr>
      <w:r>
        <w:rPr>
          <w:rFonts w:ascii="Arial" w:cs="Arial" w:eastAsia="Arial" w:hAnsi="Arial"/>
          <w:color w:val="0D1B2A"/>
          <w:sz w:val="22"/>
          <w:szCs w:val="22"/>
        </w:rPr>
        <w:t xml:space="preserve">Individual will serve in the Founding Role designated in the cover page of this Agreement. The general responsibilities for each founding leadership role are as follows: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E4D8C" w:sz="1"/>
              <w:left w:val="single" w:color="1E4D8C" w:sz="1"/>
              <w:bottom w:val="single" w:color="1E4D8C" w:sz="1"/>
              <w:right w:val="single" w:color="1E4D8C" w:sz="1"/>
            </w:tcBorders>
            <w:shd w:fill="1E4D8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w:t>
            </w:r>
          </w:p>
        </w:tc>
        <w:tc>
          <w:tcPr>
            <w:tcW w:type="dxa" w:w="7160"/>
            <w:tcBorders>
              <w:top w:val="single" w:color="1E4D8C" w:sz="1"/>
              <w:left w:val="single" w:color="1E4D8C" w:sz="1"/>
              <w:bottom w:val="single" w:color="1E4D8C" w:sz="1"/>
              <w:right w:val="single" w:color="1E4D8C" w:sz="1"/>
            </w:tcBorders>
            <w:shd w:fill="1E4D8C"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RESPONSIBILITIES</w:t>
            </w:r>
          </w:p>
        </w:tc>
      </w:tr>
      <w:tr>
        <w:tc>
          <w:tcPr>
            <w:tcW w:type="dxa" w:w="22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vAlign w:val="center"/>
          </w:tcPr>
          <w:p>
            <w:r>
              <w:rPr>
                <w:rFonts w:ascii="Arial" w:cs="Arial" w:eastAsia="Arial" w:hAnsi="Arial"/>
                <w:b/>
                <w:bCs/>
                <w:color w:val="1E4D8C"/>
                <w:sz w:val="20"/>
                <w:szCs w:val="20"/>
              </w:rPr>
              <w:t xml:space="preserve">Chief Revenue Officer (CRO)</w:t>
            </w:r>
          </w:p>
        </w:tc>
        <w:tc>
          <w:tcPr>
            <w:tcW w:type="dxa" w:w="71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r>
              <w:rPr>
                <w:rFonts w:ascii="Arial" w:cs="Arial" w:eastAsia="Arial" w:hAnsi="Arial"/>
                <w:color w:val="0D1B2A"/>
                <w:sz w:val="20"/>
                <w:szCs w:val="20"/>
              </w:rPr>
              <w:t xml:space="preserve">Lead revenue strategy; manage agency sales pipeline; develop pricing and deal structures; close enterprise agreements; build and manage a future sales team; establish revenue reporting.</w:t>
            </w:r>
          </w:p>
        </w:tc>
      </w:tr>
      <w:tr>
        <w:tc>
          <w:tcPr>
            <w:tcW w:type="dxa" w:w="22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vAlign w:val="center"/>
          </w:tcPr>
          <w:p>
            <w:r>
              <w:rPr>
                <w:rFonts w:ascii="Arial" w:cs="Arial" w:eastAsia="Arial" w:hAnsi="Arial"/>
                <w:b/>
                <w:bCs/>
                <w:color w:val="1E4D8C"/>
                <w:sz w:val="20"/>
                <w:szCs w:val="20"/>
              </w:rPr>
              <w:t xml:space="preserve">Marketing Director</w:t>
            </w:r>
          </w:p>
        </w:tc>
        <w:tc>
          <w:tcPr>
            <w:tcW w:type="dxa" w:w="71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r>
              <w:rPr>
                <w:rFonts w:ascii="Arial" w:cs="Arial" w:eastAsia="Arial" w:hAnsi="Arial"/>
                <w:color w:val="0D1B2A"/>
                <w:sz w:val="20"/>
                <w:szCs w:val="20"/>
              </w:rPr>
              <w:t xml:space="preserve">Develop and execute brand strategy; manage digital marketing, social media, and content; produce thought leadership; coordinate trade show and conference presence; generate inbound leads; develop marketing collateral.</w:t>
            </w:r>
          </w:p>
        </w:tc>
      </w:tr>
      <w:tr>
        <w:tc>
          <w:tcPr>
            <w:tcW w:type="dxa" w:w="22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vAlign w:val="center"/>
          </w:tcPr>
          <w:p>
            <w:r>
              <w:rPr>
                <w:rFonts w:ascii="Arial" w:cs="Arial" w:eastAsia="Arial" w:hAnsi="Arial"/>
                <w:b/>
                <w:bCs/>
                <w:color w:val="1E4D8C"/>
                <w:sz w:val="20"/>
                <w:szCs w:val="20"/>
              </w:rPr>
              <w:t xml:space="preserve">Business Development Director</w:t>
            </w:r>
          </w:p>
        </w:tc>
        <w:tc>
          <w:tcPr>
            <w:tcW w:type="dxa" w:w="71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r>
              <w:rPr>
                <w:rFonts w:ascii="Arial" w:cs="Arial" w:eastAsia="Arial" w:hAnsi="Arial"/>
                <w:color w:val="0D1B2A"/>
                <w:sz w:val="20"/>
                <w:szCs w:val="20"/>
              </w:rPr>
              <w:t xml:space="preserve">Identify and develop strategic partnerships; manage integrations with CAD vendors and public safety system providers; develop channel sales; represent Company at industry events; manage MOU and LOI pipeline.</w:t>
            </w:r>
          </w:p>
        </w:tc>
      </w:tr>
      <w:tr>
        <w:tc>
          <w:tcPr>
            <w:tcW w:type="dxa" w:w="22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vAlign w:val="center"/>
          </w:tcPr>
          <w:p>
            <w:r>
              <w:rPr>
                <w:rFonts w:ascii="Arial" w:cs="Arial" w:eastAsia="Arial" w:hAnsi="Arial"/>
                <w:b/>
                <w:bCs/>
                <w:color w:val="1E4D8C"/>
                <w:sz w:val="20"/>
                <w:szCs w:val="20"/>
              </w:rPr>
              <w:t xml:space="preserve">Founding Leadership (General)</w:t>
            </w:r>
          </w:p>
        </w:tc>
        <w:tc>
          <w:tcPr>
            <w:tcW w:type="dxa" w:w="71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r>
              <w:rPr>
                <w:rFonts w:ascii="Arial" w:cs="Arial" w:eastAsia="Arial" w:hAnsi="Arial"/>
                <w:color w:val="0D1B2A"/>
                <w:sz w:val="20"/>
                <w:szCs w:val="20"/>
              </w:rPr>
              <w:t xml:space="preserve">Contribute actively to Company strategy; attend scheduled leadership meetings; execute assigned initiatives; support pilot deployments; help recruit additional team members; represent brand professionally.</w:t>
            </w:r>
          </w:p>
        </w:tc>
      </w:tr>
    </w:tbl>
    <w:p>
      <w:pPr>
        <w:spacing w:after="100" w:before="0"/>
      </w:pPr>
    </w:p>
    <w:p>
      <w:pPr>
        <w:spacing w:after="60" w:before="180"/>
      </w:pPr>
      <w:r>
        <w:rPr>
          <w:rFonts w:ascii="Arial" w:cs="Arial" w:eastAsia="Arial" w:hAnsi="Arial"/>
          <w:b/>
          <w:bCs/>
          <w:color w:val="1E4D8C"/>
          <w:sz w:val="22"/>
          <w:szCs w:val="22"/>
        </w:rPr>
        <w:t xml:space="preserve">3.2  </w:t>
      </w:r>
      <w:r>
        <w:rPr>
          <w:rFonts w:ascii="Arial" w:cs="Arial" w:eastAsia="Arial" w:hAnsi="Arial"/>
          <w:b/>
          <w:bCs/>
          <w:color w:val="0D1B2A"/>
          <w:sz w:val="22"/>
          <w:szCs w:val="22"/>
        </w:rPr>
        <w:t xml:space="preserve">Time Commitment</w:t>
      </w:r>
    </w:p>
    <w:p>
      <w:pPr>
        <w:spacing w:after="140" w:before="0"/>
        <w:jc w:val="both"/>
      </w:pPr>
      <w:r>
        <w:rPr>
          <w:rFonts w:ascii="Arial" w:cs="Arial" w:eastAsia="Arial" w:hAnsi="Arial"/>
          <w:color w:val="0D1B2A"/>
          <w:sz w:val="22"/>
          <w:szCs w:val="22"/>
        </w:rPr>
        <w:t xml:space="preserve">The expected time commitment for a Founding Partner role is ten (10) to twenty-five (25) or more hours per week, depending on role and active project demands. Founding Partners are expected to treat this engagement with a level of commitment consistent with building and launching a startup product. However, given the non-compensated structure, Company acknowledges that Founding Partners may have other professional obligations and will work collaboratively to establish realistic expectations for each individual.</w:t>
      </w:r>
    </w:p>
    <w:p>
      <w:pPr>
        <w:spacing w:after="60" w:before="180"/>
      </w:pPr>
      <w:r>
        <w:rPr>
          <w:rFonts w:ascii="Arial" w:cs="Arial" w:eastAsia="Arial" w:hAnsi="Arial"/>
          <w:b/>
          <w:bCs/>
          <w:color w:val="1E4D8C"/>
          <w:sz w:val="22"/>
          <w:szCs w:val="22"/>
        </w:rPr>
        <w:t xml:space="preserve">3.3  </w:t>
      </w:r>
      <w:r>
        <w:rPr>
          <w:rFonts w:ascii="Arial" w:cs="Arial" w:eastAsia="Arial" w:hAnsi="Arial"/>
          <w:b/>
          <w:bCs/>
          <w:color w:val="0D1B2A"/>
          <w:sz w:val="22"/>
          <w:szCs w:val="22"/>
        </w:rPr>
        <w:t xml:space="preserve">Deliverables and Accountability</w:t>
      </w:r>
    </w:p>
    <w:p>
      <w:pPr>
        <w:spacing w:after="140" w:before="0"/>
        <w:jc w:val="both"/>
      </w:pPr>
      <w:r>
        <w:rPr>
          <w:rFonts w:ascii="Arial" w:cs="Arial" w:eastAsia="Arial" w:hAnsi="Arial"/>
          <w:color w:val="0D1B2A"/>
          <w:sz w:val="22"/>
          <w:szCs w:val="22"/>
        </w:rPr>
        <w:t xml:space="preserve">Company and Individual will establish mutual performance expectations at the start of the engagement, including:</w:t>
      </w:r>
    </w:p>
    <w:p>
      <w:pPr>
        <w:pStyle w:val="ListParagraph"/>
        <w:numPr>
          <w:ilvl w:val="0"/>
          <w:numId w:val="2"/>
        </w:numPr>
        <w:spacing w:after="90" w:before="0"/>
      </w:pPr>
      <w:r>
        <w:rPr>
          <w:rFonts w:ascii="Arial" w:cs="Arial" w:eastAsia="Arial" w:hAnsi="Arial"/>
          <w:color w:val="0D1B2A"/>
          <w:sz w:val="22"/>
          <w:szCs w:val="22"/>
        </w:rPr>
        <w:t xml:space="preserve">Monthly or quarterly goals aligned with Company's overall milestones;</w:t>
      </w:r>
    </w:p>
    <w:p>
      <w:pPr>
        <w:pStyle w:val="ListParagraph"/>
        <w:numPr>
          <w:ilvl w:val="0"/>
          <w:numId w:val="2"/>
        </w:numPr>
        <w:spacing w:after="90" w:before="0"/>
      </w:pPr>
      <w:r>
        <w:rPr>
          <w:rFonts w:ascii="Arial" w:cs="Arial" w:eastAsia="Arial" w:hAnsi="Arial"/>
          <w:color w:val="0D1B2A"/>
          <w:sz w:val="22"/>
          <w:szCs w:val="22"/>
        </w:rPr>
        <w:t xml:space="preserve">Regular participation in team meetings (virtual or in-person) as mutually scheduled;</w:t>
      </w:r>
    </w:p>
    <w:p>
      <w:pPr>
        <w:pStyle w:val="ListParagraph"/>
        <w:numPr>
          <w:ilvl w:val="0"/>
          <w:numId w:val="2"/>
        </w:numPr>
        <w:spacing w:after="90" w:before="0"/>
      </w:pPr>
      <w:r>
        <w:rPr>
          <w:rFonts w:ascii="Arial" w:cs="Arial" w:eastAsia="Arial" w:hAnsi="Arial"/>
          <w:color w:val="0D1B2A"/>
          <w:sz w:val="22"/>
          <w:szCs w:val="22"/>
        </w:rPr>
        <w:t xml:space="preserve">Timely communication regarding availability constraints or changes in capacity;</w:t>
      </w:r>
    </w:p>
    <w:p>
      <w:pPr>
        <w:pStyle w:val="ListParagraph"/>
        <w:numPr>
          <w:ilvl w:val="0"/>
          <w:numId w:val="2"/>
        </w:numPr>
        <w:spacing w:after="90" w:before="0"/>
      </w:pPr>
      <w:r>
        <w:rPr>
          <w:rFonts w:ascii="Arial" w:cs="Arial" w:eastAsia="Arial" w:hAnsi="Arial"/>
          <w:color w:val="0D1B2A"/>
          <w:sz w:val="22"/>
          <w:szCs w:val="22"/>
        </w:rPr>
        <w:t xml:space="preserve">Professional conduct in all interactions representing Company.</w:t>
      </w:r>
    </w:p>
    <w:p>
      <w:pPr>
        <w:spacing w:after="60" w:before="180"/>
      </w:pPr>
      <w:r>
        <w:rPr>
          <w:rFonts w:ascii="Arial" w:cs="Arial" w:eastAsia="Arial" w:hAnsi="Arial"/>
          <w:b/>
          <w:bCs/>
          <w:color w:val="1E4D8C"/>
          <w:sz w:val="22"/>
          <w:szCs w:val="22"/>
        </w:rPr>
        <w:t xml:space="preserve">3.4  </w:t>
      </w:r>
      <w:r>
        <w:rPr>
          <w:rFonts w:ascii="Arial" w:cs="Arial" w:eastAsia="Arial" w:hAnsi="Arial"/>
          <w:b/>
          <w:bCs/>
          <w:color w:val="0D1B2A"/>
          <w:sz w:val="22"/>
          <w:szCs w:val="22"/>
        </w:rPr>
        <w:t xml:space="preserve">Equipment and Resources</w:t>
      </w:r>
    </w:p>
    <w:p>
      <w:pPr>
        <w:spacing w:after="140" w:before="0"/>
        <w:jc w:val="both"/>
      </w:pPr>
      <w:r>
        <w:rPr>
          <w:rFonts w:ascii="Arial" w:cs="Arial" w:eastAsia="Arial" w:hAnsi="Arial"/>
          <w:color w:val="0D1B2A"/>
          <w:sz w:val="22"/>
          <w:szCs w:val="22"/>
        </w:rPr>
        <w:t xml:space="preserve">Individual is responsible for providing their own equipment, internet access, software, and workspace. Company may provide access to Company tools, platforms, systems, and resources as needed for role performance, subject to Company's access policies.</w:t>
      </w:r>
    </w:p>
    <w:p>
      <w:pPr>
        <w:spacing w:after="80" w:before="0"/>
      </w:pPr>
    </w:p>
    <w:p>
      <w:pPr>
        <w:pStyle w:val="Heading1"/>
        <w:spacing w:after="100" w:before="320"/>
      </w:pPr>
      <w:r>
        <w:rPr>
          <w:rFonts w:ascii="Arial" w:cs="Arial" w:eastAsia="Arial" w:hAnsi="Arial"/>
          <w:b/>
          <w:bCs/>
          <w:caps/>
          <w:color w:val="1B3A6B"/>
          <w:sz w:val="28"/>
          <w:szCs w:val="28"/>
        </w:rPr>
        <w:t xml:space="preserve">Article 4 — Compensation and Equity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1"/>
              <w:left w:val="single" w:color="7B5E00" w:sz="1"/>
              <w:bottom w:val="single" w:color="7B5E00" w:sz="1"/>
              <w:right w:val="single" w:color="7B5E00" w:sz="1"/>
            </w:tcBorders>
            <w:shd w:fill="FFF8DC" w:val="clear"/>
            <w:tcMar>
              <w:top w:type="dxa" w:w="140"/>
              <w:left w:type="dxa" w:w="200"/>
              <w:bottom w:type="dxa" w:w="140"/>
              <w:right w:type="dxa" w:w="200"/>
            </w:tcMar>
          </w:tcPr>
          <w:p>
            <w:pPr>
              <w:spacing w:after="80" w:before="0"/>
              <w:jc w:val="center"/>
            </w:pPr>
            <w:r>
              <w:rPr>
                <w:rFonts w:ascii="Arial" w:cs="Arial" w:eastAsia="Arial" w:hAnsi="Arial"/>
                <w:b/>
                <w:bCs/>
                <w:caps/>
                <w:color w:val="7B5E00"/>
                <w:sz w:val="22"/>
                <w:szCs w:val="22"/>
              </w:rPr>
              <w:t xml:space="preserve">IMPORTANT: COMPENSATION DISCLOSURE</w:t>
            </w:r>
          </w:p>
          <w:p>
            <w:pPr>
              <w:jc w:val="both"/>
            </w:pPr>
            <w:r>
              <w:rPr>
                <w:rFonts w:ascii="Arial" w:cs="Arial" w:eastAsia="Arial" w:hAnsi="Arial"/>
                <w:color w:val="7B5E00"/>
                <w:sz w:val="21"/>
                <w:szCs w:val="21"/>
              </w:rPr>
              <w:t xml:space="preserve">Apps on Demand and the NexCort iQ platform are currently operating as a bootstrap startup. The Company cannot provide salary, wages, hourly compensation, employee benefits, health insurance, retirement contributions, or any guaranteed monetary compensation at this time. All compensation — where offered — is limited to equity in the Company as described herein, which is subject to vesting, risk of forfeiture, and the inherent risks of early-stage startup investment. Equity grants do not guarantee any future financial return. Nothing herein creates an employment relationship or an obligation to pay wages.</w:t>
            </w:r>
          </w:p>
        </w:tc>
      </w:tr>
    </w:tbl>
    <w:p>
      <w:pPr>
        <w:spacing w:after="80" w:before="0"/>
      </w:pPr>
    </w:p>
    <w:p>
      <w:pPr>
        <w:spacing w:after="60" w:before="180"/>
      </w:pPr>
      <w:r>
        <w:rPr>
          <w:rFonts w:ascii="Arial" w:cs="Arial" w:eastAsia="Arial" w:hAnsi="Arial"/>
          <w:b/>
          <w:bCs/>
          <w:color w:val="1E4D8C"/>
          <w:sz w:val="22"/>
          <w:szCs w:val="22"/>
        </w:rPr>
        <w:t xml:space="preserve">4.1  </w:t>
      </w:r>
      <w:r>
        <w:rPr>
          <w:rFonts w:ascii="Arial" w:cs="Arial" w:eastAsia="Arial" w:hAnsi="Arial"/>
          <w:b/>
          <w:bCs/>
          <w:color w:val="0D1B2A"/>
          <w:sz w:val="22"/>
          <w:szCs w:val="22"/>
        </w:rPr>
        <w:t xml:space="preserve">Current Compensation</w:t>
      </w:r>
    </w:p>
    <w:p>
      <w:pPr>
        <w:spacing w:after="140" w:before="0"/>
        <w:jc w:val="both"/>
      </w:pPr>
      <w:r>
        <w:rPr>
          <w:rFonts w:ascii="Arial" w:cs="Arial" w:eastAsia="Arial" w:hAnsi="Arial"/>
          <w:color w:val="0D1B2A"/>
          <w:sz w:val="22"/>
          <w:szCs w:val="22"/>
        </w:rPr>
        <w:t xml:space="preserve">Individual shall not receive wages, salary, or monetary compensation under this Agreement. Individual's current compensation is equity-based as described in this Article.</w:t>
      </w:r>
    </w:p>
    <w:p>
      <w:pPr>
        <w:spacing w:after="60" w:before="180"/>
      </w:pPr>
      <w:r>
        <w:rPr>
          <w:rFonts w:ascii="Arial" w:cs="Arial" w:eastAsia="Arial" w:hAnsi="Arial"/>
          <w:b/>
          <w:bCs/>
          <w:color w:val="1E4D8C"/>
          <w:sz w:val="22"/>
          <w:szCs w:val="22"/>
        </w:rPr>
        <w:t xml:space="preserve">4.2  </w:t>
      </w:r>
      <w:r>
        <w:rPr>
          <w:rFonts w:ascii="Arial" w:cs="Arial" w:eastAsia="Arial" w:hAnsi="Arial"/>
          <w:b/>
          <w:bCs/>
          <w:color w:val="0D1B2A"/>
          <w:sz w:val="22"/>
          <w:szCs w:val="22"/>
        </w:rPr>
        <w:t xml:space="preserve">Equity Grant</w:t>
      </w:r>
    </w:p>
    <w:p>
      <w:pPr>
        <w:spacing w:after="140" w:before="0"/>
        <w:jc w:val="both"/>
      </w:pPr>
      <w:r>
        <w:rPr>
          <w:rFonts w:ascii="Arial" w:cs="Arial" w:eastAsia="Arial" w:hAnsi="Arial"/>
          <w:color w:val="0D1B2A"/>
          <w:sz w:val="22"/>
          <w:szCs w:val="22"/>
        </w:rPr>
        <w:t xml:space="preserve">In consideration for Individual's founding contributions, Company will grant Individual an equity interest in the Company subject to vesting as follows: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100"/>
        <w:gridCol w:w="2660"/>
      </w:tblGrid>
      <w:tr>
        <w:tc>
          <w:tcPr>
            <w:tcW w:type="dxa" w:w="28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Role</w:t>
            </w:r>
          </w:p>
        </w:tc>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Equity Range</w:t>
            </w:r>
          </w:p>
        </w:tc>
        <w:tc>
          <w:tcPr>
            <w:tcW w:type="dxa" w:w="14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Vesting Period</w:t>
            </w:r>
          </w:p>
        </w:tc>
        <w:tc>
          <w:tcPr>
            <w:tcW w:type="dxa" w:w="110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Cliff</w:t>
            </w:r>
          </w:p>
        </w:tc>
        <w:tc>
          <w:tcPr>
            <w:tcW w:type="dxa" w:w="2660"/>
            <w:tcBorders>
              <w:top w:val="single" w:color="1B3A6B" w:sz="1"/>
              <w:left w:val="single" w:color="1B3A6B" w:sz="1"/>
              <w:bottom w:val="single" w:color="1B3A6B" w:sz="1"/>
              <w:right w:val="single" w:color="1B3A6B" w:sz="1"/>
            </w:tcBorders>
            <w:shd w:fill="1B3A6B" w:val="clear"/>
            <w:tcMar>
              <w:top w:type="dxa" w:w="90"/>
              <w:left w:type="dxa" w:w="130"/>
              <w:bottom w:type="dxa" w:w="90"/>
              <w:right w:type="dxa" w:w="130"/>
            </w:tcMar>
          </w:tcPr>
          <w:p>
            <w:pPr>
              <w:jc w:val="center"/>
            </w:pPr>
            <w:r>
              <w:rPr>
                <w:rFonts w:ascii="Arial" w:cs="Arial" w:eastAsia="Arial" w:hAnsi="Arial"/>
                <w:b/>
                <w:bCs/>
                <w:color w:val="FFFFFF"/>
                <w:sz w:val="20"/>
                <w:szCs w:val="20"/>
              </w:rPr>
              <w:t xml:space="preserve">Primary Driver</w:t>
            </w:r>
          </w:p>
        </w:tc>
      </w:tr>
      <w:tr>
        <w:tc>
          <w:tcPr>
            <w:tcW w:type="dxa" w:w="28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Chief Revenue Officer (CRO)</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5% – 15%</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6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Revenue Targets</w:t>
            </w:r>
          </w:p>
        </w:tc>
      </w:tr>
      <w:tr>
        <w:tc>
          <w:tcPr>
            <w:tcW w:type="dxa" w:w="28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Marketing Director</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1% – 5%</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6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Milestone-Based</w:t>
            </w:r>
          </w:p>
        </w:tc>
      </w:tr>
      <w:tr>
        <w:tc>
          <w:tcPr>
            <w:tcW w:type="dxa" w:w="28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Business Dev. Director</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1% – 5%</w:t>
            </w:r>
          </w:p>
        </w:tc>
        <w:tc>
          <w:tcPr>
            <w:tcW w:type="dxa" w:w="14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660"/>
            <w:tcBorders>
              <w:top w:val="single" w:color="D0D6DF" w:sz="1"/>
              <w:left w:val="single" w:color="D0D6DF" w:sz="1"/>
              <w:bottom w:val="single" w:color="D0D6DF" w:sz="1"/>
              <w:right w:val="single" w:color="D0D6DF" w:sz="1"/>
            </w:tcBorders>
            <w:shd w:fill="FFFFFF" w:val="clear"/>
            <w:tcMar>
              <w:top w:type="dxa" w:w="80"/>
              <w:left w:type="dxa" w:w="130"/>
              <w:bottom w:type="dxa" w:w="80"/>
              <w:right w:type="dxa" w:w="130"/>
            </w:tcMar>
          </w:tcPr>
          <w:p>
            <w:pPr>
              <w:jc w:val="center"/>
            </w:pPr>
            <w:r>
              <w:rPr>
                <w:rFonts w:ascii="Arial" w:cs="Arial" w:eastAsia="Arial" w:hAnsi="Arial"/>
                <w:color w:val="0D1B2A"/>
                <w:sz w:val="20"/>
                <w:szCs w:val="20"/>
              </w:rPr>
              <w:t xml:space="preserve">Milestone-Based</w:t>
            </w:r>
          </w:p>
        </w:tc>
      </w:tr>
      <w:tr>
        <w:tc>
          <w:tcPr>
            <w:tcW w:type="dxa" w:w="28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Founding Partner (General)</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0.5% – 3%</w:t>
            </w:r>
          </w:p>
        </w:tc>
        <w:tc>
          <w:tcPr>
            <w:tcW w:type="dxa" w:w="14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4 Years</w:t>
            </w:r>
          </w:p>
        </w:tc>
        <w:tc>
          <w:tcPr>
            <w:tcW w:type="dxa" w:w="110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1 Year</w:t>
            </w:r>
          </w:p>
        </w:tc>
        <w:tc>
          <w:tcPr>
            <w:tcW w:type="dxa" w:w="2660"/>
            <w:tcBorders>
              <w:top w:val="single" w:color="D0D6DF" w:sz="1"/>
              <w:left w:val="single" w:color="D0D6DF" w:sz="1"/>
              <w:bottom w:val="single" w:color="D0D6DF" w:sz="1"/>
              <w:right w:val="single" w:color="D0D6DF" w:sz="1"/>
            </w:tcBorders>
            <w:shd w:fill="F2F4F7" w:val="clear"/>
            <w:tcMar>
              <w:top w:type="dxa" w:w="80"/>
              <w:left w:type="dxa" w:w="130"/>
              <w:bottom w:type="dxa" w:w="80"/>
              <w:right w:type="dxa" w:w="130"/>
            </w:tcMar>
          </w:tcPr>
          <w:p>
            <w:pPr>
              <w:jc w:val="center"/>
            </w:pPr>
            <w:r>
              <w:rPr>
                <w:rFonts w:ascii="Arial" w:cs="Arial" w:eastAsia="Arial" w:hAnsi="Arial"/>
                <w:color w:val="0D1B2A"/>
                <w:sz w:val="20"/>
                <w:szCs w:val="20"/>
              </w:rPr>
              <w:t xml:space="preserve">Time + Milestones</w:t>
            </w:r>
          </w:p>
        </w:tc>
      </w:tr>
    </w:tbl>
    <w:p>
      <w:pPr>
        <w:spacing w:after="100" w:before="0"/>
      </w:pPr>
    </w:p>
    <w:p>
      <w:pPr>
        <w:spacing w:after="140" w:before="0"/>
        <w:jc w:val="both"/>
      </w:pPr>
      <w:r>
        <w:rPr>
          <w:rFonts w:ascii="Arial" w:cs="Arial" w:eastAsia="Arial" w:hAnsi="Arial"/>
          <w:color w:val="0D1B2A"/>
          <w:sz w:val="22"/>
          <w:szCs w:val="22"/>
        </w:rPr>
        <w:t xml:space="preserve">The specific equity percentage applicable to this Founding Partner is designated in the cover page of this Agreement. Final equity terms, vesting schedules, milestone definitions, and grant documentation are set forth in the Equity Vesting Agreement executed concurrently with this Agreement.</w:t>
      </w:r>
    </w:p>
    <w:p>
      <w:pPr>
        <w:spacing w:after="60" w:before="0"/>
      </w:pPr>
    </w:p>
    <w:p>
      <w:pPr>
        <w:spacing w:after="60" w:before="180"/>
      </w:pPr>
      <w:r>
        <w:rPr>
          <w:rFonts w:ascii="Arial" w:cs="Arial" w:eastAsia="Arial" w:hAnsi="Arial"/>
          <w:b/>
          <w:bCs/>
          <w:color w:val="1E4D8C"/>
          <w:sz w:val="22"/>
          <w:szCs w:val="22"/>
        </w:rPr>
        <w:t xml:space="preserve">4.3  </w:t>
      </w:r>
      <w:r>
        <w:rPr>
          <w:rFonts w:ascii="Arial" w:cs="Arial" w:eastAsia="Arial" w:hAnsi="Arial"/>
          <w:b/>
          <w:bCs/>
          <w:color w:val="0D1B2A"/>
          <w:sz w:val="22"/>
          <w:szCs w:val="22"/>
        </w:rPr>
        <w:t xml:space="preserve">Vesting Terms</w:t>
      </w:r>
    </w:p>
    <w:p>
      <w:pPr>
        <w:spacing w:after="140" w:before="0"/>
        <w:jc w:val="both"/>
      </w:pPr>
      <w:r>
        <w:rPr>
          <w:rFonts w:ascii="Arial" w:cs="Arial" w:eastAsia="Arial" w:hAnsi="Arial"/>
          <w:color w:val="0D1B2A"/>
          <w:sz w:val="22"/>
          <w:szCs w:val="22"/>
        </w:rPr>
        <w:t xml:space="preserve">Unless otherwise specified in the Equity Vesting Agreement:</w:t>
      </w:r>
    </w:p>
    <w:p>
      <w:pPr>
        <w:pStyle w:val="ListParagraph"/>
        <w:numPr>
          <w:ilvl w:val="0"/>
          <w:numId w:val="2"/>
        </w:numPr>
        <w:spacing w:after="90" w:before="0"/>
      </w:pPr>
      <w:r>
        <w:rPr>
          <w:rFonts w:ascii="Arial" w:cs="Arial" w:eastAsia="Arial" w:hAnsi="Arial"/>
          <w:color w:val="0D1B2A"/>
          <w:sz w:val="22"/>
          <w:szCs w:val="22"/>
        </w:rPr>
        <w:t xml:space="preserve">Cliff Period: No equity vests during the first twelve (12) months. If engagement ends before the cliff date, Individual receives no equity;</w:t>
      </w:r>
    </w:p>
    <w:p>
      <w:pPr>
        <w:pStyle w:val="ListParagraph"/>
        <w:numPr>
          <w:ilvl w:val="0"/>
          <w:numId w:val="2"/>
        </w:numPr>
        <w:spacing w:after="90" w:before="0"/>
      </w:pPr>
      <w:r>
        <w:rPr>
          <w:rFonts w:ascii="Arial" w:cs="Arial" w:eastAsia="Arial" w:hAnsi="Arial"/>
          <w:color w:val="0D1B2A"/>
          <w:sz w:val="22"/>
          <w:szCs w:val="22"/>
        </w:rPr>
        <w:t xml:space="preserve">Post-Cliff Vesting: After the cliff, equity vests monthly on a straight-line basis over the remaining vesting period;</w:t>
      </w:r>
    </w:p>
    <w:p>
      <w:pPr>
        <w:pStyle w:val="ListParagraph"/>
        <w:numPr>
          <w:ilvl w:val="0"/>
          <w:numId w:val="2"/>
        </w:numPr>
        <w:spacing w:after="90" w:before="0"/>
      </w:pPr>
      <w:r>
        <w:rPr>
          <w:rFonts w:ascii="Arial" w:cs="Arial" w:eastAsia="Arial" w:hAnsi="Arial"/>
          <w:color w:val="0D1B2A"/>
          <w:sz w:val="22"/>
          <w:szCs w:val="22"/>
        </w:rPr>
        <w:t xml:space="preserve">Milestone Acceleration: For roles with milestone-based vesting (Marketing Director, Business Development Director), specific milestones may trigger accelerated vesting tranches as defined in the Equity Vesting Agreement;</w:t>
      </w:r>
    </w:p>
    <w:p>
      <w:pPr>
        <w:pStyle w:val="ListParagraph"/>
        <w:numPr>
          <w:ilvl w:val="0"/>
          <w:numId w:val="2"/>
        </w:numPr>
        <w:spacing w:after="90" w:before="0"/>
      </w:pPr>
      <w:r>
        <w:rPr>
          <w:rFonts w:ascii="Arial" w:cs="Arial" w:eastAsia="Arial" w:hAnsi="Arial"/>
          <w:color w:val="0D1B2A"/>
          <w:sz w:val="22"/>
          <w:szCs w:val="22"/>
        </w:rPr>
        <w:t xml:space="preserve">Revenue Targets (CRO): A portion of CRO equity may be tied to specific revenue milestones as defined in the Equity Vesting Agreement;</w:t>
      </w:r>
    </w:p>
    <w:p>
      <w:pPr>
        <w:pStyle w:val="ListParagraph"/>
        <w:numPr>
          <w:ilvl w:val="0"/>
          <w:numId w:val="2"/>
        </w:numPr>
        <w:spacing w:after="90" w:before="0"/>
      </w:pPr>
      <w:r>
        <w:rPr>
          <w:rFonts w:ascii="Arial" w:cs="Arial" w:eastAsia="Arial" w:hAnsi="Arial"/>
          <w:color w:val="0D1B2A"/>
          <w:sz w:val="22"/>
          <w:szCs w:val="22"/>
        </w:rPr>
        <w:t xml:space="preserve">Termination: Unvested equity is forfeited upon termination of this Agreement for any reason. Vested equity is retained subject to Company's governing documents.</w:t>
      </w:r>
    </w:p>
    <w:p>
      <w:pPr>
        <w:spacing w:after="60" w:before="0"/>
      </w:pPr>
    </w:p>
    <w:p>
      <w:pPr>
        <w:spacing w:after="60" w:before="180"/>
      </w:pPr>
      <w:r>
        <w:rPr>
          <w:rFonts w:ascii="Arial" w:cs="Arial" w:eastAsia="Arial" w:hAnsi="Arial"/>
          <w:b/>
          <w:bCs/>
          <w:color w:val="1E4D8C"/>
          <w:sz w:val="22"/>
          <w:szCs w:val="22"/>
        </w:rPr>
        <w:t xml:space="preserve">4.4  </w:t>
      </w:r>
      <w:r>
        <w:rPr>
          <w:rFonts w:ascii="Arial" w:cs="Arial" w:eastAsia="Arial" w:hAnsi="Arial"/>
          <w:b/>
          <w:bCs/>
          <w:color w:val="0D1B2A"/>
          <w:sz w:val="22"/>
          <w:szCs w:val="22"/>
        </w:rPr>
        <w:t xml:space="preserve">Future Compensation</w:t>
      </w:r>
    </w:p>
    <w:p>
      <w:pPr>
        <w:spacing w:after="140" w:before="0"/>
        <w:jc w:val="both"/>
      </w:pPr>
      <w:r>
        <w:rPr>
          <w:rFonts w:ascii="Arial" w:cs="Arial" w:eastAsia="Arial" w:hAnsi="Arial"/>
          <w:color w:val="0D1B2A"/>
          <w:sz w:val="22"/>
          <w:szCs w:val="22"/>
        </w:rPr>
        <w:t xml:space="preserve">Company intends, subject to revenue growth and Company's financial capacity, to develop compensation structures for Founding Partners in the future. Nothing herein constitutes a promise or obligation to pay wages or salary. Any future monetary compensation arrangement requires a separate written agreement signed by an authorized officer of Company.</w:t>
      </w:r>
    </w:p>
    <w:p>
      <w:pPr>
        <w:spacing w:after="60" w:before="180"/>
      </w:pPr>
      <w:r>
        <w:rPr>
          <w:rFonts w:ascii="Arial" w:cs="Arial" w:eastAsia="Arial" w:hAnsi="Arial"/>
          <w:b/>
          <w:bCs/>
          <w:color w:val="1E4D8C"/>
          <w:sz w:val="22"/>
          <w:szCs w:val="22"/>
        </w:rPr>
        <w:t xml:space="preserve">4.5  </w:t>
      </w:r>
      <w:r>
        <w:rPr>
          <w:rFonts w:ascii="Arial" w:cs="Arial" w:eastAsia="Arial" w:hAnsi="Arial"/>
          <w:b/>
          <w:bCs/>
          <w:color w:val="0D1B2A"/>
          <w:sz w:val="22"/>
          <w:szCs w:val="22"/>
        </w:rPr>
        <w:t xml:space="preserve">Securities Law Acknowledgment</w:t>
      </w:r>
    </w:p>
    <w:p>
      <w:pPr>
        <w:spacing w:after="140" w:before="0"/>
        <w:jc w:val="both"/>
      </w:pPr>
      <w:r>
        <w:rPr>
          <w:rFonts w:ascii="Arial" w:cs="Arial" w:eastAsia="Arial" w:hAnsi="Arial"/>
          <w:color w:val="0D1B2A"/>
          <w:sz w:val="22"/>
          <w:szCs w:val="22"/>
        </w:rPr>
        <w:t xml:space="preserve">Individual acknowledges that equity interests constitute securities under applicable federal and state law. Individual represents that: (a) Individual is receiving equity as compensation for services, not as an investment; (b) Individual is aware that the equity is illiquid, speculative, and subject to significant risk of loss; (c) Individual will comply with all applicable securities laws with respect to the equity, including holding period restrictions; and (d) Individual has had the opportunity to consult with independent legal and financial advisors regarding the equity grant.</w:t>
      </w:r>
    </w:p>
    <w:p>
      <w:pPr>
        <w:spacing w:after="80" w:before="0"/>
      </w:pPr>
    </w:p>
    <w:p>
      <w:pPr>
        <w:pStyle w:val="Heading1"/>
        <w:spacing w:after="100" w:before="320"/>
      </w:pPr>
      <w:r>
        <w:rPr>
          <w:rFonts w:ascii="Arial" w:cs="Arial" w:eastAsia="Arial" w:hAnsi="Arial"/>
          <w:b/>
          <w:bCs/>
          <w:caps/>
          <w:color w:val="1B3A6B"/>
          <w:sz w:val="28"/>
          <w:szCs w:val="28"/>
        </w:rPr>
        <w:t xml:space="preserve">Article 5 — Intellectual Property Assignment</w:t>
      </w:r>
    </w:p>
    <w:p>
      <w:pPr>
        <w:spacing w:after="60" w:before="180"/>
      </w:pPr>
      <w:r>
        <w:rPr>
          <w:rFonts w:ascii="Arial" w:cs="Arial" w:eastAsia="Arial" w:hAnsi="Arial"/>
          <w:b/>
          <w:bCs/>
          <w:color w:val="1E4D8C"/>
          <w:sz w:val="22"/>
          <w:szCs w:val="22"/>
        </w:rPr>
        <w:t xml:space="preserve">5.1  </w:t>
      </w:r>
      <w:r>
        <w:rPr>
          <w:rFonts w:ascii="Arial" w:cs="Arial" w:eastAsia="Arial" w:hAnsi="Arial"/>
          <w:b/>
          <w:bCs/>
          <w:color w:val="0D1B2A"/>
          <w:sz w:val="22"/>
          <w:szCs w:val="22"/>
        </w:rPr>
        <w:t xml:space="preserve">Work Made for Hire</w:t>
      </w:r>
    </w:p>
    <w:p>
      <w:pPr>
        <w:spacing w:after="140" w:before="0"/>
        <w:jc w:val="both"/>
      </w:pPr>
      <w:r>
        <w:rPr>
          <w:rFonts w:ascii="Arial" w:cs="Arial" w:eastAsia="Arial" w:hAnsi="Arial"/>
          <w:color w:val="0D1B2A"/>
          <w:sz w:val="22"/>
          <w:szCs w:val="22"/>
        </w:rPr>
        <w:t xml:space="preserve">To the maximum extent permitted by law, all Work Product created by Individual — solely or jointly — in the course of or arising from the Founding Role is a "work made for hire" under the Copyright Act and is the sole and exclusive property of Company from the moment of creation.</w:t>
      </w:r>
    </w:p>
    <w:p>
      <w:pPr>
        <w:spacing w:after="60" w:before="180"/>
      </w:pPr>
      <w:r>
        <w:rPr>
          <w:rFonts w:ascii="Arial" w:cs="Arial" w:eastAsia="Arial" w:hAnsi="Arial"/>
          <w:b/>
          <w:bCs/>
          <w:color w:val="1E4D8C"/>
          <w:sz w:val="22"/>
          <w:szCs w:val="22"/>
        </w:rPr>
        <w:t xml:space="preserve">5.2  </w:t>
      </w:r>
      <w:r>
        <w:rPr>
          <w:rFonts w:ascii="Arial" w:cs="Arial" w:eastAsia="Arial" w:hAnsi="Arial"/>
          <w:b/>
          <w:bCs/>
          <w:color w:val="0D1B2A"/>
          <w:sz w:val="22"/>
          <w:szCs w:val="22"/>
        </w:rPr>
        <w:t xml:space="preserve">Assignment</w:t>
      </w:r>
    </w:p>
    <w:p>
      <w:pPr>
        <w:spacing w:after="140" w:before="0"/>
        <w:jc w:val="both"/>
      </w:pPr>
      <w:r>
        <w:rPr>
          <w:rFonts w:ascii="Arial" w:cs="Arial" w:eastAsia="Arial" w:hAnsi="Arial"/>
          <w:color w:val="0D1B2A"/>
          <w:sz w:val="22"/>
          <w:szCs w:val="22"/>
        </w:rPr>
        <w:t xml:space="preserve">To the extent any Work Product does not qualify as work made for hire, Individual hereby irrevocably assigns to Company all right, title, and interest worldwide — including all patents, copyrights, trade secrets, trademarks, and other intellectual property rights — in and to such Work Product, without additional compensation. Individual waives all moral rights to the fullest extent permitted by law.</w:t>
      </w:r>
    </w:p>
    <w:p>
      <w:pPr>
        <w:spacing w:after="60" w:before="180"/>
      </w:pPr>
      <w:r>
        <w:rPr>
          <w:rFonts w:ascii="Arial" w:cs="Arial" w:eastAsia="Arial" w:hAnsi="Arial"/>
          <w:b/>
          <w:bCs/>
          <w:color w:val="1E4D8C"/>
          <w:sz w:val="22"/>
          <w:szCs w:val="22"/>
        </w:rPr>
        <w:t xml:space="preserve">5.3  </w:t>
      </w:r>
      <w:r>
        <w:rPr>
          <w:rFonts w:ascii="Arial" w:cs="Arial" w:eastAsia="Arial" w:hAnsi="Arial"/>
          <w:b/>
          <w:bCs/>
          <w:color w:val="0D1B2A"/>
          <w:sz w:val="22"/>
          <w:szCs w:val="22"/>
        </w:rPr>
        <w:t xml:space="preserve">Scope</w:t>
      </w:r>
    </w:p>
    <w:p>
      <w:pPr>
        <w:spacing w:after="140" w:before="0"/>
        <w:jc w:val="both"/>
      </w:pPr>
      <w:r>
        <w:rPr>
          <w:rFonts w:ascii="Arial" w:cs="Arial" w:eastAsia="Arial" w:hAnsi="Arial"/>
          <w:color w:val="0D1B2A"/>
          <w:sz w:val="22"/>
          <w:szCs w:val="22"/>
        </w:rPr>
        <w:t xml:space="preserve">Work Product includes, without limitation: sales materials, customer presentations, marketing collateral, campaigns, brand assets, partnership agreements and frameworks, business development strategies, technical integrations, process documentation, and any other output created in connection with the Founding Role.</w:t>
      </w:r>
    </w:p>
    <w:p>
      <w:pPr>
        <w:spacing w:after="60" w:before="180"/>
      </w:pPr>
      <w:r>
        <w:rPr>
          <w:rFonts w:ascii="Arial" w:cs="Arial" w:eastAsia="Arial" w:hAnsi="Arial"/>
          <w:b/>
          <w:bCs/>
          <w:color w:val="1E4D8C"/>
          <w:sz w:val="22"/>
          <w:szCs w:val="22"/>
        </w:rPr>
        <w:t xml:space="preserve">5.4  </w:t>
      </w:r>
      <w:r>
        <w:rPr>
          <w:rFonts w:ascii="Arial" w:cs="Arial" w:eastAsia="Arial" w:hAnsi="Arial"/>
          <w:b/>
          <w:bCs/>
          <w:color w:val="0D1B2A"/>
          <w:sz w:val="22"/>
          <w:szCs w:val="22"/>
        </w:rPr>
        <w:t xml:space="preserve">Further Assurances</w:t>
      </w:r>
    </w:p>
    <w:p>
      <w:pPr>
        <w:spacing w:after="140" w:before="0"/>
        <w:jc w:val="both"/>
      </w:pPr>
      <w:r>
        <w:rPr>
          <w:rFonts w:ascii="Arial" w:cs="Arial" w:eastAsia="Arial" w:hAnsi="Arial"/>
          <w:color w:val="0D1B2A"/>
          <w:sz w:val="22"/>
          <w:szCs w:val="22"/>
        </w:rPr>
        <w:t xml:space="preserve">Individual will execute all documents and take all actions reasonably required by Company to perfect, register, or enforce Company's ownership of Work Product, at Company's expense.</w:t>
      </w:r>
    </w:p>
    <w:p>
      <w:pPr>
        <w:spacing w:after="60" w:before="180"/>
      </w:pPr>
      <w:r>
        <w:rPr>
          <w:rFonts w:ascii="Arial" w:cs="Arial" w:eastAsia="Arial" w:hAnsi="Arial"/>
          <w:b/>
          <w:bCs/>
          <w:color w:val="1E4D8C"/>
          <w:sz w:val="22"/>
          <w:szCs w:val="22"/>
        </w:rPr>
        <w:t xml:space="preserve">5.5  </w:t>
      </w:r>
      <w:r>
        <w:rPr>
          <w:rFonts w:ascii="Arial" w:cs="Arial" w:eastAsia="Arial" w:hAnsi="Arial"/>
          <w:b/>
          <w:bCs/>
          <w:color w:val="0D1B2A"/>
          <w:sz w:val="22"/>
          <w:szCs w:val="22"/>
        </w:rPr>
        <w:t xml:space="preserve">Pre-Existing IP</w:t>
      </w:r>
    </w:p>
    <w:p>
      <w:pPr>
        <w:spacing w:after="140" w:before="0"/>
        <w:jc w:val="both"/>
      </w:pPr>
      <w:r>
        <w:rPr>
          <w:rFonts w:ascii="Arial" w:cs="Arial" w:eastAsia="Arial" w:hAnsi="Arial"/>
          <w:color w:val="0D1B2A"/>
          <w:sz w:val="22"/>
          <w:szCs w:val="22"/>
        </w:rPr>
        <w:t xml:space="preserve">Individual must disclose in writing any pre-existing intellectual property that will be incorporated into Work Product before incorporating it. Undisclosed pre-existing IP incorporated into Work Product is deemed assigned to Company.</w:t>
      </w:r>
    </w:p>
    <w:p>
      <w:pPr>
        <w:spacing w:after="80" w:before="0"/>
      </w:pPr>
    </w:p>
    <w:p>
      <w:pPr>
        <w:pStyle w:val="Heading1"/>
        <w:spacing w:after="100" w:before="320"/>
      </w:pPr>
      <w:r>
        <w:rPr>
          <w:rFonts w:ascii="Arial" w:cs="Arial" w:eastAsia="Arial" w:hAnsi="Arial"/>
          <w:b/>
          <w:bCs/>
          <w:caps/>
          <w:color w:val="1B3A6B"/>
          <w:sz w:val="28"/>
          <w:szCs w:val="28"/>
        </w:rPr>
        <w:t xml:space="preserve">Article 6 — Non-Solicitation</w:t>
      </w:r>
    </w:p>
    <w:p>
      <w:pPr>
        <w:spacing w:after="60" w:before="180"/>
      </w:pPr>
      <w:r>
        <w:rPr>
          <w:rFonts w:ascii="Arial" w:cs="Arial" w:eastAsia="Arial" w:hAnsi="Arial"/>
          <w:b/>
          <w:bCs/>
          <w:color w:val="1E4D8C"/>
          <w:sz w:val="22"/>
          <w:szCs w:val="22"/>
        </w:rPr>
        <w:t xml:space="preserve">6.1  </w:t>
      </w:r>
      <w:r>
        <w:rPr>
          <w:rFonts w:ascii="Arial" w:cs="Arial" w:eastAsia="Arial" w:hAnsi="Arial"/>
          <w:b/>
          <w:bCs/>
          <w:color w:val="0D1B2A"/>
          <w:sz w:val="22"/>
          <w:szCs w:val="22"/>
        </w:rPr>
        <w:t xml:space="preserve">Customer Non-Solicitation</w:t>
      </w:r>
    </w:p>
    <w:p>
      <w:pPr>
        <w:spacing w:after="140" w:before="0"/>
        <w:jc w:val="both"/>
      </w:pPr>
      <w:r>
        <w:rPr>
          <w:rFonts w:ascii="Arial" w:cs="Arial" w:eastAsia="Arial" w:hAnsi="Arial"/>
          <w:color w:val="0D1B2A"/>
          <w:sz w:val="22"/>
          <w:szCs w:val="22"/>
        </w:rPr>
        <w:t xml:space="preserve">During the term of this Agreement and for twelve (12) months following termination, Individual shall not, directly or indirectly, solicit, contact, or attempt to divert any customer, prospect, or agency of Company that Individual had material contact with or obtained Confidential Information about during the engagement, for the benefit of any competing service or company.</w:t>
      </w:r>
    </w:p>
    <w:p>
      <w:pPr>
        <w:spacing w:after="60" w:before="180"/>
      </w:pPr>
      <w:r>
        <w:rPr>
          <w:rFonts w:ascii="Arial" w:cs="Arial" w:eastAsia="Arial" w:hAnsi="Arial"/>
          <w:b/>
          <w:bCs/>
          <w:color w:val="1E4D8C"/>
          <w:sz w:val="22"/>
          <w:szCs w:val="22"/>
        </w:rPr>
        <w:t xml:space="preserve">6.2  </w:t>
      </w:r>
      <w:r>
        <w:rPr>
          <w:rFonts w:ascii="Arial" w:cs="Arial" w:eastAsia="Arial" w:hAnsi="Arial"/>
          <w:b/>
          <w:bCs/>
          <w:color w:val="0D1B2A"/>
          <w:sz w:val="22"/>
          <w:szCs w:val="22"/>
        </w:rPr>
        <w:t xml:space="preserve">Personnel Non-Solicitation</w:t>
      </w:r>
    </w:p>
    <w:p>
      <w:pPr>
        <w:spacing w:after="140" w:before="0"/>
        <w:jc w:val="both"/>
      </w:pPr>
      <w:r>
        <w:rPr>
          <w:rFonts w:ascii="Arial" w:cs="Arial" w:eastAsia="Arial" w:hAnsi="Arial"/>
          <w:color w:val="0D1B2A"/>
          <w:sz w:val="22"/>
          <w:szCs w:val="22"/>
        </w:rPr>
        <w:t xml:space="preserve">During the term and for twelve (12) months following termination, Individual shall not, directly or indirectly, solicit, recruit, or hire any employee, founding partner, advisor, or contractor of Company, or induce any such person to leave their relationship with Company.</w:t>
      </w:r>
    </w:p>
    <w:p>
      <w:pPr>
        <w:spacing w:after="60" w:before="180"/>
      </w:pPr>
      <w:r>
        <w:rPr>
          <w:rFonts w:ascii="Arial" w:cs="Arial" w:eastAsia="Arial" w:hAnsi="Arial"/>
          <w:b/>
          <w:bCs/>
          <w:color w:val="1E4D8C"/>
          <w:sz w:val="22"/>
          <w:szCs w:val="22"/>
        </w:rPr>
        <w:t xml:space="preserve">6.3  </w:t>
      </w:r>
      <w:r>
        <w:rPr>
          <w:rFonts w:ascii="Arial" w:cs="Arial" w:eastAsia="Arial" w:hAnsi="Arial"/>
          <w:b/>
          <w:bCs/>
          <w:color w:val="0D1B2A"/>
          <w:sz w:val="22"/>
          <w:szCs w:val="22"/>
        </w:rPr>
        <w:t xml:space="preserve">Reasonableness</w:t>
      </w:r>
    </w:p>
    <w:p>
      <w:pPr>
        <w:spacing w:after="140" w:before="0"/>
        <w:jc w:val="both"/>
      </w:pPr>
      <w:r>
        <w:rPr>
          <w:rFonts w:ascii="Arial" w:cs="Arial" w:eastAsia="Arial" w:hAnsi="Arial"/>
          <w:color w:val="0D1B2A"/>
          <w:sz w:val="22"/>
          <w:szCs w:val="22"/>
        </w:rPr>
        <w:t xml:space="preserve">Individual acknowledges that the public safety technology market has a limited number of potential customers and that the non-solicitation provisions are reasonable and necessary to protect Company's business interests, customer relationships, and investment in team development.</w:t>
      </w:r>
    </w:p>
    <w:p>
      <w:pPr>
        <w:spacing w:after="80" w:before="0"/>
      </w:pPr>
    </w:p>
    <w:p>
      <w:pPr>
        <w:pStyle w:val="Heading1"/>
        <w:spacing w:after="100" w:before="320"/>
      </w:pPr>
      <w:r>
        <w:rPr>
          <w:rFonts w:ascii="Arial" w:cs="Arial" w:eastAsia="Arial" w:hAnsi="Arial"/>
          <w:b/>
          <w:bCs/>
          <w:caps/>
          <w:color w:val="1B3A6B"/>
          <w:sz w:val="28"/>
          <w:szCs w:val="28"/>
        </w:rPr>
        <w:t xml:space="preserve">Article 7 — Confidentiality</w:t>
      </w:r>
    </w:p>
    <w:p>
      <w:pPr>
        <w:spacing w:after="60" w:before="180"/>
      </w:pPr>
      <w:r>
        <w:rPr>
          <w:rFonts w:ascii="Arial" w:cs="Arial" w:eastAsia="Arial" w:hAnsi="Arial"/>
          <w:b/>
          <w:bCs/>
          <w:color w:val="1E4D8C"/>
          <w:sz w:val="22"/>
          <w:szCs w:val="22"/>
        </w:rPr>
        <w:t xml:space="preserve">7.1  </w:t>
      </w:r>
      <w:r>
        <w:rPr>
          <w:rFonts w:ascii="Arial" w:cs="Arial" w:eastAsia="Arial" w:hAnsi="Arial"/>
          <w:b/>
          <w:bCs/>
          <w:color w:val="0D1B2A"/>
          <w:sz w:val="22"/>
          <w:szCs w:val="22"/>
        </w:rPr>
        <w:t xml:space="preserve">Confidential Information</w:t>
      </w:r>
    </w:p>
    <w:p>
      <w:pPr>
        <w:spacing w:after="140" w:before="0"/>
        <w:jc w:val="both"/>
      </w:pPr>
      <w:r>
        <w:rPr>
          <w:rFonts w:ascii="Arial" w:cs="Arial" w:eastAsia="Arial" w:hAnsi="Arial"/>
          <w:color w:val="0D1B2A"/>
          <w:sz w:val="22"/>
          <w:szCs w:val="22"/>
        </w:rPr>
        <w:t xml:space="preserve">Confidential Information includes all non-public information belonging to or relating to Company, including:</w:t>
      </w:r>
    </w:p>
    <w:p>
      <w:pPr>
        <w:pStyle w:val="ListParagraph"/>
        <w:numPr>
          <w:ilvl w:val="0"/>
          <w:numId w:val="2"/>
        </w:numPr>
        <w:spacing w:after="90" w:before="0"/>
      </w:pPr>
      <w:r>
        <w:rPr>
          <w:rFonts w:ascii="Arial" w:cs="Arial" w:eastAsia="Arial" w:hAnsi="Arial"/>
          <w:color w:val="0D1B2A"/>
          <w:sz w:val="22"/>
          <w:szCs w:val="22"/>
        </w:rPr>
        <w:t xml:space="preserve">Technical: Source code, platform architecture, API specifications, system designs, AI configurations, infrastructure, and security systems;</w:t>
      </w:r>
    </w:p>
    <w:p>
      <w:pPr>
        <w:pStyle w:val="ListParagraph"/>
        <w:numPr>
          <w:ilvl w:val="0"/>
          <w:numId w:val="2"/>
        </w:numPr>
        <w:spacing w:after="90" w:before="0"/>
      </w:pPr>
      <w:r>
        <w:rPr>
          <w:rFonts w:ascii="Arial" w:cs="Arial" w:eastAsia="Arial" w:hAnsi="Arial"/>
          <w:color w:val="0D1B2A"/>
          <w:sz w:val="22"/>
          <w:szCs w:val="22"/>
        </w:rPr>
        <w:t xml:space="preserve">Business: Pricing, financials, projections, customer lists, pipeline, contracts, partnership terms, equity structures, and strategy;</w:t>
      </w:r>
    </w:p>
    <w:p>
      <w:pPr>
        <w:pStyle w:val="ListParagraph"/>
        <w:numPr>
          <w:ilvl w:val="0"/>
          <w:numId w:val="2"/>
        </w:numPr>
        <w:spacing w:after="90" w:before="0"/>
      </w:pPr>
      <w:r>
        <w:rPr>
          <w:rFonts w:ascii="Arial" w:cs="Arial" w:eastAsia="Arial" w:hAnsi="Arial"/>
          <w:color w:val="0D1B2A"/>
          <w:sz w:val="22"/>
          <w:szCs w:val="22"/>
        </w:rPr>
        <w:t xml:space="preserve">Customer/Agency: Agency identity, configurations, incident data, transcripts, and any information relating to Company's customers;</w:t>
      </w:r>
    </w:p>
    <w:p>
      <w:pPr>
        <w:pStyle w:val="ListParagraph"/>
        <w:numPr>
          <w:ilvl w:val="0"/>
          <w:numId w:val="2"/>
        </w:numPr>
        <w:spacing w:after="90" w:before="0"/>
      </w:pPr>
      <w:r>
        <w:rPr>
          <w:rFonts w:ascii="Arial" w:cs="Arial" w:eastAsia="Arial" w:hAnsi="Arial"/>
          <w:color w:val="0D1B2A"/>
          <w:sz w:val="22"/>
          <w:szCs w:val="22"/>
        </w:rPr>
        <w:t xml:space="preserve">Product: Roadmap, unreleased features, design specifications, and competitive analysis;</w:t>
      </w:r>
    </w:p>
    <w:p>
      <w:pPr>
        <w:pStyle w:val="ListParagraph"/>
        <w:numPr>
          <w:ilvl w:val="0"/>
          <w:numId w:val="2"/>
        </w:numPr>
        <w:spacing w:after="90" w:before="0"/>
      </w:pPr>
      <w:r>
        <w:rPr>
          <w:rFonts w:ascii="Arial" w:cs="Arial" w:eastAsia="Arial" w:hAnsi="Arial"/>
          <w:color w:val="0D1B2A"/>
          <w:sz w:val="22"/>
          <w:szCs w:val="22"/>
        </w:rPr>
        <w:t xml:space="preserve">Personnel: Compensation, equity structures, and information about other team members.</w:t>
      </w:r>
    </w:p>
    <w:p>
      <w:pPr>
        <w:spacing w:after="60" w:before="0"/>
      </w:pPr>
    </w:p>
    <w:p>
      <w:pPr>
        <w:spacing w:after="60" w:before="180"/>
      </w:pPr>
      <w:r>
        <w:rPr>
          <w:rFonts w:ascii="Arial" w:cs="Arial" w:eastAsia="Arial" w:hAnsi="Arial"/>
          <w:b/>
          <w:bCs/>
          <w:color w:val="1E4D8C"/>
          <w:sz w:val="22"/>
          <w:szCs w:val="22"/>
        </w:rPr>
        <w:t xml:space="preserve">7.2  </w:t>
      </w:r>
      <w:r>
        <w:rPr>
          <w:rFonts w:ascii="Arial" w:cs="Arial" w:eastAsia="Arial" w:hAnsi="Arial"/>
          <w:b/>
          <w:bCs/>
          <w:color w:val="0D1B2A"/>
          <w:sz w:val="22"/>
          <w:szCs w:val="22"/>
        </w:rPr>
        <w:t xml:space="preserve">Obligations</w:t>
      </w:r>
    </w:p>
    <w:p>
      <w:pPr>
        <w:spacing w:after="140" w:before="0"/>
        <w:jc w:val="both"/>
      </w:pPr>
      <w:r>
        <w:rPr>
          <w:rFonts w:ascii="Arial" w:cs="Arial" w:eastAsia="Arial" w:hAnsi="Arial"/>
          <w:color w:val="0D1B2A"/>
          <w:sz w:val="22"/>
          <w:szCs w:val="22"/>
        </w:rPr>
        <w:t xml:space="preserve">Individual shall: (a) hold all Confidential Information in strict confidence; (b) use Confidential Information solely for the Founding Role; (c) not disclose Confidential Information to any third party without written consent; (d) protect Confidential Information with at least reasonable care; and (e) promptly report any known or suspected breach.</w:t>
      </w:r>
    </w:p>
    <w:p>
      <w:pPr>
        <w:spacing w:after="60" w:before="180"/>
      </w:pPr>
      <w:r>
        <w:rPr>
          <w:rFonts w:ascii="Arial" w:cs="Arial" w:eastAsia="Arial" w:hAnsi="Arial"/>
          <w:b/>
          <w:bCs/>
          <w:color w:val="1E4D8C"/>
          <w:sz w:val="22"/>
          <w:szCs w:val="22"/>
        </w:rPr>
        <w:t xml:space="preserve">7.3  </w:t>
      </w:r>
      <w:r>
        <w:rPr>
          <w:rFonts w:ascii="Arial" w:cs="Arial" w:eastAsia="Arial" w:hAnsi="Arial"/>
          <w:b/>
          <w:bCs/>
          <w:color w:val="0D1B2A"/>
          <w:sz w:val="22"/>
          <w:szCs w:val="22"/>
        </w:rPr>
        <w:t xml:space="preserve">Return and Destruction</w:t>
      </w:r>
    </w:p>
    <w:p>
      <w:pPr>
        <w:spacing w:after="140" w:before="0"/>
        <w:jc w:val="both"/>
      </w:pPr>
      <w:r>
        <w:rPr>
          <w:rFonts w:ascii="Arial" w:cs="Arial" w:eastAsia="Arial" w:hAnsi="Arial"/>
          <w:color w:val="0D1B2A"/>
          <w:sz w:val="22"/>
          <w:szCs w:val="22"/>
        </w:rPr>
        <w:t xml:space="preserve">Upon termination, Individual shall immediately return or destroy all Confidential Information in any form — including digital copies on personal devices — and certify such return or destruction in writing within five (5) business days.</w:t>
      </w:r>
    </w:p>
    <w:p>
      <w:pPr>
        <w:spacing w:after="60" w:before="180"/>
      </w:pPr>
      <w:r>
        <w:rPr>
          <w:rFonts w:ascii="Arial" w:cs="Arial" w:eastAsia="Arial" w:hAnsi="Arial"/>
          <w:b/>
          <w:bCs/>
          <w:color w:val="1E4D8C"/>
          <w:sz w:val="22"/>
          <w:szCs w:val="22"/>
        </w:rPr>
        <w:t xml:space="preserve">7.4  </w:t>
      </w:r>
      <w:r>
        <w:rPr>
          <w:rFonts w:ascii="Arial" w:cs="Arial" w:eastAsia="Arial" w:hAnsi="Arial"/>
          <w:b/>
          <w:bCs/>
          <w:color w:val="0D1B2A"/>
          <w:sz w:val="22"/>
          <w:szCs w:val="22"/>
        </w:rPr>
        <w:t xml:space="preserve">Survival</w:t>
      </w:r>
    </w:p>
    <w:p>
      <w:pPr>
        <w:spacing w:after="140" w:before="0"/>
        <w:jc w:val="both"/>
      </w:pPr>
      <w:r>
        <w:rPr>
          <w:rFonts w:ascii="Arial" w:cs="Arial" w:eastAsia="Arial" w:hAnsi="Arial"/>
          <w:color w:val="0D1B2A"/>
          <w:sz w:val="22"/>
          <w:szCs w:val="22"/>
        </w:rPr>
        <w:t xml:space="preserve">Confidentiality obligations survive termination for five (5) years for general Confidential Information and indefinitely for trade secrets.</w:t>
      </w:r>
    </w:p>
    <w:p>
      <w:pPr>
        <w:spacing w:after="80" w:before="0"/>
      </w:pPr>
    </w:p>
    <w:p>
      <w:pPr>
        <w:pStyle w:val="Heading1"/>
        <w:spacing w:after="100" w:before="320"/>
      </w:pPr>
      <w:r>
        <w:rPr>
          <w:rFonts w:ascii="Arial" w:cs="Arial" w:eastAsia="Arial" w:hAnsi="Arial"/>
          <w:b/>
          <w:bCs/>
          <w:caps/>
          <w:color w:val="1B3A6B"/>
          <w:sz w:val="28"/>
          <w:szCs w:val="28"/>
        </w:rPr>
        <w:t xml:space="preserve">Article 8 — Non-Disparagement and Conduct</w:t>
      </w:r>
    </w:p>
    <w:p>
      <w:pPr>
        <w:spacing w:after="60" w:before="180"/>
      </w:pPr>
      <w:r>
        <w:rPr>
          <w:rFonts w:ascii="Arial" w:cs="Arial" w:eastAsia="Arial" w:hAnsi="Arial"/>
          <w:b/>
          <w:bCs/>
          <w:color w:val="1E4D8C"/>
          <w:sz w:val="22"/>
          <w:szCs w:val="22"/>
        </w:rPr>
        <w:t xml:space="preserve">8.1  </w:t>
      </w:r>
      <w:r>
        <w:rPr>
          <w:rFonts w:ascii="Arial" w:cs="Arial" w:eastAsia="Arial" w:hAnsi="Arial"/>
          <w:b/>
          <w:bCs/>
          <w:color w:val="0D1B2A"/>
          <w:sz w:val="22"/>
          <w:szCs w:val="22"/>
        </w:rPr>
        <w:t xml:space="preserve">Non-Disparagement</w:t>
      </w:r>
    </w:p>
    <w:p>
      <w:pPr>
        <w:spacing w:after="140" w:before="0"/>
        <w:jc w:val="both"/>
      </w:pPr>
      <w:r>
        <w:rPr>
          <w:rFonts w:ascii="Arial" w:cs="Arial" w:eastAsia="Arial" w:hAnsi="Arial"/>
          <w:color w:val="0D1B2A"/>
          <w:sz w:val="22"/>
          <w:szCs w:val="22"/>
        </w:rPr>
        <w:t xml:space="preserve">During the term and for two (2) years following termination, neither party shall make public statements — oral, written, or via social media — that disparage, defame, or damage the reputation of the other party, their officers, team, products, or customers.</w:t>
      </w:r>
    </w:p>
    <w:p>
      <w:pPr>
        <w:spacing w:after="60" w:before="180"/>
      </w:pPr>
      <w:r>
        <w:rPr>
          <w:rFonts w:ascii="Arial" w:cs="Arial" w:eastAsia="Arial" w:hAnsi="Arial"/>
          <w:b/>
          <w:bCs/>
          <w:color w:val="1E4D8C"/>
          <w:sz w:val="22"/>
          <w:szCs w:val="22"/>
        </w:rPr>
        <w:t xml:space="preserve">8.2  </w:t>
      </w:r>
      <w:r>
        <w:rPr>
          <w:rFonts w:ascii="Arial" w:cs="Arial" w:eastAsia="Arial" w:hAnsi="Arial"/>
          <w:b/>
          <w:bCs/>
          <w:color w:val="0D1B2A"/>
          <w:sz w:val="22"/>
          <w:szCs w:val="22"/>
        </w:rPr>
        <w:t xml:space="preserve">Conduct Standards</w:t>
      </w:r>
    </w:p>
    <w:p>
      <w:pPr>
        <w:spacing w:after="140" w:before="0"/>
        <w:jc w:val="both"/>
      </w:pPr>
      <w:r>
        <w:rPr>
          <w:rFonts w:ascii="Arial" w:cs="Arial" w:eastAsia="Arial" w:hAnsi="Arial"/>
          <w:color w:val="0D1B2A"/>
          <w:sz w:val="22"/>
          <w:szCs w:val="22"/>
        </w:rPr>
        <w:t xml:space="preserve">Individual agrees to: (a) represent Company and the NexCort iQ platform professionally and accurately at all times; (b) comply with all applicable laws in the performance of the Founding Role; (c) not make unauthorized representations about Company's products, capabilities, pricing, or customer relationships.</w:t>
      </w:r>
    </w:p>
    <w:p>
      <w:pPr>
        <w:spacing w:after="80" w:before="0"/>
      </w:pPr>
    </w:p>
    <w:p>
      <w:pPr>
        <w:pStyle w:val="Heading1"/>
        <w:spacing w:after="100" w:before="320"/>
      </w:pPr>
      <w:r>
        <w:rPr>
          <w:rFonts w:ascii="Arial" w:cs="Arial" w:eastAsia="Arial" w:hAnsi="Arial"/>
          <w:b/>
          <w:bCs/>
          <w:caps/>
          <w:color w:val="1B3A6B"/>
          <w:sz w:val="28"/>
          <w:szCs w:val="28"/>
        </w:rPr>
        <w:t xml:space="preserve">Article 9 — Conflict of Interest</w:t>
      </w:r>
    </w:p>
    <w:p>
      <w:pPr>
        <w:spacing w:after="60" w:before="180"/>
      </w:pPr>
      <w:r>
        <w:rPr>
          <w:rFonts w:ascii="Arial" w:cs="Arial" w:eastAsia="Arial" w:hAnsi="Arial"/>
          <w:b/>
          <w:bCs/>
          <w:color w:val="1E4D8C"/>
          <w:sz w:val="22"/>
          <w:szCs w:val="22"/>
        </w:rPr>
        <w:t xml:space="preserve">9.1  </w:t>
      </w:r>
      <w:r>
        <w:rPr>
          <w:rFonts w:ascii="Arial" w:cs="Arial" w:eastAsia="Arial" w:hAnsi="Arial"/>
          <w:b/>
          <w:bCs/>
          <w:color w:val="0D1B2A"/>
          <w:sz w:val="22"/>
          <w:szCs w:val="22"/>
        </w:rPr>
        <w:t xml:space="preserve">Disclosure</w:t>
      </w:r>
    </w:p>
    <w:p>
      <w:pPr>
        <w:spacing w:after="140" w:before="0"/>
        <w:jc w:val="both"/>
      </w:pPr>
      <w:r>
        <w:rPr>
          <w:rFonts w:ascii="Arial" w:cs="Arial" w:eastAsia="Arial" w:hAnsi="Arial"/>
          <w:color w:val="0D1B2A"/>
          <w:sz w:val="22"/>
          <w:szCs w:val="22"/>
        </w:rPr>
        <w:t xml:space="preserve">Individual shall promptly disclose to Company any existing or potential conflict of interest, including: (a) employment or equity interest in a direct competitor; (b) any relationship that could impair Individual's ability to fulfill the Founding Role objectively; (c) any government, agency, or public sector employment restricting private-sector advisory activities.</w:t>
      </w:r>
    </w:p>
    <w:p>
      <w:pPr>
        <w:spacing w:after="60" w:before="180"/>
      </w:pPr>
      <w:r>
        <w:rPr>
          <w:rFonts w:ascii="Arial" w:cs="Arial" w:eastAsia="Arial" w:hAnsi="Arial"/>
          <w:b/>
          <w:bCs/>
          <w:color w:val="1E4D8C"/>
          <w:sz w:val="22"/>
          <w:szCs w:val="22"/>
        </w:rPr>
        <w:t xml:space="preserve">9.2  </w:t>
      </w:r>
      <w:r>
        <w:rPr>
          <w:rFonts w:ascii="Arial" w:cs="Arial" w:eastAsia="Arial" w:hAnsi="Arial"/>
          <w:b/>
          <w:bCs/>
          <w:color w:val="0D1B2A"/>
          <w:sz w:val="22"/>
          <w:szCs w:val="22"/>
        </w:rPr>
        <w:t xml:space="preserve">Competing Activities</w:t>
      </w:r>
    </w:p>
    <w:p>
      <w:pPr>
        <w:spacing w:after="140" w:before="0"/>
        <w:jc w:val="both"/>
      </w:pPr>
      <w:r>
        <w:rPr>
          <w:rFonts w:ascii="Arial" w:cs="Arial" w:eastAsia="Arial" w:hAnsi="Arial"/>
          <w:color w:val="0D1B2A"/>
          <w:sz w:val="22"/>
          <w:szCs w:val="22"/>
        </w:rPr>
        <w:t xml:space="preserve">Individual may engage in other professional activities provided they do not materially interfere with Founding Role responsibilities and do not constitute a conflict of interest. Individual shall obtain written consent from Company before accepting any role with a direct competitor of NexCort iQ.</w:t>
      </w:r>
    </w:p>
    <w:p>
      <w:pPr>
        <w:spacing w:after="80" w:before="0"/>
      </w:pPr>
    </w:p>
    <w:p>
      <w:pPr>
        <w:pStyle w:val="Heading1"/>
        <w:spacing w:after="100" w:before="320"/>
      </w:pPr>
      <w:r>
        <w:rPr>
          <w:rFonts w:ascii="Arial" w:cs="Arial" w:eastAsia="Arial" w:hAnsi="Arial"/>
          <w:b/>
          <w:bCs/>
          <w:caps/>
          <w:color w:val="1B3A6B"/>
          <w:sz w:val="28"/>
          <w:szCs w:val="28"/>
        </w:rPr>
        <w:t xml:space="preserve">Article 10 — Term and Termination</w:t>
      </w:r>
    </w:p>
    <w:p>
      <w:pPr>
        <w:spacing w:after="60" w:before="180"/>
      </w:pPr>
      <w:r>
        <w:rPr>
          <w:rFonts w:ascii="Arial" w:cs="Arial" w:eastAsia="Arial" w:hAnsi="Arial"/>
          <w:b/>
          <w:bCs/>
          <w:color w:val="1E4D8C"/>
          <w:sz w:val="22"/>
          <w:szCs w:val="22"/>
        </w:rPr>
        <w:t xml:space="preserve">10.1  </w:t>
      </w:r>
      <w:r>
        <w:rPr>
          <w:rFonts w:ascii="Arial" w:cs="Arial" w:eastAsia="Arial" w:hAnsi="Arial"/>
          <w:b/>
          <w:bCs/>
          <w:color w:val="0D1B2A"/>
          <w:sz w:val="22"/>
          <w:szCs w:val="22"/>
        </w:rPr>
        <w:t xml:space="preserve">Term</w:t>
      </w:r>
    </w:p>
    <w:p>
      <w:pPr>
        <w:spacing w:after="140" w:before="0"/>
        <w:jc w:val="both"/>
      </w:pPr>
      <w:r>
        <w:rPr>
          <w:rFonts w:ascii="Arial" w:cs="Arial" w:eastAsia="Arial" w:hAnsi="Arial"/>
          <w:color w:val="0D1B2A"/>
          <w:sz w:val="22"/>
          <w:szCs w:val="22"/>
        </w:rPr>
        <w:t xml:space="preserve">This Agreement is effective as of the Effective Date. Unless earlier terminated, this Agreement continues until all equity is fully vested or the parties otherwise agree in writing to conclude the engagement.</w:t>
      </w:r>
    </w:p>
    <w:p>
      <w:pPr>
        <w:spacing w:after="60" w:before="180"/>
      </w:pPr>
      <w:r>
        <w:rPr>
          <w:rFonts w:ascii="Arial" w:cs="Arial" w:eastAsia="Arial" w:hAnsi="Arial"/>
          <w:b/>
          <w:bCs/>
          <w:color w:val="1E4D8C"/>
          <w:sz w:val="22"/>
          <w:szCs w:val="22"/>
        </w:rPr>
        <w:t xml:space="preserve">10.2  </w:t>
      </w:r>
      <w:r>
        <w:rPr>
          <w:rFonts w:ascii="Arial" w:cs="Arial" w:eastAsia="Arial" w:hAnsi="Arial"/>
          <w:b/>
          <w:bCs/>
          <w:color w:val="0D1B2A"/>
          <w:sz w:val="22"/>
          <w:szCs w:val="22"/>
        </w:rPr>
        <w:t xml:space="preserve">Termination for Convenience</w:t>
      </w:r>
    </w:p>
    <w:p>
      <w:pPr>
        <w:spacing w:after="140" w:before="0"/>
        <w:jc w:val="both"/>
      </w:pPr>
      <w:r>
        <w:rPr>
          <w:rFonts w:ascii="Arial" w:cs="Arial" w:eastAsia="Arial" w:hAnsi="Arial"/>
          <w:color w:val="0D1B2A"/>
          <w:sz w:val="22"/>
          <w:szCs w:val="22"/>
        </w:rPr>
        <w:t xml:space="preserve">Either party may terminate this Agreement upon thirty (30) days written notice to the other party.</w:t>
      </w:r>
    </w:p>
    <w:p>
      <w:pPr>
        <w:spacing w:after="60" w:before="180"/>
      </w:pPr>
      <w:r>
        <w:rPr>
          <w:rFonts w:ascii="Arial" w:cs="Arial" w:eastAsia="Arial" w:hAnsi="Arial"/>
          <w:b/>
          <w:bCs/>
          <w:color w:val="1E4D8C"/>
          <w:sz w:val="22"/>
          <w:szCs w:val="22"/>
        </w:rPr>
        <w:t xml:space="preserve">10.3  </w:t>
      </w:r>
      <w:r>
        <w:rPr>
          <w:rFonts w:ascii="Arial" w:cs="Arial" w:eastAsia="Arial" w:hAnsi="Arial"/>
          <w:b/>
          <w:bCs/>
          <w:color w:val="0D1B2A"/>
          <w:sz w:val="22"/>
          <w:szCs w:val="22"/>
        </w:rPr>
        <w:t xml:space="preserve">Immediate Termination</w:t>
      </w:r>
    </w:p>
    <w:p>
      <w:pPr>
        <w:spacing w:after="140" w:before="0"/>
        <w:jc w:val="both"/>
      </w:pPr>
      <w:r>
        <w:rPr>
          <w:rFonts w:ascii="Arial" w:cs="Arial" w:eastAsia="Arial" w:hAnsi="Arial"/>
          <w:color w:val="0D1B2A"/>
          <w:sz w:val="22"/>
          <w:szCs w:val="22"/>
        </w:rPr>
        <w:t xml:space="preserve">Company may terminate immediately for cause, including: (a) material breach of any provision of this Agreement; (b) misconduct, fraud, or dishonesty; (c) willful misappropriation of Company assets or Confidential Information; (d) actions harmful to Company's reputation, customers, or business; or (e) violation of applicable law in connection with the Founding Role.</w:t>
      </w:r>
    </w:p>
    <w:p>
      <w:pPr>
        <w:spacing w:after="60" w:before="180"/>
      </w:pPr>
      <w:r>
        <w:rPr>
          <w:rFonts w:ascii="Arial" w:cs="Arial" w:eastAsia="Arial" w:hAnsi="Arial"/>
          <w:b/>
          <w:bCs/>
          <w:color w:val="1E4D8C"/>
          <w:sz w:val="22"/>
          <w:szCs w:val="22"/>
        </w:rPr>
        <w:t xml:space="preserve">10.4  </w:t>
      </w:r>
      <w:r>
        <w:rPr>
          <w:rFonts w:ascii="Arial" w:cs="Arial" w:eastAsia="Arial" w:hAnsi="Arial"/>
          <w:b/>
          <w:bCs/>
          <w:color w:val="0D1B2A"/>
          <w:sz w:val="22"/>
          <w:szCs w:val="22"/>
        </w:rPr>
        <w:t xml:space="preserve">Effect of Termination</w:t>
      </w:r>
    </w:p>
    <w:p>
      <w:pPr>
        <w:spacing w:after="140" w:before="0"/>
        <w:jc w:val="both"/>
      </w:pPr>
      <w:r>
        <w:rPr>
          <w:rFonts w:ascii="Arial" w:cs="Arial" w:eastAsia="Arial" w:hAnsi="Arial"/>
          <w:color w:val="0D1B2A"/>
          <w:sz w:val="22"/>
          <w:szCs w:val="22"/>
        </w:rPr>
        <w:t xml:space="preserve">Upon termination: (a) all unvested equity is immediately forfeited; (b) all access to Company systems, data, and resources is immediately revoked; (c) Individual returns or destroys all Confidential Information; (d) IP assignment obligations survive permanently; (e) non-solicitation obligations survive for twelve (12) months; (f) confidentiality obligations survive as specified in Article 7.</w:t>
      </w:r>
    </w:p>
    <w:p>
      <w:pPr>
        <w:spacing w:after="60" w:before="180"/>
      </w:pPr>
      <w:r>
        <w:rPr>
          <w:rFonts w:ascii="Arial" w:cs="Arial" w:eastAsia="Arial" w:hAnsi="Arial"/>
          <w:b/>
          <w:bCs/>
          <w:color w:val="1E4D8C"/>
          <w:sz w:val="22"/>
          <w:szCs w:val="22"/>
        </w:rPr>
        <w:t xml:space="preserve">10.5  </w:t>
      </w:r>
      <w:r>
        <w:rPr>
          <w:rFonts w:ascii="Arial" w:cs="Arial" w:eastAsia="Arial" w:hAnsi="Arial"/>
          <w:b/>
          <w:bCs/>
          <w:color w:val="0D1B2A"/>
          <w:sz w:val="22"/>
          <w:szCs w:val="22"/>
        </w:rPr>
        <w:t xml:space="preserve">Transition Cooperation</w:t>
      </w:r>
    </w:p>
    <w:p>
      <w:pPr>
        <w:spacing w:after="140" w:before="0"/>
        <w:jc w:val="both"/>
      </w:pPr>
      <w:r>
        <w:rPr>
          <w:rFonts w:ascii="Arial" w:cs="Arial" w:eastAsia="Arial" w:hAnsi="Arial"/>
          <w:color w:val="0D1B2A"/>
          <w:sz w:val="22"/>
          <w:szCs w:val="22"/>
        </w:rPr>
        <w:t xml:space="preserve">Upon termination, Individual agrees to cooperate fully with Company for a reasonable transition period — not to exceed thirty (30) days — to transfer knowledge, hand off responsibilities, and ensure business continuity, without additional compensation.</w:t>
      </w:r>
    </w:p>
    <w:p>
      <w:pPr>
        <w:spacing w:after="80" w:before="0"/>
      </w:pPr>
    </w:p>
    <w:p>
      <w:pPr>
        <w:pStyle w:val="Heading1"/>
        <w:spacing w:after="100" w:before="320"/>
      </w:pPr>
      <w:r>
        <w:rPr>
          <w:rFonts w:ascii="Arial" w:cs="Arial" w:eastAsia="Arial" w:hAnsi="Arial"/>
          <w:b/>
          <w:bCs/>
          <w:caps/>
          <w:color w:val="1B3A6B"/>
          <w:sz w:val="28"/>
          <w:szCs w:val="28"/>
        </w:rPr>
        <w:t xml:space="preserve">Article 11 — Representations and Warranties</w:t>
      </w:r>
    </w:p>
    <w:p>
      <w:pPr>
        <w:spacing w:after="140" w:before="0"/>
        <w:jc w:val="both"/>
      </w:pPr>
      <w:r>
        <w:rPr>
          <w:rFonts w:ascii="Arial" w:cs="Arial" w:eastAsia="Arial" w:hAnsi="Arial"/>
          <w:color w:val="0D1B2A"/>
          <w:sz w:val="22"/>
          <w:szCs w:val="22"/>
        </w:rPr>
        <w:t xml:space="preserve">Individual represents and warrants that:</w:t>
      </w:r>
    </w:p>
    <w:p>
      <w:pPr>
        <w:pStyle w:val="ListParagraph"/>
        <w:numPr>
          <w:ilvl w:val="0"/>
          <w:numId w:val="3"/>
        </w:numPr>
        <w:spacing w:after="110" w:before="0"/>
      </w:pPr>
      <w:r>
        <w:rPr>
          <w:rFonts w:ascii="Arial" w:cs="Arial" w:eastAsia="Arial" w:hAnsi="Arial"/>
          <w:color w:val="0D1B2A"/>
          <w:sz w:val="22"/>
          <w:szCs w:val="22"/>
        </w:rPr>
        <w:t xml:space="preserve">Individual has full legal authority to enter into this Agreement and that doing so does not violate any other agreement, court order, or legal obligation;</w:t>
      </w:r>
    </w:p>
    <w:p>
      <w:pPr>
        <w:pStyle w:val="ListParagraph"/>
        <w:numPr>
          <w:ilvl w:val="0"/>
          <w:numId w:val="3"/>
        </w:numPr>
        <w:spacing w:after="110" w:before="0"/>
      </w:pPr>
      <w:r>
        <w:rPr>
          <w:rFonts w:ascii="Arial" w:cs="Arial" w:eastAsia="Arial" w:hAnsi="Arial"/>
          <w:color w:val="0D1B2A"/>
          <w:sz w:val="22"/>
          <w:szCs w:val="22"/>
        </w:rPr>
        <w:t xml:space="preserve">Individual is not subject to any non-compete, non-solicitation, or IP assignment agreement with a prior employer that would prevent performance of this Agreement, or has fully disclosed any such restrictions to Company;</w:t>
      </w:r>
    </w:p>
    <w:p>
      <w:pPr>
        <w:pStyle w:val="ListParagraph"/>
        <w:numPr>
          <w:ilvl w:val="0"/>
          <w:numId w:val="3"/>
        </w:numPr>
        <w:spacing w:after="110" w:before="0"/>
      </w:pPr>
      <w:r>
        <w:rPr>
          <w:rFonts w:ascii="Arial" w:cs="Arial" w:eastAsia="Arial" w:hAnsi="Arial"/>
          <w:color w:val="0D1B2A"/>
          <w:sz w:val="22"/>
          <w:szCs w:val="22"/>
        </w:rPr>
        <w:t xml:space="preserve">Individual will not use, bring to Company, or incorporate any confidential or proprietary materials belonging to any prior employer without authorization;</w:t>
      </w:r>
    </w:p>
    <w:p>
      <w:pPr>
        <w:pStyle w:val="ListParagraph"/>
        <w:numPr>
          <w:ilvl w:val="0"/>
          <w:numId w:val="3"/>
        </w:numPr>
        <w:spacing w:after="110" w:before="0"/>
      </w:pPr>
      <w:r>
        <w:rPr>
          <w:rFonts w:ascii="Arial" w:cs="Arial" w:eastAsia="Arial" w:hAnsi="Arial"/>
          <w:color w:val="0D1B2A"/>
          <w:sz w:val="22"/>
          <w:szCs w:val="22"/>
        </w:rPr>
        <w:t xml:space="preserve">Individual understands the speculative, equity-only nature of current compensation and has had the opportunity to consult with independent legal and financial counsel;</w:t>
      </w:r>
    </w:p>
    <w:p>
      <w:pPr>
        <w:pStyle w:val="ListParagraph"/>
        <w:numPr>
          <w:ilvl w:val="0"/>
          <w:numId w:val="3"/>
        </w:numPr>
        <w:spacing w:after="110" w:before="0"/>
      </w:pPr>
      <w:r>
        <w:rPr>
          <w:rFonts w:ascii="Arial" w:cs="Arial" w:eastAsia="Arial" w:hAnsi="Arial"/>
          <w:color w:val="0D1B2A"/>
          <w:sz w:val="22"/>
          <w:szCs w:val="22"/>
        </w:rPr>
        <w:t xml:space="preserve">Individual is entering this Agreement voluntarily and free from any coercion.</w:t>
      </w:r>
    </w:p>
    <w:p>
      <w:pPr>
        <w:spacing w:after="80" w:before="0"/>
      </w:pPr>
    </w:p>
    <w:p>
      <w:pPr>
        <w:pStyle w:val="Heading1"/>
        <w:spacing w:after="100" w:before="320"/>
      </w:pPr>
      <w:r>
        <w:rPr>
          <w:rFonts w:ascii="Arial" w:cs="Arial" w:eastAsia="Arial" w:hAnsi="Arial"/>
          <w:b/>
          <w:bCs/>
          <w:caps/>
          <w:color w:val="1B3A6B"/>
          <w:sz w:val="28"/>
          <w:szCs w:val="28"/>
        </w:rPr>
        <w:t xml:space="preserve">Article 12 — General Provisions</w:t>
      </w:r>
    </w:p>
    <w:p>
      <w:pPr>
        <w:spacing w:after="60" w:before="180"/>
      </w:pPr>
      <w:r>
        <w:rPr>
          <w:rFonts w:ascii="Arial" w:cs="Arial" w:eastAsia="Arial" w:hAnsi="Arial"/>
          <w:b/>
          <w:bCs/>
          <w:color w:val="1E4D8C"/>
          <w:sz w:val="22"/>
          <w:szCs w:val="22"/>
        </w:rPr>
        <w:t xml:space="preserve">12.1  </w:t>
      </w:r>
      <w:r>
        <w:rPr>
          <w:rFonts w:ascii="Arial" w:cs="Arial" w:eastAsia="Arial" w:hAnsi="Arial"/>
          <w:b/>
          <w:bCs/>
          <w:color w:val="0D1B2A"/>
          <w:sz w:val="22"/>
          <w:szCs w:val="22"/>
        </w:rPr>
        <w:t xml:space="preserve">Governing Law</w:t>
      </w:r>
    </w:p>
    <w:p>
      <w:pPr>
        <w:spacing w:after="140" w:before="0"/>
        <w:jc w:val="both"/>
      </w:pPr>
      <w:r>
        <w:rPr>
          <w:rFonts w:ascii="Arial" w:cs="Arial" w:eastAsia="Arial" w:hAnsi="Arial"/>
          <w:color w:val="0D1B2A"/>
          <w:sz w:val="22"/>
          <w:szCs w:val="22"/>
        </w:rPr>
        <w:t xml:space="preserve">This Agreement shall be governed by the laws of the State of Georgia, without regard to its conflict of laws principles. The Georgia Trade Secrets Act (O.C.G.A. § 10-1-760 et seq.) shall apply to confidential information and trade secrets.</w:t>
      </w:r>
    </w:p>
    <w:p>
      <w:pPr>
        <w:spacing w:after="60" w:before="180"/>
      </w:pPr>
      <w:r>
        <w:rPr>
          <w:rFonts w:ascii="Arial" w:cs="Arial" w:eastAsia="Arial" w:hAnsi="Arial"/>
          <w:b/>
          <w:bCs/>
          <w:color w:val="1E4D8C"/>
          <w:sz w:val="22"/>
          <w:szCs w:val="22"/>
        </w:rPr>
        <w:t xml:space="preserve">12.2  </w:t>
      </w:r>
      <w:r>
        <w:rPr>
          <w:rFonts w:ascii="Arial" w:cs="Arial" w:eastAsia="Arial" w:hAnsi="Arial"/>
          <w:b/>
          <w:bCs/>
          <w:color w:val="0D1B2A"/>
          <w:sz w:val="22"/>
          <w:szCs w:val="22"/>
        </w:rPr>
        <w:t xml:space="preserve">Jurisdiction and Venue</w:t>
      </w:r>
    </w:p>
    <w:p>
      <w:pPr>
        <w:spacing w:after="140" w:before="0"/>
        <w:jc w:val="both"/>
      </w:pPr>
      <w:r>
        <w:rPr>
          <w:rFonts w:ascii="Arial" w:cs="Arial" w:eastAsia="Arial" w:hAnsi="Arial"/>
          <w:color w:val="0D1B2A"/>
          <w:sz w:val="22"/>
          <w:szCs w:val="22"/>
        </w:rPr>
        <w:t xml:space="preserve">The parties consent to exclusive jurisdiction of state and federal courts in Georgia for any dispute arising from this Agreement.</w:t>
      </w:r>
    </w:p>
    <w:p>
      <w:pPr>
        <w:spacing w:after="60" w:before="180"/>
      </w:pPr>
      <w:r>
        <w:rPr>
          <w:rFonts w:ascii="Arial" w:cs="Arial" w:eastAsia="Arial" w:hAnsi="Arial"/>
          <w:b/>
          <w:bCs/>
          <w:color w:val="1E4D8C"/>
          <w:sz w:val="22"/>
          <w:szCs w:val="22"/>
        </w:rPr>
        <w:t xml:space="preserve">12.3  </w:t>
      </w:r>
      <w:r>
        <w:rPr>
          <w:rFonts w:ascii="Arial" w:cs="Arial" w:eastAsia="Arial" w:hAnsi="Arial"/>
          <w:b/>
          <w:bCs/>
          <w:color w:val="0D1B2A"/>
          <w:sz w:val="22"/>
          <w:szCs w:val="22"/>
        </w:rPr>
        <w:t xml:space="preserve">Entire Agreement</w:t>
      </w:r>
    </w:p>
    <w:p>
      <w:pPr>
        <w:spacing w:after="140" w:before="0"/>
        <w:jc w:val="both"/>
      </w:pPr>
      <w:r>
        <w:rPr>
          <w:rFonts w:ascii="Arial" w:cs="Arial" w:eastAsia="Arial" w:hAnsi="Arial"/>
          <w:color w:val="0D1B2A"/>
          <w:sz w:val="22"/>
          <w:szCs w:val="22"/>
        </w:rPr>
        <w:t xml:space="preserve">This Agreement constitutes the entire agreement between the parties on the subject matter hereof and supersedes all prior discussions, negotiations, and understandings.</w:t>
      </w:r>
    </w:p>
    <w:p>
      <w:pPr>
        <w:spacing w:after="60" w:before="180"/>
      </w:pPr>
      <w:r>
        <w:rPr>
          <w:rFonts w:ascii="Arial" w:cs="Arial" w:eastAsia="Arial" w:hAnsi="Arial"/>
          <w:b/>
          <w:bCs/>
          <w:color w:val="1E4D8C"/>
          <w:sz w:val="22"/>
          <w:szCs w:val="22"/>
        </w:rPr>
        <w:t xml:space="preserve">12.4  </w:t>
      </w:r>
      <w:r>
        <w:rPr>
          <w:rFonts w:ascii="Arial" w:cs="Arial" w:eastAsia="Arial" w:hAnsi="Arial"/>
          <w:b/>
          <w:bCs/>
          <w:color w:val="0D1B2A"/>
          <w:sz w:val="22"/>
          <w:szCs w:val="22"/>
        </w:rPr>
        <w:t xml:space="preserve">Amendment</w:t>
      </w:r>
    </w:p>
    <w:p>
      <w:pPr>
        <w:spacing w:after="140" w:before="0"/>
        <w:jc w:val="both"/>
      </w:pPr>
      <w:r>
        <w:rPr>
          <w:rFonts w:ascii="Arial" w:cs="Arial" w:eastAsia="Arial" w:hAnsi="Arial"/>
          <w:color w:val="0D1B2A"/>
          <w:sz w:val="22"/>
          <w:szCs w:val="22"/>
        </w:rPr>
        <w:t xml:space="preserve">This Agreement may only be modified by a written instrument signed by both parties.</w:t>
      </w:r>
    </w:p>
    <w:p>
      <w:pPr>
        <w:spacing w:after="60" w:before="180"/>
      </w:pPr>
      <w:r>
        <w:rPr>
          <w:rFonts w:ascii="Arial" w:cs="Arial" w:eastAsia="Arial" w:hAnsi="Arial"/>
          <w:b/>
          <w:bCs/>
          <w:color w:val="1E4D8C"/>
          <w:sz w:val="22"/>
          <w:szCs w:val="22"/>
        </w:rPr>
        <w:t xml:space="preserve">12.5  </w:t>
      </w:r>
      <w:r>
        <w:rPr>
          <w:rFonts w:ascii="Arial" w:cs="Arial" w:eastAsia="Arial" w:hAnsi="Arial"/>
          <w:b/>
          <w:bCs/>
          <w:color w:val="0D1B2A"/>
          <w:sz w:val="22"/>
          <w:szCs w:val="22"/>
        </w:rPr>
        <w:t xml:space="preserve">Severability</w:t>
      </w:r>
    </w:p>
    <w:p>
      <w:pPr>
        <w:spacing w:after="140" w:before="0"/>
        <w:jc w:val="both"/>
      </w:pPr>
      <w:r>
        <w:rPr>
          <w:rFonts w:ascii="Arial" w:cs="Arial" w:eastAsia="Arial" w:hAnsi="Arial"/>
          <w:color w:val="0D1B2A"/>
          <w:sz w:val="22"/>
          <w:szCs w:val="22"/>
        </w:rPr>
        <w:t xml:space="preserve">If any provision is found unenforceable, it shall be modified to the minimum extent necessary and all other provisions remain in full force.</w:t>
      </w:r>
    </w:p>
    <w:p>
      <w:pPr>
        <w:spacing w:after="60" w:before="180"/>
      </w:pPr>
      <w:r>
        <w:rPr>
          <w:rFonts w:ascii="Arial" w:cs="Arial" w:eastAsia="Arial" w:hAnsi="Arial"/>
          <w:b/>
          <w:bCs/>
          <w:color w:val="1E4D8C"/>
          <w:sz w:val="22"/>
          <w:szCs w:val="22"/>
        </w:rPr>
        <w:t xml:space="preserve">12.6  </w:t>
      </w:r>
      <w:r>
        <w:rPr>
          <w:rFonts w:ascii="Arial" w:cs="Arial" w:eastAsia="Arial" w:hAnsi="Arial"/>
          <w:b/>
          <w:bCs/>
          <w:color w:val="0D1B2A"/>
          <w:sz w:val="22"/>
          <w:szCs w:val="22"/>
        </w:rPr>
        <w:t xml:space="preserve">Electronic Signatures</w:t>
      </w:r>
    </w:p>
    <w:p>
      <w:pPr>
        <w:spacing w:after="140" w:before="0"/>
        <w:jc w:val="both"/>
      </w:pPr>
      <w:r>
        <w:rPr>
          <w:rFonts w:ascii="Arial" w:cs="Arial" w:eastAsia="Arial" w:hAnsi="Arial"/>
          <w:color w:val="0D1B2A"/>
          <w:sz w:val="22"/>
          <w:szCs w:val="22"/>
        </w:rPr>
        <w:t xml:space="preserve">Electronic signatures executed via DocuSign, Adobe Sign, or equivalent platforms are legally binding and have the same force as handwritten signatures under ESIGN and UETA.</w:t>
      </w:r>
    </w:p>
    <w:p>
      <w:pPr>
        <w:spacing w:after="60" w:before="180"/>
      </w:pPr>
      <w:r>
        <w:rPr>
          <w:rFonts w:ascii="Arial" w:cs="Arial" w:eastAsia="Arial" w:hAnsi="Arial"/>
          <w:b/>
          <w:bCs/>
          <w:color w:val="1E4D8C"/>
          <w:sz w:val="22"/>
          <w:szCs w:val="22"/>
        </w:rPr>
        <w:t xml:space="preserve">12.7  </w:t>
      </w:r>
      <w:r>
        <w:rPr>
          <w:rFonts w:ascii="Arial" w:cs="Arial" w:eastAsia="Arial" w:hAnsi="Arial"/>
          <w:b/>
          <w:bCs/>
          <w:color w:val="0D1B2A"/>
          <w:sz w:val="22"/>
          <w:szCs w:val="22"/>
        </w:rPr>
        <w:t xml:space="preserve">No Waiver</w:t>
      </w:r>
    </w:p>
    <w:p>
      <w:pPr>
        <w:spacing w:after="140" w:before="0"/>
        <w:jc w:val="both"/>
      </w:pPr>
      <w:r>
        <w:rPr>
          <w:rFonts w:ascii="Arial" w:cs="Arial" w:eastAsia="Arial" w:hAnsi="Arial"/>
          <w:color w:val="0D1B2A"/>
          <w:sz w:val="22"/>
          <w:szCs w:val="22"/>
        </w:rPr>
        <w:t xml:space="preserve">Failure to enforce any provision does not waive future enforcement rights.</w:t>
      </w:r>
    </w:p>
    <w:p>
      <w:pPr>
        <w:spacing w:after="60" w:before="180"/>
      </w:pPr>
      <w:r>
        <w:rPr>
          <w:rFonts w:ascii="Arial" w:cs="Arial" w:eastAsia="Arial" w:hAnsi="Arial"/>
          <w:b/>
          <w:bCs/>
          <w:color w:val="1E4D8C"/>
          <w:sz w:val="22"/>
          <w:szCs w:val="22"/>
        </w:rPr>
        <w:t xml:space="preserve">12.8  </w:t>
      </w:r>
      <w:r>
        <w:rPr>
          <w:rFonts w:ascii="Arial" w:cs="Arial" w:eastAsia="Arial" w:hAnsi="Arial"/>
          <w:b/>
          <w:bCs/>
          <w:color w:val="0D1B2A"/>
          <w:sz w:val="22"/>
          <w:szCs w:val="22"/>
        </w:rPr>
        <w:t xml:space="preserve">Assignment</w:t>
      </w:r>
    </w:p>
    <w:p>
      <w:pPr>
        <w:spacing w:after="140" w:before="0"/>
        <w:jc w:val="both"/>
      </w:pPr>
      <w:r>
        <w:rPr>
          <w:rFonts w:ascii="Arial" w:cs="Arial" w:eastAsia="Arial" w:hAnsi="Arial"/>
          <w:color w:val="0D1B2A"/>
          <w:sz w:val="22"/>
          <w:szCs w:val="22"/>
        </w:rPr>
        <w:t xml:space="preserve">Individual may not assign this Agreement. Company may assign in connection with a merger, acquisition, or sale of substantially all assets.</w:t>
      </w:r>
    </w:p>
    <w:p>
      <w:pPr>
        <w:spacing w:after="60" w:before="180"/>
      </w:pPr>
      <w:r>
        <w:rPr>
          <w:rFonts w:ascii="Arial" w:cs="Arial" w:eastAsia="Arial" w:hAnsi="Arial"/>
          <w:b/>
          <w:bCs/>
          <w:color w:val="1E4D8C"/>
          <w:sz w:val="22"/>
          <w:szCs w:val="22"/>
        </w:rPr>
        <w:t xml:space="preserve">12.9  </w:t>
      </w:r>
      <w:r>
        <w:rPr>
          <w:rFonts w:ascii="Arial" w:cs="Arial" w:eastAsia="Arial" w:hAnsi="Arial"/>
          <w:b/>
          <w:bCs/>
          <w:color w:val="0D1B2A"/>
          <w:sz w:val="22"/>
          <w:szCs w:val="22"/>
        </w:rPr>
        <w:t xml:space="preserve">Notices</w:t>
      </w:r>
    </w:p>
    <w:p>
      <w:pPr>
        <w:spacing w:after="140" w:before="0"/>
        <w:jc w:val="both"/>
      </w:pPr>
      <w:r>
        <w:rPr>
          <w:rFonts w:ascii="Arial" w:cs="Arial" w:eastAsia="Arial" w:hAnsi="Arial"/>
          <w:color w:val="0D1B2A"/>
          <w:sz w:val="22"/>
          <w:szCs w:val="22"/>
        </w:rPr>
        <w:t xml:space="preserve">Legal notices shall be delivered to Company at legal@rapidcortex.us and to Individual at the email provided in the signature block below.</w:t>
      </w:r>
    </w:p>
    <w:p>
      <w:pPr>
        <w:spacing w:after="60" w:before="180"/>
      </w:pPr>
      <w:r>
        <w:rPr>
          <w:rFonts w:ascii="Arial" w:cs="Arial" w:eastAsia="Arial" w:hAnsi="Arial"/>
          <w:b/>
          <w:bCs/>
          <w:color w:val="1E4D8C"/>
          <w:sz w:val="22"/>
          <w:szCs w:val="22"/>
        </w:rPr>
        <w:t xml:space="preserve">12.10  </w:t>
      </w:r>
      <w:r>
        <w:rPr>
          <w:rFonts w:ascii="Arial" w:cs="Arial" w:eastAsia="Arial" w:hAnsi="Arial"/>
          <w:b/>
          <w:bCs/>
          <w:color w:val="0D1B2A"/>
          <w:sz w:val="22"/>
          <w:szCs w:val="22"/>
        </w:rPr>
        <w:t xml:space="preserve">Counterparts</w:t>
      </w:r>
    </w:p>
    <w:p>
      <w:pPr>
        <w:spacing w:after="140" w:before="0"/>
        <w:jc w:val="both"/>
      </w:pPr>
      <w:r>
        <w:rPr>
          <w:rFonts w:ascii="Arial" w:cs="Arial" w:eastAsia="Arial" w:hAnsi="Arial"/>
          <w:color w:val="0D1B2A"/>
          <w:sz w:val="22"/>
          <w:szCs w:val="22"/>
        </w:rPr>
        <w:t xml:space="preserve">This Agreement may be executed in counterparts, each of which is an original, and all of which together constitute one instrument.</w:t>
      </w:r>
    </w:p>
    <w:p>
      <w:pPr>
        <w:spacing w:after="60" w:before="180"/>
      </w:pPr>
      <w:r>
        <w:rPr>
          <w:rFonts w:ascii="Arial" w:cs="Arial" w:eastAsia="Arial" w:hAnsi="Arial"/>
          <w:b/>
          <w:bCs/>
          <w:color w:val="1E4D8C"/>
          <w:sz w:val="22"/>
          <w:szCs w:val="22"/>
        </w:rPr>
        <w:t xml:space="preserve">12.11  </w:t>
      </w:r>
      <w:r>
        <w:rPr>
          <w:rFonts w:ascii="Arial" w:cs="Arial" w:eastAsia="Arial" w:hAnsi="Arial"/>
          <w:b/>
          <w:bCs/>
          <w:color w:val="0D1B2A"/>
          <w:sz w:val="22"/>
          <w:szCs w:val="22"/>
        </w:rPr>
        <w:t xml:space="preserve">Acknowledgment</w:t>
      </w:r>
    </w:p>
    <w:p>
      <w:pPr>
        <w:spacing w:after="140" w:before="0"/>
        <w:jc w:val="both"/>
      </w:pPr>
      <w:r>
        <w:rPr>
          <w:rFonts w:ascii="Arial" w:cs="Arial" w:eastAsia="Arial" w:hAnsi="Arial"/>
          <w:color w:val="0D1B2A"/>
          <w:sz w:val="22"/>
          <w:szCs w:val="22"/>
        </w:rPr>
        <w:t xml:space="preserve">Individual acknowledges reading this Agreement in full, understanding its terms, and having had the opportunity to consult with independent legal counsel before signing.</w:t>
      </w:r>
    </w:p>
    <w:p>
      <w:pPr>
        <w:spacing w:after="80" w:before="0"/>
      </w:pPr>
    </w:p>
    <w:p>
      <w:r>
        <w:br w:type="page"/>
      </w:r>
    </w:p>
    <w:p>
      <w:pPr>
        <w:spacing w:after="40" w:before="0"/>
        <w:jc w:val="center"/>
      </w:pPr>
      <w:r>
        <w:rPr>
          <w:rFonts w:ascii="Arial" w:cs="Arial" w:eastAsia="Arial" w:hAnsi="Arial"/>
          <w:b/>
          <w:bCs/>
          <w:caps/>
          <w:color w:val="1E4D8C"/>
          <w:sz w:val="26"/>
          <w:szCs w:val="26"/>
        </w:rPr>
        <w:t xml:space="preserve">SIGNATURE PAGE — FOUNDING LEADERSHIP AGREEMENT</w:t>
      </w:r>
    </w:p>
    <w:p>
      <w:pPr>
        <w:spacing w:after="40" w:before="0"/>
        <w:jc w:val="center"/>
      </w:pPr>
      <w:r>
        <w:rPr>
          <w:rFonts w:ascii="Arial" w:cs="Arial" w:eastAsia="Arial" w:hAnsi="Arial"/>
          <w:i/>
          <w:iCs/>
          <w:color w:val="8A9BB0"/>
          <w:sz w:val="20"/>
          <w:szCs w:val="20"/>
        </w:rPr>
        <w:t xml:space="preserve">Apps on Demand  |  NexCort iQ Platform</w:t>
      </w:r>
    </w:p>
    <w:p>
      <w:pPr>
        <w:pBdr>
          <w:bottom w:val="single" w:color="1E4D8C" w:sz="8" w:space="1"/>
        </w:pBdr>
        <w:spacing w:after="12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E00" w:sz="1"/>
              <w:left w:val="single" w:color="7B5E00" w:sz="1"/>
              <w:bottom w:val="single" w:color="7B5E00" w:sz="1"/>
              <w:right w:val="single" w:color="7B5E00" w:sz="1"/>
            </w:tcBorders>
            <w:shd w:fill="FFF8DC" w:val="clear"/>
            <w:tcMar>
              <w:top w:type="dxa" w:w="110"/>
              <w:left w:type="dxa" w:w="180"/>
              <w:bottom w:type="dxa" w:w="110"/>
              <w:right w:type="dxa" w:w="180"/>
            </w:tcMar>
          </w:tcPr>
          <w:p>
            <w:pPr>
              <w:jc w:val="both"/>
            </w:pPr>
            <w:r>
              <w:rPr>
                <w:rFonts w:ascii="Arial" w:cs="Arial" w:eastAsia="Arial" w:hAnsi="Arial"/>
                <w:color w:val="7B5E00"/>
                <w:sz w:val="21"/>
                <w:szCs w:val="21"/>
              </w:rPr>
              <w:t xml:space="preserve">BY SIGNING BELOW, INDIVIDUAL CONFIRMS: (1) this Agreement has been read in full; (2) Individual is joining as an independent founding partner, not an employee; (3) Individual will not receive wages, salary, or benefits unless separately agreed in writing; (4) current compensation is equity-based and subject to vesting and risk; and (5) Individual had the opportunity to obtain independent legal counsel before signing.</w:t>
            </w:r>
          </w:p>
        </w:tc>
      </w:tr>
    </w:tbl>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APPS ON DEMAND</w:t>
            </w:r>
          </w:p>
        </w:tc>
        <w:tc>
          <w:tcPr>
            <w:tcW w:type="dxa" w:w="360"/>
            <w:tcBorders>
              <w:top w:val="none" w:color="FFFFFF" w:sz="0"/>
              <w:left w:val="none" w:color="FFFFFF" w:sz="0"/>
              <w:bottom w:val="none" w:color="FFFFFF" w:sz="0"/>
              <w:right w:val="none" w:color="FFFFFF" w:sz="0"/>
            </w:tcBorders>
          </w:tcPr>
          <w:p/>
        </w:tc>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2"/>
                <w:szCs w:val="22"/>
              </w:rPr>
              <w:t xml:space="preserve">FOUNDING PARTNER</w:t>
            </w: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Authorized Signatory</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Full Legal Name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Title / Role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Date</w:t>
            </w:r>
          </w:p>
          <w:p>
            <w:pPr>
              <w:pBdr>
                <w:bottom w:val="single" w:color="0D1B2A" w:sz="4"/>
              </w:pBdr>
              <w:spacing w:after="80" w:before="0"/>
            </w:pPr>
            <w:r>
              <w:rPr>
                <w:rFonts w:ascii="Arial" w:cs="Arial" w:eastAsia="Arial" w:hAnsi="Arial"/>
                <w:sz w:val="22"/>
                <w:szCs w:val="22"/>
              </w:rPr>
              <w:t xml:space="preserve"> </w:t>
            </w:r>
          </w:p>
          <w:p>
            <w:pPr>
              <w:spacing w:after="40" w:before="0"/>
            </w:pPr>
          </w:p>
        </w:tc>
      </w:tr>
      <w:tr>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c>
          <w:tcPr>
            <w:tcW w:type="dxa" w:w="360"/>
            <w:tcBorders>
              <w:top w:val="none" w:color="FFFFFF" w:sz="0"/>
              <w:left w:val="none" w:color="FFFFFF" w:sz="0"/>
              <w:bottom w:val="none" w:color="FFFFFF" w:sz="0"/>
              <w:right w:val="none" w:color="FFFFFF" w:sz="0"/>
            </w:tcBorders>
          </w:tcPr>
          <w:p/>
        </w:tc>
        <w:tc>
          <w:tcPr>
            <w:tcW w:type="dxa" w:w="4500"/>
            <w:tcBorders>
              <w:top w:val="single" w:color="D0D6DF" w:sz="1"/>
              <w:left w:val="single" w:color="D0D6DF" w:sz="1"/>
              <w:bottom w:val="single" w:color="D0D6DF" w:sz="1"/>
              <w:right w:val="single" w:color="D0D6DF" w:sz="1"/>
            </w:tcBorders>
            <w:tcMar>
              <w:top w:type="dxa" w:w="140"/>
              <w:left w:type="dxa" w:w="140"/>
              <w:bottom w:type="dxa" w:w="140"/>
              <w:right w:type="dxa" w:w="140"/>
            </w:tcMar>
          </w:tcPr>
          <w:p>
            <w:pPr>
              <w:spacing w:after="160" w:before="0"/>
            </w:pPr>
            <w:r>
              <w:rPr>
                <w:rFonts w:ascii="Arial" w:cs="Arial" w:eastAsia="Arial" w:hAnsi="Arial"/>
                <w:b/>
                <w:bCs/>
                <w:color w:val="8A9BB0"/>
                <w:sz w:val="20"/>
                <w:szCs w:val="20"/>
              </w:rPr>
              <w:t xml:space="preserve">Email</w:t>
            </w:r>
          </w:p>
          <w:p>
            <w:pPr>
              <w:pBdr>
                <w:bottom w:val="single" w:color="0D1B2A" w:sz="4"/>
              </w:pBdr>
              <w:spacing w:after="80" w:before="0"/>
            </w:pPr>
            <w:r>
              <w:rPr>
                <w:rFonts w:ascii="Arial" w:cs="Arial" w:eastAsia="Arial" w:hAnsi="Arial"/>
                <w:sz w:val="22"/>
                <w:szCs w:val="22"/>
              </w:rPr>
              <w:t xml:space="preserve"> </w:t>
            </w:r>
          </w:p>
          <w:p>
            <w:pPr>
              <w:spacing w:after="40" w:before="0"/>
            </w:pPr>
          </w:p>
        </w:tc>
      </w:tr>
    </w:tbl>
    <w:p>
      <w:pPr>
        <w:spacing w:after="160" w:before="0"/>
      </w:pPr>
    </w:p>
    <w:p>
      <w:pPr>
        <w:pBdr>
          <w:bottom w:val="single" w:color="1E4D8C" w:sz="4" w:space="1"/>
        </w:pBdr>
        <w:spacing w:after="120" w:before="0"/>
      </w:pPr>
    </w:p>
    <w:p>
      <w:pPr>
        <w:spacing w:after="0" w:before="60"/>
        <w:jc w:val="center"/>
      </w:pPr>
      <w:r>
        <w:rPr>
          <w:rFonts w:ascii="Arial" w:cs="Arial" w:eastAsia="Arial" w:hAnsi="Arial"/>
          <w:i/>
          <w:iCs/>
          <w:color w:val="8A9BB0"/>
          <w:sz w:val="18"/>
          <w:szCs w:val="18"/>
        </w:rPr>
        <w:t xml:space="preserve">This document is confidential and proprietary to Apps on Demand. Unauthorized reproduction is prohibited.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4D8C" w:sz="4" w:space="1"/>
      </w:pBdr>
      <w:tabs>
        <w:tab w:val="right" w:pos="9026"/>
      </w:tabs>
      <w:spacing w:after="0" w:before="80"/>
    </w:pPr>
    <w:r>
      <w:rPr>
        <w:rFonts w:ascii="Arial" w:cs="Arial" w:eastAsia="Arial" w:hAnsi="Arial"/>
        <w:color w:val="8A9BB0"/>
        <w:sz w:val="18"/>
        <w:szCs w:val="18"/>
      </w:rPr>
      <w:t xml:space="preserve">Apps on Demand  |  NexCort iQ Platform  |  rapidcortex.us</w:t>
    </w:r>
    <w:r>
      <w:rPr>
        <w:rFonts w:ascii="Arial" w:cs="Arial" w:eastAsia="Arial" w:hAnsi="Arial"/>
        <w:color w:val="8A9BB0"/>
        <w:sz w:val="18"/>
        <w:szCs w:val="18"/>
      </w:rPr>
      <w:t xml:space="preserve">	Page </w:t>
    </w:r>
    <w:r>
      <w:rPr>
        <w:rFonts w:ascii="Arial" w:cs="Arial" w:eastAsia="Arial" w:hAnsi="Arial"/>
        <w:color w:val="8A9BB0"/>
        <w:sz w:val="18"/>
        <w:szCs w:val="18"/>
      </w:rPr>
      <w:fldChar w:fldCharType="begin"/>
      <w:instrText xml:space="preserve">PAGE</w:instrText>
      <w:fldChar w:fldCharType="separate"/>
      <w:fldChar w:fldCharType="end"/>
    </w:r>
    <w:r>
      <w:rPr>
        <w:rFonts w:ascii="Arial" w:cs="Arial" w:eastAsia="Arial" w:hAnsi="Arial"/>
        <w:color w:val="8A9BB0"/>
        <w:sz w:val="18"/>
        <w:szCs w:val="18"/>
      </w:rPr>
      <w:t xml:space="preserve"> of </w:t>
    </w:r>
    <w:r>
      <w:rPr>
        <w:rFonts w:ascii="Arial" w:cs="Arial" w:eastAsia="Arial" w:hAnsi="Arial"/>
        <w:color w:val="8A9BB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8C" w:sz="4" w:space="1"/>
      </w:pBdr>
      <w:tabs>
        <w:tab w:val="right" w:pos="9026"/>
      </w:tabs>
      <w:spacing w:after="80" w:before="0"/>
    </w:pPr>
    <w:r>
      <w:rPr>
        <w:rFonts w:ascii="Arial" w:cs="Arial" w:eastAsia="Arial" w:hAnsi="Arial"/>
        <w:b/>
        <w:bCs/>
        <w:color w:val="1E4D8C"/>
        <w:sz w:val="18"/>
        <w:szCs w:val="18"/>
      </w:rPr>
      <w:t xml:space="preserve">APPS ON DEMAND  |  NEXCORT IQ</w:t>
    </w:r>
    <w:r>
      <w:rPr>
        <w:rFonts w:ascii="Arial" w:cs="Arial" w:eastAsia="Arial" w:hAnsi="Arial"/>
        <w:color w:val="8A9BB0"/>
        <w:sz w:val="18"/>
        <w:szCs w:val="18"/>
      </w:rPr>
      <w:t xml:space="preserve">	FOUNDING LEADERSHIP AGREEMENT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aps/>
      <w:color w:val="1E4D8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2026-06-09T18:17:05.545Z</dcterms:created>
  <dcterms:modified xsi:type="dcterms:W3CDTF">2026-06-09T18:17:05.546Z</dcterms:modified>
</cp:coreProperties>
</file>

<file path=docProps/custom.xml><?xml version="1.0" encoding="utf-8"?>
<Properties xmlns="http://schemas.openxmlformats.org/officeDocument/2006/custom-properties" xmlns:vt="http://schemas.openxmlformats.org/officeDocument/2006/docPropsVTypes"/>
</file>