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b/>
          <w:bCs/>
          <w:color w:val="E03030"/>
          <w:sz w:val="48"/>
          <w:szCs w:val="48"/>
        </w:rPr>
        <w:t xml:space="preserve">NEXCORT IQ</w:t>
      </w:r>
    </w:p>
    <w:p>
      <w:pPr>
        <w:jc w:val="center"/>
      </w:pPr>
      <w:r>
        <w:rPr>
          <w:b/>
          <w:bCs/>
          <w:color w:val="1E3A5F"/>
          <w:sz w:val="36"/>
          <w:szCs w:val="36"/>
        </w:rPr>
        <w:t xml:space="preserve">Platform Services Agreement</w:t>
      </w:r>
    </w:p>
    <w:p>
      <w:pPr>
        <w:spacing w:after="200" w:before="200"/>
        <w:jc w:val="center"/>
      </w:pPr>
      <w:r>
        <w:rPr>
          <w:color w:val="555555"/>
          <w:sz w:val="24"/>
          <w:szCs w:val="24"/>
        </w:rPr>
        <w:t xml:space="preserve">Full Platform Access for Public Safety Agencies &amp; Emergency Communications Centers</w:t>
      </w:r>
    </w:p>
    <w:p>
      <w:pPr>
        <w:pBdr>
          <w:bottom w:val="single" w:color="2E5C8A" w:sz="6"/>
        </w:pBdr>
        <w:spacing w:after="200" w:before="200"/>
      </w:pPr>
      <w:r>
        <w:t xml:space="preserve"/>
      </w:r>
    </w:p>
    <w:p>
      <w:pPr>
        <w:jc w:val="center"/>
      </w:pPr>
      <w:r>
        <w:rPr>
          <w:color w:val="888888"/>
          <w:sz w:val="20"/>
          <w:szCs w:val="20"/>
        </w:rPr>
        <w:t xml:space="preserve">Version 1.0 | For execution via Adobe Sign | Requires NC Admin activation upon signing</w:t>
      </w:r>
    </w:p>
    <w:p>
      <w:pPr>
        <w:spacing w:before="480"/>
        <w:jc w:val="center"/>
      </w:pPr>
      <w:r>
        <w:rPr>
          <w:b/>
          <w:bCs/>
          <w:sz w:val="24"/>
          <w:szCs w:val="24"/>
        </w:rPr>
        <w:t xml:space="preserve">BETWEEN:</w:t>
      </w:r>
    </w:p>
    <w:p>
      <w:pPr>
        <w:jc w:val="center"/>
      </w:pPr>
      <w:r>
        <w:rPr>
          <w:b/>
          <w:bCs/>
          <w:sz w:val="24"/>
          <w:szCs w:val="24"/>
        </w:rPr>
        <w:t xml:space="preserve">NexCort iQ, LLC</w:t>
      </w:r>
    </w:p>
    <w:p>
      <w:pPr>
        <w:jc w:val="center"/>
      </w:pPr>
      <w:r>
        <w:rPr>
          <w:color w:val="555555"/>
          <w:sz w:val="22"/>
          <w:szCs w:val="22"/>
        </w:rPr>
        <w:t xml:space="preserve">a Georgia limited liability company</w:t>
      </w:r>
    </w:p>
    <w:p>
      <w:pPr>
        <w:spacing w:before="200"/>
        <w:jc w:val="center"/>
      </w:pPr>
      <w:r>
        <w:rPr>
          <w:sz w:val="22"/>
          <w:szCs w:val="22"/>
        </w:rPr>
        <w:t xml:space="preserve">("NexCort iQ" or "Provider")</w:t>
      </w:r>
    </w:p>
    <w:p>
      <w:pPr>
        <w:spacing w:after="200" w:before="200"/>
        <w:jc w:val="center"/>
      </w:pPr>
      <w:r>
        <w:rPr>
          <w:b/>
          <w:bCs/>
          <w:sz w:val="24"/>
          <w:szCs w:val="24"/>
        </w:rPr>
        <w:t xml:space="preserve">AND</w:t>
      </w:r>
    </w:p>
    <w:p>
      <w:pPr>
        <w:jc w:val="center"/>
      </w:pPr>
      <w:r>
        <w:rPr>
          <w:b/>
          <w:bCs/>
          <w:color w:val="CC0000"/>
          <w:sz w:val="24"/>
          <w:szCs w:val="24"/>
        </w:rPr>
        <w:t xml:space="preserve">[AGENCY FULL LEGAL NAME]</w:t>
      </w:r>
    </w:p>
    <w:p>
      <w:pPr>
        <w:jc w:val="center"/>
      </w:pPr>
      <w:r>
        <w:rPr>
          <w:color w:val="888888"/>
          <w:sz w:val="22"/>
          <w:szCs w:val="22"/>
        </w:rPr>
        <w:t xml:space="preserve">[State] [Type: County / Municipality / Emergency Communications District]</w:t>
      </w:r>
    </w:p>
    <w:p>
      <w:pPr>
        <w:spacing w:before="200"/>
        <w:jc w:val="center"/>
      </w:pPr>
      <w:r>
        <w:rPr>
          <w:sz w:val="22"/>
          <w:szCs w:val="22"/>
        </w:rPr>
        <w:t xml:space="preserve">("Agency" or "Customer")</w:t>
      </w:r>
    </w:p>
    <w:p>
      <w:r>
        <w:br w:type="page"/>
      </w:r>
    </w:p>
    <w:p>
      <w:pPr>
        <w:pStyle w:val="Heading1"/>
        <w:spacing w:after="200" w:before="400"/>
      </w:pPr>
      <w:r>
        <w:rPr>
          <w:b/>
          <w:bCs/>
          <w:color w:val="1E3A5F"/>
          <w:sz w:val="28"/>
          <w:szCs w:val="28"/>
        </w:rPr>
        <w:t xml:space="preserve">RECITALS</w:t>
      </w:r>
    </w:p>
    <w:p>
      <w:pPr>
        <w:spacing w:after="120" w:before="120"/>
      </w:pPr>
      <w:r>
        <w:rPr>
          <w:sz w:val="22"/>
          <w:szCs w:val="22"/>
        </w:rPr>
        <w:t xml:space="preserve">WHEREAS, NexCort iQ has developed and operates a cloud-based artificial intelligence platform (the "RC Platform") providing real-time transcription, AI-assisted triage, language translation, CAD integration support, supervisor dashboards, and related decision-support services designed for 911 dispatch centers, emergency communications centers, law enforcement, fire rescue, EMS, and emergency management agencies;</w:t>
      </w:r>
    </w:p>
    <w:p>
      <w:pPr>
        <w:spacing w:after="120" w:before="120"/>
      </w:pPr>
      <w:r>
        <w:rPr>
          <w:sz w:val="22"/>
          <w:szCs w:val="22"/>
        </w:rPr>
        <w:t xml:space="preserve">WHEREAS, Agency operates a public safety answering point (PSAP) / emergency communications center serving [JURISDICTION] and desires to enhance its operational capabilities through the use of AI-assisted dispatch intelligence tools while maintaining full human oversight and control of all emergency response decisions;</w:t>
      </w:r>
    </w:p>
    <w:p>
      <w:pPr>
        <w:spacing w:after="120" w:before="120"/>
      </w:pPr>
      <w:r>
        <w:rPr>
          <w:sz w:val="22"/>
          <w:szCs w:val="22"/>
        </w:rPr>
        <w:t xml:space="preserve">WHEREAS, NexCort iQ is an assistive technology provider. The RC Platform does NOT replace Computer-Aided Dispatch (CAD) systems, telephony systems, licensed dispatchers, first responders, or medical direction. All AI outputs are advisory and require review by qualified dispatch personnel before any operational action is taken;</w:t>
      </w:r>
    </w:p>
    <w:p>
      <w:pPr>
        <w:spacing w:after="120" w:before="120"/>
      </w:pPr>
      <w:r>
        <w:rPr>
          <w:sz w:val="22"/>
          <w:szCs w:val="22"/>
        </w:rPr>
        <w:t xml:space="preserve">WHEREAS, Agency acknowledges that the RC Platform is designed with CJIS-aligned security controls to support Agency's CJIS compliance requirements during deployment, and that Agency remains responsible for its own CJIS compliance obligations;</w:t>
      </w:r>
    </w:p>
    <w:p>
      <w:pPr>
        <w:spacing w:after="120" w:before="120"/>
      </w:pPr>
      <w:r>
        <w:rPr>
          <w:sz w:val="22"/>
          <w:szCs w:val="22"/>
        </w:rPr>
        <w:t xml:space="preserve">WHEREAS, the parties desire to set forth the terms and conditions under which NexCort iQ will provide the RC Platform services to Agency;</w:t>
      </w:r>
    </w:p>
    <w:p>
      <w:pPr>
        <w:spacing w:after="120" w:before="120"/>
      </w:pPr>
      <w:r>
        <w:rPr>
          <w:sz w:val="22"/>
          <w:szCs w:val="22"/>
        </w:rPr>
        <w:t xml:space="preserve">NOW, THEREFORE, in consideration of the mutual covenants herein and other good and valuable consideration, the parties agree as follows:</w:t>
      </w:r>
    </w:p>
    <w:p>
      <w:pPr>
        <w:pBdr>
          <w:bottom w:val="single" w:color="2E5C8A" w:sz="6"/>
        </w:pBdr>
        <w:spacing w:after="200" w:before="200"/>
      </w:pPr>
      <w:r>
        <w:t xml:space="preserve"/>
      </w:r>
    </w:p>
    <w:p>
      <w:r>
        <w:br w:type="page"/>
      </w:r>
    </w:p>
    <w:p>
      <w:pPr>
        <w:pStyle w:val="Heading1"/>
        <w:spacing w:after="200" w:before="400"/>
      </w:pPr>
      <w:r>
        <w:rPr>
          <w:b/>
          <w:bCs/>
          <w:color w:val="1E3A5F"/>
          <w:sz w:val="28"/>
          <w:szCs w:val="28"/>
        </w:rPr>
        <w:t xml:space="preserve">ARTICLE 1 — DEFINITIONS</w:t>
      </w:r>
    </w:p>
    <w:p>
      <w:pPr>
        <w:spacing w:after="120" w:before="120"/>
      </w:pPr>
      <w:r>
        <w:rPr>
          <w:sz w:val="22"/>
          <w:szCs w:val="22"/>
        </w:rPr>
        <w:t xml:space="preserve">As used in this Agreement:</w:t>
      </w:r>
    </w:p>
    <w:p>
      <w:pPr>
        <w:spacing w:after="120" w:before="240"/>
      </w:pPr>
      <w:r>
        <w:rPr>
          <w:b/>
          <w:bCs/>
          <w:sz w:val="22"/>
          <w:szCs w:val="22"/>
        </w:rPr>
        <w:t xml:space="preserve">1.1 "Authorized Users"</w:t>
      </w:r>
    </w:p>
    <w:p>
      <w:pPr>
        <w:spacing w:after="120" w:before="120"/>
      </w:pPr>
      <w:r>
        <w:rPr>
          <w:sz w:val="22"/>
          <w:szCs w:val="22"/>
        </w:rPr>
        <w:t xml:space="preserve">Dispatchers, supervisors, administrators, and other Agency personnel authorized by Agency to access the RC Platform under this Agreement.</w:t>
      </w:r>
    </w:p>
    <w:p>
      <w:pPr>
        <w:spacing w:after="120" w:before="240"/>
      </w:pPr>
      <w:r>
        <w:rPr>
          <w:b/>
          <w:bCs/>
          <w:sz w:val="22"/>
          <w:szCs w:val="22"/>
        </w:rPr>
        <w:t xml:space="preserve">1.2 "CAD System"</w:t>
      </w:r>
    </w:p>
    <w:p>
      <w:pPr>
        <w:spacing w:after="120" w:before="120"/>
      </w:pPr>
      <w:r>
        <w:rPr>
          <w:sz w:val="22"/>
          <w:szCs w:val="22"/>
        </w:rPr>
        <w:t xml:space="preserve">Agency's existing Computer-Aided Dispatch system operated by Agency or a third-party CAD vendor. The RC Platform integrates with but does not replace the CAD System.</w:t>
      </w:r>
    </w:p>
    <w:p>
      <w:pPr>
        <w:spacing w:after="120" w:before="240"/>
      </w:pPr>
      <w:r>
        <w:rPr>
          <w:b/>
          <w:bCs/>
          <w:sz w:val="22"/>
          <w:szCs w:val="22"/>
        </w:rPr>
        <w:t xml:space="preserve">1.3 "CJIS"</w:t>
      </w:r>
    </w:p>
    <w:p>
      <w:pPr>
        <w:spacing w:after="120" w:before="120"/>
      </w:pPr>
      <w:r>
        <w:rPr>
          <w:sz w:val="22"/>
          <w:szCs w:val="22"/>
        </w:rPr>
        <w:t xml:space="preserve">The FBI Criminal Justice Information Services Division and its Security Policy (v5.9 or current version), which governs the handling of Criminal Justice Information by agencies and their technology vendors.</w:t>
      </w:r>
    </w:p>
    <w:p>
      <w:pPr>
        <w:spacing w:after="120" w:before="240"/>
      </w:pPr>
      <w:r>
        <w:rPr>
          <w:b/>
          <w:bCs/>
          <w:sz w:val="22"/>
          <w:szCs w:val="22"/>
        </w:rPr>
        <w:t xml:space="preserve">1.4 "Confidential Information"</w:t>
      </w:r>
    </w:p>
    <w:p>
      <w:pPr>
        <w:spacing w:after="120" w:before="120"/>
      </w:pPr>
      <w:r>
        <w:rPr>
          <w:sz w:val="22"/>
          <w:szCs w:val="22"/>
        </w:rPr>
        <w:t xml:space="preserve">Non-public information disclosed by either party, including incident data, transcripts, AI outputs, pricing, technical specifications, and Agency operational information.</w:t>
      </w:r>
    </w:p>
    <w:p>
      <w:pPr>
        <w:spacing w:after="120" w:before="240"/>
      </w:pPr>
      <w:r>
        <w:rPr>
          <w:b/>
          <w:bCs/>
          <w:sz w:val="22"/>
          <w:szCs w:val="22"/>
        </w:rPr>
        <w:t xml:space="preserve">1.5 "Dispatcher Console"</w:t>
      </w:r>
    </w:p>
    <w:p>
      <w:pPr>
        <w:spacing w:after="120" w:before="120"/>
      </w:pPr>
      <w:r>
        <w:rPr>
          <w:sz w:val="22"/>
          <w:szCs w:val="22"/>
        </w:rPr>
        <w:t xml:space="preserve">The web-based real-time workspace provided to Authorized Users for live call transcription, AI assistance, CAD integration, and related operational features.</w:t>
      </w:r>
    </w:p>
    <w:p>
      <w:pPr>
        <w:spacing w:after="120" w:before="240"/>
      </w:pPr>
      <w:r>
        <w:rPr>
          <w:b/>
          <w:bCs/>
          <w:sz w:val="22"/>
          <w:szCs w:val="22"/>
        </w:rPr>
        <w:t xml:space="preserve">1.6 "Emergency Communications Data"</w:t>
      </w:r>
    </w:p>
    <w:p>
      <w:pPr>
        <w:spacing w:after="120" w:before="120"/>
      </w:pPr>
      <w:r>
        <w:rPr>
          <w:sz w:val="22"/>
          <w:szCs w:val="22"/>
        </w:rPr>
        <w:t xml:space="preserve">All audio recordings, transcripts, incident records, AI analyses, translation outputs, and related data generated through Agency's use of the RC Platform.</w:t>
      </w:r>
    </w:p>
    <w:p>
      <w:pPr>
        <w:spacing w:after="120" w:before="240"/>
      </w:pPr>
      <w:r>
        <w:rPr>
          <w:b/>
          <w:bCs/>
          <w:sz w:val="22"/>
          <w:szCs w:val="22"/>
        </w:rPr>
        <w:t xml:space="preserve">1.7 "Go-Live Date"</w:t>
      </w:r>
    </w:p>
    <w:p>
      <w:pPr>
        <w:spacing w:after="120" w:before="120"/>
      </w:pPr>
      <w:r>
        <w:rPr>
          <w:sz w:val="22"/>
          <w:szCs w:val="22"/>
        </w:rPr>
        <w:t xml:space="preserve">The date on which Agency's Authorized Users first access the RC Platform in a production capacity following successful completion of onboarding.</w:t>
      </w:r>
    </w:p>
    <w:p>
      <w:pPr>
        <w:spacing w:after="120" w:before="240"/>
      </w:pPr>
      <w:r>
        <w:rPr>
          <w:b/>
          <w:bCs/>
          <w:sz w:val="22"/>
          <w:szCs w:val="22"/>
        </w:rPr>
        <w:t xml:space="preserve">1.8 "Incident"</w:t>
      </w:r>
    </w:p>
    <w:p>
      <w:pPr>
        <w:spacing w:after="120" w:before="120"/>
      </w:pPr>
      <w:r>
        <w:rPr>
          <w:sz w:val="22"/>
          <w:szCs w:val="22"/>
        </w:rPr>
        <w:t xml:space="preserve">Any 911 call, emergency event, or dispatch action processed through the RC Platform.</w:t>
      </w:r>
    </w:p>
    <w:p>
      <w:pPr>
        <w:spacing w:after="120" w:before="240"/>
      </w:pPr>
      <w:r>
        <w:rPr>
          <w:b/>
          <w:bCs/>
          <w:sz w:val="22"/>
          <w:szCs w:val="22"/>
        </w:rPr>
        <w:t xml:space="preserve">1.9 "RC Platform" or "Service"</w:t>
      </w:r>
    </w:p>
    <w:p>
      <w:pPr>
        <w:spacing w:after="120" w:before="120"/>
      </w:pPr>
      <w:r>
        <w:rPr>
          <w:sz w:val="22"/>
          <w:szCs w:val="22"/>
        </w:rPr>
        <w:t xml:space="preserve">The full NexCort iQ platform including all features available under Agency's selected plan, as described in Exhibit A.</w:t>
      </w:r>
    </w:p>
    <w:p>
      <w:pPr>
        <w:spacing w:after="120" w:before="240"/>
      </w:pPr>
      <w:r>
        <w:rPr>
          <w:b/>
          <w:bCs/>
          <w:sz w:val="22"/>
          <w:szCs w:val="22"/>
        </w:rPr>
        <w:t xml:space="preserve">1.10 "Seat" or "User License"</w:t>
      </w:r>
    </w:p>
    <w:p>
      <w:pPr>
        <w:spacing w:after="120" w:before="120"/>
      </w:pPr>
      <w:r>
        <w:rPr>
          <w:sz w:val="22"/>
          <w:szCs w:val="22"/>
        </w:rPr>
        <w:t xml:space="preserve">A license for one (1) Authorized User to access the RC Platform concurrently.</w:t>
      </w:r>
    </w:p>
    <w:p>
      <w:r>
        <w:br w:type="page"/>
      </w:r>
    </w:p>
    <w:p>
      <w:pPr>
        <w:pStyle w:val="Heading1"/>
        <w:spacing w:after="200" w:before="400"/>
      </w:pPr>
      <w:r>
        <w:rPr>
          <w:b/>
          <w:bCs/>
          <w:color w:val="1E3A5F"/>
          <w:sz w:val="28"/>
          <w:szCs w:val="28"/>
        </w:rPr>
        <w:t xml:space="preserve">ARTICLE 2 — SERVICES</w:t>
      </w:r>
    </w:p>
    <w:p>
      <w:pPr>
        <w:pStyle w:val="Heading2"/>
        <w:spacing w:after="150" w:before="300"/>
      </w:pPr>
      <w:r>
        <w:rPr>
          <w:b/>
          <w:bCs/>
          <w:color w:val="2E5C8A"/>
          <w:sz w:val="24"/>
          <w:szCs w:val="24"/>
        </w:rPr>
        <w:t xml:space="preserve">2.1 Service Description</w:t>
      </w:r>
    </w:p>
    <w:p>
      <w:pPr>
        <w:spacing w:after="120" w:before="120"/>
      </w:pPr>
      <w:r>
        <w:rPr>
          <w:sz w:val="22"/>
          <w:szCs w:val="22"/>
        </w:rPr>
        <w:t xml:space="preserve">NexCort iQ will provide Agency with access to the RC Platform features included in Agency's selected plan as set forth in Exhibit A. Core features include:</w:t>
      </w:r>
    </w:p>
    <w:p>
      <w:pPr>
        <w:pStyle w:val="ListParagraph"/>
        <w:numPr>
          <w:ilvl w:val="0"/>
          <w:numId w:val="2"/>
        </w:numPr>
        <w:spacing w:after="80" w:before="80"/>
      </w:pPr>
      <w:r>
        <w:rPr>
          <w:sz w:val="22"/>
          <w:szCs w:val="22"/>
        </w:rPr>
        <w:t xml:space="preserve">Real-time 911 call transcription with speaker identification</w:t>
      </w:r>
    </w:p>
    <w:p>
      <w:pPr>
        <w:pStyle w:val="ListParagraph"/>
        <w:numPr>
          <w:ilvl w:val="0"/>
          <w:numId w:val="2"/>
        </w:numPr>
        <w:spacing w:after="80" w:before="80"/>
      </w:pPr>
      <w:r>
        <w:rPr>
          <w:sz w:val="22"/>
          <w:szCs w:val="22"/>
        </w:rPr>
        <w:t xml:space="preserve">AI-assisted incident triage and summary (assistive only — dispatcher review required)</w:t>
      </w:r>
    </w:p>
    <w:p>
      <w:pPr>
        <w:pStyle w:val="ListParagraph"/>
        <w:numPr>
          <w:ilvl w:val="0"/>
          <w:numId w:val="2"/>
        </w:numPr>
        <w:spacing w:after="80" w:before="80"/>
      </w:pPr>
      <w:r>
        <w:rPr>
          <w:sz w:val="22"/>
          <w:szCs w:val="22"/>
        </w:rPr>
        <w:t xml:space="preserve">Live language translation and silent text intake for non-English callers</w:t>
      </w:r>
    </w:p>
    <w:p>
      <w:pPr>
        <w:pStyle w:val="ListParagraph"/>
        <w:numPr>
          <w:ilvl w:val="0"/>
          <w:numId w:val="2"/>
        </w:numPr>
        <w:spacing w:after="80" w:before="80"/>
      </w:pPr>
      <w:r>
        <w:rPr>
          <w:sz w:val="22"/>
          <w:szCs w:val="22"/>
        </w:rPr>
        <w:t xml:space="preserve">Supervisor dashboard with real-time incident monitoring</w:t>
      </w:r>
    </w:p>
    <w:p>
      <w:pPr>
        <w:pStyle w:val="ListParagraph"/>
        <w:numPr>
          <w:ilvl w:val="0"/>
          <w:numId w:val="2"/>
        </w:numPr>
        <w:spacing w:after="80" w:before="80"/>
      </w:pPr>
      <w:r>
        <w:rPr>
          <w:sz w:val="22"/>
          <w:szCs w:val="22"/>
        </w:rPr>
        <w:t xml:space="preserve">CAD integration support (read/write, subject to CAD vendor cooperation and Exhibit B)</w:t>
      </w:r>
    </w:p>
    <w:p>
      <w:pPr>
        <w:pStyle w:val="ListParagraph"/>
        <w:numPr>
          <w:ilvl w:val="0"/>
          <w:numId w:val="2"/>
        </w:numPr>
        <w:spacing w:after="80" w:before="80"/>
      </w:pPr>
      <w:r>
        <w:rPr>
          <w:sz w:val="22"/>
          <w:szCs w:val="22"/>
        </w:rPr>
        <w:t xml:space="preserve">Caller media request and live video capability</w:t>
      </w:r>
    </w:p>
    <w:p>
      <w:pPr>
        <w:pStyle w:val="ListParagraph"/>
        <w:numPr>
          <w:ilvl w:val="0"/>
          <w:numId w:val="2"/>
        </w:numPr>
        <w:spacing w:after="80" w:before="80"/>
      </w:pPr>
      <w:r>
        <w:rPr>
          <w:sz w:val="22"/>
          <w:szCs w:val="22"/>
        </w:rPr>
        <w:t xml:space="preserve">Audit logging and compliance reporting</w:t>
      </w:r>
    </w:p>
    <w:p>
      <w:pPr>
        <w:pStyle w:val="ListParagraph"/>
        <w:numPr>
          <w:ilvl w:val="0"/>
          <w:numId w:val="2"/>
        </w:numPr>
        <w:spacing w:after="80" w:before="80"/>
      </w:pPr>
      <w:r>
        <w:rPr>
          <w:sz w:val="22"/>
          <w:szCs w:val="22"/>
        </w:rPr>
        <w:t xml:space="preserve">Dispatcher console and agency administration portal</w:t>
      </w:r>
    </w:p>
    <w:p>
      <w:pPr>
        <w:pStyle w:val="Heading2"/>
        <w:spacing w:after="150" w:before="300"/>
      </w:pPr>
      <w:r>
        <w:rPr>
          <w:b/>
          <w:bCs/>
          <w:color w:val="2E5C8A"/>
          <w:sz w:val="24"/>
          <w:szCs w:val="24"/>
        </w:rPr>
        <w:t xml:space="preserve">2.2 Assistive Technology Acknowledgment</w:t>
      </w:r>
    </w:p>
    <w:p>
      <w:pPr>
        <w:spacing w:after="120" w:before="120"/>
      </w:pPr>
      <w:r>
        <w:rPr>
          <w:sz w:val="22"/>
          <w:szCs w:val="22"/>
        </w:rPr>
        <w:t xml:space="preserve">Agency expressly acknowledges and agrees that:</w:t>
      </w:r>
    </w:p>
    <w:p>
      <w:pPr>
        <w:pStyle w:val="ListParagraph"/>
        <w:numPr>
          <w:ilvl w:val="0"/>
          <w:numId w:val="2"/>
        </w:numPr>
        <w:spacing w:after="80" w:before="80"/>
      </w:pPr>
      <w:r>
        <w:rPr>
          <w:sz w:val="22"/>
          <w:szCs w:val="22"/>
        </w:rPr>
        <w:t xml:space="preserve">The RC Platform provides ASSISTIVE INTELLIGENCE only and does not autonomously dispatch units, make operational decisions, or replace dispatcher judgment</w:t>
      </w:r>
    </w:p>
    <w:p>
      <w:pPr>
        <w:pStyle w:val="ListParagraph"/>
        <w:numPr>
          <w:ilvl w:val="0"/>
          <w:numId w:val="2"/>
        </w:numPr>
        <w:spacing w:after="80" w:before="80"/>
      </w:pPr>
      <w:r>
        <w:rPr>
          <w:sz w:val="22"/>
          <w:szCs w:val="22"/>
        </w:rPr>
        <w:t xml:space="preserve">All AI-generated summaries, suggested questions, protocol guidance, and CAD entries are recommendations that MUST be reviewed and approved by a qualified dispatcher before any action is taken</w:t>
      </w:r>
    </w:p>
    <w:p>
      <w:pPr>
        <w:pStyle w:val="ListParagraph"/>
        <w:numPr>
          <w:ilvl w:val="0"/>
          <w:numId w:val="2"/>
        </w:numPr>
        <w:spacing w:after="80" w:before="80"/>
      </w:pPr>
      <w:r>
        <w:rPr>
          <w:sz w:val="22"/>
          <w:szCs w:val="22"/>
        </w:rPr>
        <w:t xml:space="preserve">The RC Platform does not replace Agency's CAD system, telephony system, radio system, or any other mission-critical infrastructure</w:t>
      </w:r>
    </w:p>
    <w:p>
      <w:pPr>
        <w:pStyle w:val="ListParagraph"/>
        <w:numPr>
          <w:ilvl w:val="0"/>
          <w:numId w:val="2"/>
        </w:numPr>
        <w:spacing w:after="80" w:before="80"/>
      </w:pPr>
      <w:r>
        <w:rPr>
          <w:sz w:val="22"/>
          <w:szCs w:val="22"/>
        </w:rPr>
        <w:t xml:space="preserve">NexCort iQ is not responsible for emergency response outcomes, dispatch decisions, or any harm arising from reliance on AI output without appropriate human review</w:t>
      </w:r>
    </w:p>
    <w:p>
      <w:pPr>
        <w:pStyle w:val="Heading2"/>
        <w:spacing w:after="150" w:before="300"/>
      </w:pPr>
      <w:r>
        <w:rPr>
          <w:b/>
          <w:bCs/>
          <w:color w:val="2E5C8A"/>
          <w:sz w:val="24"/>
          <w:szCs w:val="24"/>
        </w:rPr>
        <w:t xml:space="preserve">2.3 Onboarding and Implementation</w:t>
      </w:r>
    </w:p>
    <w:p>
      <w:pPr>
        <w:spacing w:after="120" w:before="120"/>
      </w:pPr>
      <w:r>
        <w:rPr>
          <w:sz w:val="22"/>
          <w:szCs w:val="22"/>
        </w:rPr>
        <w:t xml:space="preserve">NexCort iQ will provide onboarding services as described in Exhibit A, including account setup, user provisioning, CAD integration coordination, dispatcher training, and go-live support. Agency is responsible for providing timely access to IT personnel, CAD vendor contacts, and relevant network infrastructure.</w:t>
      </w:r>
    </w:p>
    <w:p>
      <w:r>
        <w:br w:type="page"/>
      </w:r>
    </w:p>
    <w:p>
      <w:pPr>
        <w:pStyle w:val="Heading1"/>
        <w:spacing w:after="200" w:before="400"/>
      </w:pPr>
      <w:r>
        <w:rPr>
          <w:b/>
          <w:bCs/>
          <w:color w:val="1E3A5F"/>
          <w:sz w:val="28"/>
          <w:szCs w:val="28"/>
        </w:rPr>
        <w:t xml:space="preserve">ARTICLE 3 — FEES AND PAYMENT</w:t>
      </w:r>
    </w:p>
    <w:p>
      <w:pPr>
        <w:pStyle w:val="Heading2"/>
        <w:spacing w:after="150" w:before="300"/>
      </w:pPr>
      <w:r>
        <w:rPr>
          <w:b/>
          <w:bCs/>
          <w:color w:val="2E5C8A"/>
          <w:sz w:val="24"/>
          <w:szCs w:val="24"/>
        </w:rPr>
        <w:t xml:space="preserve">3.1 Subscription Fees</w:t>
      </w:r>
    </w:p>
    <w:p>
      <w:pPr>
        <w:spacing w:after="120" w:before="120"/>
      </w:pPr>
      <w:r>
        <w:rPr>
          <w:sz w:val="22"/>
          <w:szCs w:val="22"/>
        </w:rPr>
        <w:t xml:space="preserve">Agency agrees to pay the monthly or annual subscription fees set forth in Exhibit A. Fees are due net thirty (30) days from invoice date unless Agency's procurement process requires net sixty (60) days, in which case Agency shall notify NexCort iQ prior to execution.</w:t>
      </w:r>
    </w:p>
    <w:p>
      <w:pPr>
        <w:pStyle w:val="Heading2"/>
        <w:spacing w:after="150" w:before="300"/>
      </w:pPr>
      <w:r>
        <w:rPr>
          <w:b/>
          <w:bCs/>
          <w:color w:val="2E5C8A"/>
          <w:sz w:val="24"/>
          <w:szCs w:val="24"/>
        </w:rPr>
        <w:t xml:space="preserve">3.2 Purchase Orders</w:t>
      </w:r>
    </w:p>
    <w:p>
      <w:pPr>
        <w:spacing w:after="120" w:before="120"/>
      </w:pPr>
      <w:r>
        <w:rPr>
          <w:sz w:val="22"/>
          <w:szCs w:val="22"/>
        </w:rPr>
        <w:t xml:space="preserve">If Agency's procurement process requires a Purchase Order, Agency shall provide a valid PO number prior to or concurrent with execution of this Agreement. NexCort iQ will reference the PO number on all invoices. NexCort iQ will not unreasonably delay service activation pending PO issuance.</w:t>
      </w:r>
    </w:p>
    <w:p>
      <w:pPr>
        <w:pStyle w:val="Heading2"/>
        <w:spacing w:after="150" w:before="300"/>
      </w:pPr>
      <w:r>
        <w:rPr>
          <w:b/>
          <w:bCs/>
          <w:color w:val="2E5C8A"/>
          <w:sz w:val="24"/>
          <w:szCs w:val="24"/>
        </w:rPr>
        <w:t xml:space="preserve">3.3 Payment Methods</w:t>
      </w:r>
    </w:p>
    <w:p>
      <w:pPr>
        <w:spacing w:after="120" w:before="120"/>
      </w:pPr>
      <w:r>
        <w:rPr>
          <w:sz w:val="22"/>
          <w:szCs w:val="22"/>
        </w:rPr>
        <w:t xml:space="preserve">NexCort iQ accepts payment by check payable to NexCort iQ, LLC; ACH bank transfer; or wire transfer. Credit cards are not accepted for government accounts. NexCort iQ will provide ACH routing and account information upon request.</w:t>
      </w:r>
    </w:p>
    <w:p>
      <w:pPr>
        <w:pStyle w:val="Heading2"/>
        <w:spacing w:after="150" w:before="300"/>
      </w:pPr>
      <w:r>
        <w:rPr>
          <w:b/>
          <w:bCs/>
          <w:color w:val="2E5C8A"/>
          <w:sz w:val="24"/>
          <w:szCs w:val="24"/>
        </w:rPr>
        <w:t xml:space="preserve">3.4 Late Payment</w:t>
      </w:r>
    </w:p>
    <w:p>
      <w:pPr>
        <w:spacing w:after="120" w:before="120"/>
      </w:pPr>
      <w:r>
        <w:rPr>
          <w:sz w:val="22"/>
          <w:szCs w:val="22"/>
        </w:rPr>
        <w:t xml:space="preserve">Invoices not paid within the agreed payment terms shall accrue interest at 1.5% per month or the maximum rate permitted by applicable state law. NexCort iQ may suspend services for accounts more than sixty (60) days past due upon thirty (30) days written notice, except where suspension would impair active 911 operations, in which case NexCort iQ will work with Agency to resolve payment disputes without service interruption.</w:t>
      </w:r>
    </w:p>
    <w:p>
      <w:pPr>
        <w:pStyle w:val="Heading2"/>
        <w:spacing w:after="150" w:before="300"/>
      </w:pPr>
      <w:r>
        <w:rPr>
          <w:b/>
          <w:bCs/>
          <w:color w:val="2E5C8A"/>
          <w:sz w:val="24"/>
          <w:szCs w:val="24"/>
        </w:rPr>
        <w:t xml:space="preserve">3.5 Budget Contingency</w:t>
      </w:r>
    </w:p>
    <w:p>
      <w:pPr>
        <w:spacing w:after="120" w:before="120"/>
      </w:pPr>
      <w:r>
        <w:rPr>
          <w:sz w:val="22"/>
          <w:szCs w:val="22"/>
        </w:rPr>
        <w:t xml:space="preserve">Agency may terminate this Agreement without penalty upon thirty (30) days written notice if Agency's governing body fails to appropriate sufficient funds to continue the Agreement in any fiscal year. Agency shall promptly notify NexCort iQ of any such funding contingency.</w:t>
      </w:r>
    </w:p>
    <w:p>
      <w:r>
        <w:br w:type="page"/>
      </w:r>
    </w:p>
    <w:p>
      <w:pPr>
        <w:pStyle w:val="Heading1"/>
        <w:spacing w:after="200" w:before="400"/>
      </w:pPr>
      <w:r>
        <w:rPr>
          <w:b/>
          <w:bCs/>
          <w:color w:val="1E3A5F"/>
          <w:sz w:val="28"/>
          <w:szCs w:val="28"/>
        </w:rPr>
        <w:t xml:space="preserve">ARTICLE 4 — DATA, PRIVACY, AND SECURITY</w:t>
      </w:r>
    </w:p>
    <w:p>
      <w:pPr>
        <w:pStyle w:val="Heading2"/>
        <w:spacing w:after="150" w:before="300"/>
      </w:pPr>
      <w:r>
        <w:rPr>
          <w:b/>
          <w:bCs/>
          <w:color w:val="2E5C8A"/>
          <w:sz w:val="24"/>
          <w:szCs w:val="24"/>
        </w:rPr>
        <w:t xml:space="preserve">4.1 Agency Data Ownership</w:t>
      </w:r>
    </w:p>
    <w:p>
      <w:pPr>
        <w:spacing w:after="120" w:before="120"/>
      </w:pPr>
      <w:r>
        <w:rPr>
          <w:sz w:val="22"/>
          <w:szCs w:val="22"/>
        </w:rPr>
        <w:t xml:space="preserve">Agency retains all right, title, and interest in all Emergency Communications Data and other Agency data processed through the RC Platform. NexCort iQ acquires no ownership rights in Agency data.</w:t>
      </w:r>
    </w:p>
    <w:p>
      <w:pPr>
        <w:pStyle w:val="Heading2"/>
        <w:spacing w:after="150" w:before="300"/>
      </w:pPr>
      <w:r>
        <w:rPr>
          <w:b/>
          <w:bCs/>
          <w:color w:val="2E5C8A"/>
          <w:sz w:val="24"/>
          <w:szCs w:val="24"/>
        </w:rPr>
        <w:t xml:space="preserve">4.2 Data Processing</w:t>
      </w:r>
    </w:p>
    <w:p>
      <w:pPr>
        <w:spacing w:after="120" w:before="120"/>
      </w:pPr>
      <w:r>
        <w:rPr>
          <w:sz w:val="22"/>
          <w:szCs w:val="22"/>
        </w:rPr>
        <w:t xml:space="preserve">NexCort iQ will process Agency data solely to provide the RC Platform services. NexCort iQ will not sell, share, or disclose Agency data to third parties except: (a) as necessary to provide services using authorized subprocessors; (b) as required by law or court order; or (c) with Agency's written consent.</w:t>
      </w:r>
    </w:p>
    <w:p>
      <w:pPr>
        <w:pStyle w:val="Heading2"/>
        <w:spacing w:after="150" w:before="300"/>
      </w:pPr>
      <w:r>
        <w:rPr>
          <w:b/>
          <w:bCs/>
          <w:color w:val="2E5C8A"/>
          <w:sz w:val="24"/>
          <w:szCs w:val="24"/>
        </w:rPr>
        <w:t xml:space="preserve">4.3 CJIS Compliance</w:t>
      </w:r>
    </w:p>
    <w:p>
      <w:pPr>
        <w:spacing w:after="120" w:before="120"/>
      </w:pPr>
      <w:r>
        <w:rPr>
          <w:sz w:val="22"/>
          <w:szCs w:val="22"/>
        </w:rPr>
        <w:t xml:space="preserve">The parties acknowledge the following CJIS obligations:</w:t>
      </w:r>
    </w:p>
    <w:p>
      <w:pPr>
        <w:pStyle w:val="ListParagraph"/>
        <w:numPr>
          <w:ilvl w:val="0"/>
          <w:numId w:val="2"/>
        </w:numPr>
        <w:spacing w:after="80" w:before="80"/>
      </w:pPr>
      <w:r>
        <w:rPr>
          <w:sz w:val="22"/>
          <w:szCs w:val="22"/>
        </w:rPr>
        <w:t xml:space="preserve">NexCort iQ designs the RC Platform with CJIS-aligned security controls including AES-256 encryption at rest, TLS 1.3 in transit, multi-factor authentication, role-based access control, and audit logging</w:t>
      </w:r>
    </w:p>
    <w:p>
      <w:pPr>
        <w:pStyle w:val="ListParagraph"/>
        <w:numPr>
          <w:ilvl w:val="0"/>
          <w:numId w:val="2"/>
        </w:numPr>
        <w:spacing w:after="80" w:before="80"/>
      </w:pPr>
      <w:r>
        <w:rPr>
          <w:sz w:val="22"/>
          <w:szCs w:val="22"/>
        </w:rPr>
        <w:t xml:space="preserve">Agency remains responsible for its own CJIS compliance and for ensuring that Agency's use of the RC Platform complies with Agency's CJIS Security Policy obligations</w:t>
      </w:r>
    </w:p>
    <w:p>
      <w:pPr>
        <w:pStyle w:val="ListParagraph"/>
        <w:numPr>
          <w:ilvl w:val="0"/>
          <w:numId w:val="2"/>
        </w:numPr>
        <w:spacing w:after="80" w:before="80"/>
      </w:pPr>
      <w:r>
        <w:rPr>
          <w:sz w:val="22"/>
          <w:szCs w:val="22"/>
        </w:rPr>
        <w:t xml:space="preserve">NexCort iQ will cooperate with Agency's CJIS compliance review and will execute a CJIS Security Addendum if required by Agency's CJIS Systems Agency (CSA)</w:t>
      </w:r>
    </w:p>
    <w:p>
      <w:pPr>
        <w:pStyle w:val="ListParagraph"/>
        <w:numPr>
          <w:ilvl w:val="0"/>
          <w:numId w:val="2"/>
        </w:numPr>
        <w:spacing w:after="80" w:before="80"/>
      </w:pPr>
      <w:r>
        <w:rPr>
          <w:sz w:val="22"/>
          <w:szCs w:val="22"/>
        </w:rPr>
        <w:t xml:space="preserve">RC Platform personnel who may access CJI will be subject to fingerprint-based background checks as required by the CJIS Security Policy</w:t>
      </w:r>
    </w:p>
    <w:p>
      <w:pPr>
        <w:pStyle w:val="Heading2"/>
        <w:spacing w:after="150" w:before="300"/>
      </w:pPr>
      <w:r>
        <w:rPr>
          <w:b/>
          <w:bCs/>
          <w:color w:val="2E5C8A"/>
          <w:sz w:val="24"/>
          <w:szCs w:val="24"/>
        </w:rPr>
        <w:t xml:space="preserve">4.4 Retention and Deletion</w:t>
      </w:r>
    </w:p>
    <w:p>
      <w:pPr>
        <w:spacing w:after="120" w:before="120"/>
      </w:pPr>
      <w:r>
        <w:rPr>
          <w:sz w:val="22"/>
          <w:szCs w:val="22"/>
        </w:rPr>
        <w:t xml:space="preserve">NexCort iQ will retain Emergency Communications Data for the period specified in Exhibit A or as required by applicable law. Upon termination, NexCort iQ will provide Agency with a data export within thirty (30) days and will delete Agency data within ninety (90) days of export confirmation.</w:t>
      </w:r>
    </w:p>
    <w:p>
      <w:pPr>
        <w:pStyle w:val="Heading2"/>
        <w:spacing w:after="150" w:before="300"/>
      </w:pPr>
      <w:r>
        <w:rPr>
          <w:b/>
          <w:bCs/>
          <w:color w:val="2E5C8A"/>
          <w:sz w:val="24"/>
          <w:szCs w:val="24"/>
        </w:rPr>
        <w:t xml:space="preserve">4.5 Security Incident Response</w:t>
      </w:r>
    </w:p>
    <w:p>
      <w:pPr>
        <w:spacing w:after="120" w:before="120"/>
      </w:pPr>
      <w:r>
        <w:rPr>
          <w:sz w:val="22"/>
          <w:szCs w:val="22"/>
        </w:rPr>
        <w:t xml:space="preserve">NexCort iQ will notify Agency within twenty-four (24) hours of discovering a confirmed or reasonably suspected security incident affecting Agency data. Notification will include the nature of the incident, data affected, steps taken, and recommended Agency actions.</w:t>
      </w:r>
    </w:p>
    <w:p>
      <w:r>
        <w:br w:type="page"/>
      </w:r>
    </w:p>
    <w:p>
      <w:pPr>
        <w:pStyle w:val="Heading1"/>
        <w:spacing w:after="200" w:before="400"/>
      </w:pPr>
      <w:r>
        <w:rPr>
          <w:b/>
          <w:bCs/>
          <w:color w:val="1E3A5F"/>
          <w:sz w:val="28"/>
          <w:szCs w:val="28"/>
        </w:rPr>
        <w:t xml:space="preserve">ARTICLE 5 — SERVICE LEVELS AND SUPPORT</w:t>
      </w:r>
    </w:p>
    <w:p>
      <w:pPr>
        <w:pStyle w:val="Heading2"/>
        <w:spacing w:after="150" w:before="300"/>
      </w:pPr>
      <w:r>
        <w:rPr>
          <w:b/>
          <w:bCs/>
          <w:color w:val="2E5C8A"/>
          <w:sz w:val="24"/>
          <w:szCs w:val="24"/>
        </w:rPr>
        <w:t xml:space="preserve">5.1 Uptime Commitment</w:t>
      </w:r>
    </w:p>
    <w:p>
      <w:pPr>
        <w:spacing w:after="120" w:before="120"/>
      </w:pPr>
      <w:r>
        <w:rPr>
          <w:sz w:val="22"/>
          <w:szCs w:val="22"/>
        </w:rPr>
        <w:t xml:space="preserve">NexCort iQ commits to 99.9% monthly uptime availability for the RC Platform, excluding scheduled maintenance, customer-caused outages, and force majeure events.</w:t>
      </w:r>
    </w:p>
    <w:p>
      <w:pPr>
        <w:pStyle w:val="Heading2"/>
        <w:spacing w:after="150" w:before="300"/>
      </w:pPr>
      <w:r>
        <w:rPr>
          <w:b/>
          <w:bCs/>
          <w:color w:val="2E5C8A"/>
          <w:sz w:val="24"/>
          <w:szCs w:val="24"/>
        </w:rPr>
        <w:t xml:space="preserve">5.2 Support</w:t>
      </w:r>
    </w:p>
    <w:p>
      <w:pPr>
        <w:spacing w:after="120" w:before="120"/>
      </w:pPr>
      <w:r>
        <w:rPr>
          <w:sz w:val="22"/>
          <w:szCs w:val="22"/>
        </w:rPr>
        <w:t xml:space="preserve">NexCort iQ will provide support as follows:</w:t>
      </w:r>
    </w:p>
    <w:p>
      <w:pPr>
        <w:pStyle w:val="ListParagraph"/>
        <w:numPr>
          <w:ilvl w:val="0"/>
          <w:numId w:val="2"/>
        </w:numPr>
        <w:spacing w:after="80" w:before="80"/>
      </w:pPr>
      <w:r>
        <w:rPr>
          <w:sz w:val="22"/>
          <w:szCs w:val="22"/>
        </w:rPr>
        <w:t xml:space="preserve">Business hours support (8 AM - 6 PM ET, Monday-Friday): Email and phone</w:t>
      </w:r>
    </w:p>
    <w:p>
      <w:pPr>
        <w:pStyle w:val="ListParagraph"/>
        <w:numPr>
          <w:ilvl w:val="0"/>
          <w:numId w:val="2"/>
        </w:numPr>
        <w:spacing w:after="80" w:before="80"/>
      </w:pPr>
      <w:r>
        <w:rPr>
          <w:sz w:val="22"/>
          <w:szCs w:val="22"/>
        </w:rPr>
        <w:t xml:space="preserve">After-hours critical support: Phone for P1 incidents affecting active dispatch operations</w:t>
      </w:r>
    </w:p>
    <w:p>
      <w:pPr>
        <w:pStyle w:val="ListParagraph"/>
        <w:numPr>
          <w:ilvl w:val="0"/>
          <w:numId w:val="2"/>
        </w:numPr>
        <w:spacing w:after="80" w:before="80"/>
      </w:pPr>
      <w:r>
        <w:rPr>
          <w:sz w:val="22"/>
          <w:szCs w:val="22"/>
        </w:rPr>
        <w:t xml:space="preserve">Response time targets: P1 (active dispatch impaired) — 1 hour; P2 (significant degradation) — 4 hours; P3 (minor issues) — next business day</w:t>
      </w:r>
    </w:p>
    <w:p>
      <w:pPr>
        <w:pStyle w:val="Heading2"/>
        <w:spacing w:after="150" w:before="300"/>
      </w:pPr>
      <w:r>
        <w:rPr>
          <w:b/>
          <w:bCs/>
          <w:color w:val="2E5C8A"/>
          <w:sz w:val="24"/>
          <w:szCs w:val="24"/>
        </w:rPr>
        <w:t xml:space="preserve">5.3 Maintenance Windows</w:t>
      </w:r>
    </w:p>
    <w:p>
      <w:pPr>
        <w:spacing w:after="120" w:before="120"/>
      </w:pPr>
      <w:r>
        <w:rPr>
          <w:sz w:val="22"/>
          <w:szCs w:val="22"/>
        </w:rPr>
        <w:t xml:space="preserve">Scheduled maintenance will be performed during off-peak hours (typically 2 AM - 5 AM ET) with 48-hour advance notice. Emergency maintenance may be performed without advance notice when necessary to address security vulnerabilities or system stability.</w:t>
      </w:r>
    </w:p>
    <w:p>
      <w:r>
        <w:br w:type="page"/>
      </w:r>
    </w:p>
    <w:p>
      <w:pPr>
        <w:pStyle w:val="Heading1"/>
        <w:spacing w:after="200" w:before="400"/>
      </w:pPr>
      <w:r>
        <w:rPr>
          <w:b/>
          <w:bCs/>
          <w:color w:val="1E3A5F"/>
          <w:sz w:val="28"/>
          <w:szCs w:val="28"/>
        </w:rPr>
        <w:t xml:space="preserve">ARTICLE 6 — TERM AND TERMINATION</w:t>
      </w:r>
    </w:p>
    <w:p>
      <w:pPr>
        <w:pStyle w:val="Heading2"/>
        <w:spacing w:after="150" w:before="300"/>
      </w:pPr>
      <w:r>
        <w:rPr>
          <w:b/>
          <w:bCs/>
          <w:color w:val="2E5C8A"/>
          <w:sz w:val="24"/>
          <w:szCs w:val="24"/>
        </w:rPr>
        <w:t xml:space="preserve">6.1 Initial Term</w:t>
      </w:r>
    </w:p>
    <w:p>
      <w:pPr>
        <w:spacing w:after="120" w:before="120"/>
      </w:pPr>
      <w:r>
        <w:rPr>
          <w:sz w:val="22"/>
          <w:szCs w:val="22"/>
        </w:rPr>
        <w:t xml:space="preserve">This Agreement commences on the Effective Date and continues for twelve (12) months following the Go-Live Date ("Initial Term"), unless earlier terminated.</w:t>
      </w:r>
    </w:p>
    <w:p>
      <w:pPr>
        <w:pStyle w:val="Heading2"/>
        <w:spacing w:after="150" w:before="300"/>
      </w:pPr>
      <w:r>
        <w:rPr>
          <w:b/>
          <w:bCs/>
          <w:color w:val="2E5C8A"/>
          <w:sz w:val="24"/>
          <w:szCs w:val="24"/>
        </w:rPr>
        <w:t xml:space="preserve">6.2 Renewal</w:t>
      </w:r>
    </w:p>
    <w:p>
      <w:pPr>
        <w:spacing w:after="120" w:before="120"/>
      </w:pPr>
      <w:r>
        <w:rPr>
          <w:sz w:val="22"/>
          <w:szCs w:val="22"/>
        </w:rPr>
        <w:t xml:space="preserve">After the Initial Term, this Agreement renews automatically for successive twelve (12) month periods unless either party provides sixty (60) days written notice of non-renewal prior to the end of the then-current term.</w:t>
      </w:r>
    </w:p>
    <w:p>
      <w:pPr>
        <w:pStyle w:val="Heading2"/>
        <w:spacing w:after="150" w:before="300"/>
      </w:pPr>
      <w:r>
        <w:rPr>
          <w:b/>
          <w:bCs/>
          <w:color w:val="2E5C8A"/>
          <w:sz w:val="24"/>
          <w:szCs w:val="24"/>
        </w:rPr>
        <w:t xml:space="preserve">6.3 Termination for Cause</w:t>
      </w:r>
    </w:p>
    <w:p>
      <w:pPr>
        <w:spacing w:after="120" w:before="120"/>
      </w:pPr>
      <w:r>
        <w:rPr>
          <w:sz w:val="22"/>
          <w:szCs w:val="22"/>
        </w:rPr>
        <w:t xml:space="preserve">Either party may terminate this Agreement immediately upon written notice if the other party materially breaches this Agreement and fails to cure such breach within thirty (30) days of written notice.</w:t>
      </w:r>
    </w:p>
    <w:p>
      <w:pPr>
        <w:pStyle w:val="Heading2"/>
        <w:spacing w:after="150" w:before="300"/>
      </w:pPr>
      <w:r>
        <w:rPr>
          <w:b/>
          <w:bCs/>
          <w:color w:val="2E5C8A"/>
          <w:sz w:val="24"/>
          <w:szCs w:val="24"/>
        </w:rPr>
        <w:t xml:space="preserve">6.4 Termination for Convenience / Non-Appropriation</w:t>
      </w:r>
    </w:p>
    <w:p>
      <w:pPr>
        <w:spacing w:after="120" w:before="120"/>
      </w:pPr>
      <w:r>
        <w:rPr>
          <w:sz w:val="22"/>
          <w:szCs w:val="22"/>
        </w:rPr>
        <w:t xml:space="preserve">Agency may terminate this Agreement upon sixty (60) days written notice. If termination results from non-appropriation of funds as described in Section 3.5, no early termination fee applies.</w:t>
      </w:r>
    </w:p>
    <w:p>
      <w:pPr>
        <w:pStyle w:val="Heading2"/>
        <w:spacing w:after="150" w:before="300"/>
      </w:pPr>
      <w:r>
        <w:rPr>
          <w:b/>
          <w:bCs/>
          <w:color w:val="2E5C8A"/>
          <w:sz w:val="24"/>
          <w:szCs w:val="24"/>
        </w:rPr>
        <w:t xml:space="preserve">6.5 Effect of Termination</w:t>
      </w:r>
    </w:p>
    <w:p>
      <w:pPr>
        <w:spacing w:after="120" w:before="120"/>
      </w:pPr>
      <w:r>
        <w:rPr>
          <w:sz w:val="22"/>
          <w:szCs w:val="22"/>
        </w:rPr>
        <w:t xml:space="preserve">Upon termination: (a) Authorized User access will be deactivated; (b) NexCort iQ will provide a data export within thirty (30) days; (c) each party will return or destroy the other party's Confidential Information.</w:t>
      </w:r>
    </w:p>
    <w:p>
      <w:r>
        <w:br w:type="page"/>
      </w:r>
    </w:p>
    <w:p>
      <w:pPr>
        <w:pStyle w:val="Heading1"/>
        <w:spacing w:after="200" w:before="400"/>
      </w:pPr>
      <w:r>
        <w:rPr>
          <w:b/>
          <w:bCs/>
          <w:color w:val="1E3A5F"/>
          <w:sz w:val="28"/>
          <w:szCs w:val="28"/>
        </w:rPr>
        <w:t xml:space="preserve">ARTICLE 7 — WARRANTIES, DISCLAIMERS, AND LIABILITY</w:t>
      </w:r>
    </w:p>
    <w:p>
      <w:pPr>
        <w:pStyle w:val="Heading2"/>
        <w:spacing w:after="150" w:before="300"/>
      </w:pPr>
      <w:r>
        <w:rPr>
          <w:b/>
          <w:bCs/>
          <w:color w:val="2E5C8A"/>
          <w:sz w:val="24"/>
          <w:szCs w:val="24"/>
        </w:rPr>
        <w:t xml:space="preserve">7.1 NexCort iQ Warranties</w:t>
      </w:r>
    </w:p>
    <w:p>
      <w:pPr>
        <w:spacing w:after="120" w:before="120"/>
      </w:pPr>
      <w:r>
        <w:rPr>
          <w:sz w:val="22"/>
          <w:szCs w:val="22"/>
        </w:rPr>
        <w:t xml:space="preserve">NexCort iQ warrants that: (a) the RC Platform will perform materially as described in the Documentation; (b) it will maintain appropriate security controls; (c) it has the right to grant the licenses herein.</w:t>
      </w:r>
    </w:p>
    <w:p>
      <w:pPr>
        <w:pStyle w:val="Heading2"/>
        <w:spacing w:after="150" w:before="300"/>
      </w:pPr>
      <w:r>
        <w:rPr>
          <w:b/>
          <w:bCs/>
          <w:color w:val="2E5C8A"/>
          <w:sz w:val="24"/>
          <w:szCs w:val="24"/>
        </w:rPr>
        <w:t xml:space="preserve">7.2 AI Output Disclaimer</w:t>
      </w:r>
    </w:p>
    <w:p>
      <w:pPr>
        <w:spacing w:after="120" w:before="120"/>
      </w:pPr>
      <w:r>
        <w:rPr>
          <w:sz w:val="22"/>
          <w:szCs w:val="22"/>
        </w:rPr>
        <w:t xml:space="preserve">AGENCY ACKNOWLEDGES THAT ALL AI-GENERATED OUTPUT FROM THE RC PLATFORM IS ASSISTIVE IN NATURE AND SUBJECT TO ERROR. NEXCORT IQ DOES NOT WARRANT THE ACCURACY OR COMPLETENESS OF ANY AI TRANSCRIPTION, SUMMARY, TRIAGE RECOMMENDATION, OR OTHER AI OUTPUT. AGENCY IS SOLELY RESPONSIBLE FOR VERIFYING ALL AI OUTPUT BEFORE TAKING ANY OPERATIONAL ACTION.</w:t>
      </w:r>
    </w:p>
    <w:p>
      <w:pPr>
        <w:pStyle w:val="Heading2"/>
        <w:spacing w:after="150" w:before="300"/>
      </w:pPr>
      <w:r>
        <w:rPr>
          <w:b/>
          <w:bCs/>
          <w:color w:val="2E5C8A"/>
          <w:sz w:val="24"/>
          <w:szCs w:val="24"/>
        </w:rPr>
        <w:t xml:space="preserve">7.3 Limitation of Liability</w:t>
      </w:r>
    </w:p>
    <w:p>
      <w:pPr>
        <w:spacing w:after="120" w:before="120"/>
      </w:pPr>
      <w:r>
        <w:rPr>
          <w:sz w:val="22"/>
          <w:szCs w:val="22"/>
        </w:rPr>
        <w:t xml:space="preserve">NEXCORT IQ'S TOTAL LIABILITY ARISING OUT OF OR RELATED TO THIS AGREEMENT SHALL NOT EXCEED THE TOTAL FEES PAID BY AGENCY IN THE TWELVE (12) MONTHS PRECEDING THE CLAIM. IN NO EVENT SHALL NEXCORT IQ BE LIABLE FOR INDIRECT, CONSEQUENTIAL, OR PUNITIVE DAMAGES.</w:t>
      </w:r>
    </w:p>
    <w:p>
      <w:pPr>
        <w:pStyle w:val="Heading2"/>
        <w:spacing w:after="150" w:before="300"/>
      </w:pPr>
      <w:r>
        <w:rPr>
          <w:b/>
          <w:bCs/>
          <w:color w:val="2E5C8A"/>
          <w:sz w:val="24"/>
          <w:szCs w:val="24"/>
        </w:rPr>
        <w:t xml:space="preserve">7.4 Emergency Services Limitation</w:t>
      </w:r>
    </w:p>
    <w:p>
      <w:pPr>
        <w:spacing w:after="120" w:before="120"/>
      </w:pPr>
      <w:r>
        <w:rPr>
          <w:sz w:val="22"/>
          <w:szCs w:val="22"/>
        </w:rPr>
        <w:t xml:space="preserve">NEXCORT IQ SHALL NOT BE LIABLE FOR ANY HARM ARISING FROM AGENCY'S EMERGENCY RESPONSE DECISIONS, DISPATCH ACTIONS, OR OPERATIONAL OUTCOMES, REGARDLESS OF WHETHER AI OUTPUT FROM THE RC PLATFORM WAS CONSIDERED IN CONNECTION WITH SUCH DECISIONS.</w:t>
      </w:r>
    </w:p>
    <w:p>
      <w:r>
        <w:br w:type="page"/>
      </w:r>
    </w:p>
    <w:p>
      <w:pPr>
        <w:pStyle w:val="Heading1"/>
        <w:spacing w:after="200" w:before="400"/>
      </w:pPr>
      <w:r>
        <w:rPr>
          <w:b/>
          <w:bCs/>
          <w:color w:val="1E3A5F"/>
          <w:sz w:val="28"/>
          <w:szCs w:val="28"/>
        </w:rPr>
        <w:t xml:space="preserve">ARTICLE 8 — GENERAL PROVISIONS</w:t>
      </w:r>
    </w:p>
    <w:p>
      <w:pPr>
        <w:pStyle w:val="Heading2"/>
        <w:spacing w:after="150" w:before="300"/>
      </w:pPr>
      <w:r>
        <w:rPr>
          <w:b/>
          <w:bCs/>
          <w:color w:val="2E5C8A"/>
          <w:sz w:val="24"/>
          <w:szCs w:val="24"/>
        </w:rPr>
        <w:t xml:space="preserve">8.1 Governing Law</w:t>
      </w:r>
    </w:p>
    <w:p>
      <w:pPr>
        <w:spacing w:after="120" w:before="120"/>
      </w:pPr>
      <w:r>
        <w:rPr>
          <w:sz w:val="22"/>
          <w:szCs w:val="22"/>
        </w:rPr>
        <w:t xml:space="preserve">This Agreement is governed by the laws of the State of Georgia. Disputes shall be resolved by binding arbitration in Columbus, Georgia, except that either party may seek injunctive relief in any court of competent jurisdiction.</w:t>
      </w:r>
    </w:p>
    <w:p>
      <w:pPr>
        <w:pStyle w:val="Heading2"/>
        <w:spacing w:after="150" w:before="300"/>
      </w:pPr>
      <w:r>
        <w:rPr>
          <w:b/>
          <w:bCs/>
          <w:color w:val="2E5C8A"/>
          <w:sz w:val="24"/>
          <w:szCs w:val="24"/>
        </w:rPr>
        <w:t xml:space="preserve">8.2 Entire Agreement</w:t>
      </w:r>
    </w:p>
    <w:p>
      <w:pPr>
        <w:spacing w:after="120" w:before="120"/>
      </w:pPr>
      <w:r>
        <w:rPr>
          <w:sz w:val="22"/>
          <w:szCs w:val="22"/>
        </w:rPr>
        <w:t xml:space="preserve">This Agreement together with all Exhibits constitutes the entire agreement between the parties and supersedes all prior agreements regarding the RC Platform.</w:t>
      </w:r>
    </w:p>
    <w:p>
      <w:pPr>
        <w:pStyle w:val="Heading2"/>
        <w:spacing w:after="150" w:before="300"/>
      </w:pPr>
      <w:r>
        <w:rPr>
          <w:b/>
          <w:bCs/>
          <w:color w:val="2E5C8A"/>
          <w:sz w:val="24"/>
          <w:szCs w:val="24"/>
        </w:rPr>
        <w:t xml:space="preserve">8.3 Public Records</w:t>
      </w:r>
    </w:p>
    <w:p>
      <w:pPr>
        <w:spacing w:after="120" w:before="120"/>
      </w:pPr>
      <w:r>
        <w:rPr>
          <w:sz w:val="22"/>
          <w:szCs w:val="22"/>
        </w:rPr>
        <w:t xml:space="preserve">Agency acknowledges that this Agreement may be subject to public records disclosure requirements under applicable state law. Agency will notify NexCort iQ before disclosing any NexCort iQ Confidential Information in response to a public records request.</w:t>
      </w:r>
    </w:p>
    <w:p>
      <w:pPr>
        <w:pStyle w:val="Heading2"/>
        <w:spacing w:after="150" w:before="300"/>
      </w:pPr>
      <w:r>
        <w:rPr>
          <w:b/>
          <w:bCs/>
          <w:color w:val="2E5C8A"/>
          <w:sz w:val="24"/>
          <w:szCs w:val="24"/>
        </w:rPr>
        <w:t xml:space="preserve">8.4 Amendment</w:t>
      </w:r>
    </w:p>
    <w:p>
      <w:pPr>
        <w:spacing w:after="120" w:before="120"/>
      </w:pPr>
      <w:r>
        <w:rPr>
          <w:sz w:val="22"/>
          <w:szCs w:val="22"/>
        </w:rPr>
        <w:t xml:space="preserve">This Agreement may only be amended by a written instrument signed by authorized representatives of both parties.</w:t>
      </w:r>
    </w:p>
    <w:p>
      <w:pPr>
        <w:pStyle w:val="Heading2"/>
        <w:spacing w:after="150" w:before="300"/>
      </w:pPr>
      <w:r>
        <w:rPr>
          <w:b/>
          <w:bCs/>
          <w:color w:val="2E5C8A"/>
          <w:sz w:val="24"/>
          <w:szCs w:val="24"/>
        </w:rPr>
        <w:t xml:space="preserve">8.5 Force Majeure</w:t>
      </w:r>
    </w:p>
    <w:p>
      <w:pPr>
        <w:spacing w:after="120" w:before="120"/>
      </w:pPr>
      <w:r>
        <w:rPr>
          <w:sz w:val="22"/>
          <w:szCs w:val="22"/>
        </w:rPr>
        <w:t xml:space="preserve">Neither party shall be liable for failures resulting from causes beyond its reasonable control, provided that NexCort iQ will implement disaster recovery procedures to minimize any service disruption.</w:t>
      </w:r>
    </w:p>
    <w:p>
      <w:r>
        <w:br w:type="page"/>
      </w:r>
    </w:p>
    <w:p>
      <w:pPr>
        <w:pStyle w:val="Heading1"/>
        <w:spacing w:after="200" w:before="400"/>
      </w:pPr>
      <w:r>
        <w:rPr>
          <w:b/>
          <w:bCs/>
          <w:color w:val="1E3A5F"/>
          <w:sz w:val="28"/>
          <w:szCs w:val="28"/>
        </w:rPr>
        <w:t xml:space="preserve">SIGNATURE PAGE — PLATFORM SERVICES AGREEMENT</w:t>
      </w:r>
    </w:p>
    <w:p>
      <w:pPr>
        <w:spacing w:after="120" w:before="120"/>
      </w:pPr>
      <w:r>
        <w:rPr>
          <w:sz w:val="22"/>
          <w:szCs w:val="22"/>
        </w:rPr>
        <w:t xml:space="preserve">IN WITNESS WHEREOF, the parties have executed this Agreement as of the Effective Date, which is the date of the last signature below.</w:t>
      </w:r>
    </w:p>
    <w:p>
      <w:pPr>
        <w:spacing w:after="120" w:before="120"/>
      </w:pPr>
      <w:r>
        <w:rPr>
          <w:b/>
          <w:bCs/>
          <w:sz w:val="22"/>
          <w:szCs w:val="22"/>
        </w:rPr>
        <w:t xml:space="preserve">BY SIGNING BELOW, AGENCY ACKNOWLEDGES THAT: (1) THE RC PLATFORM IS AN ASSISTIVE TECHNOLOGY TOOL THAT DOES NOT REPLACE DISPATCHERS, CAD SYSTEMS, OR OPERATIONAL JUDGMENT; (2) ALL AI OUTPUT REQUIRES HUMAN REVIEW BEFORE ANY OPERATIONAL ACTION; (3) AGENCY REMAINS RESPONSIBLE FOR ITS OWN CJIS COMPLIANCE OBLIGATIONS.</w:t>
      </w:r>
    </w:p>
    <w:p>
      <w:pPr>
        <w:spacing w:before="400"/>
      </w:pPr>
      <w:r>
        <w:rPr>
          <w:b/>
          <w:bCs/>
          <w:sz w:val="24"/>
          <w:szCs w:val="24"/>
        </w:rPr>
        <w:t xml:space="preserve">NEXCORT IQ, LLC</w:t>
      </w:r>
    </w:p>
    <w:p>
      <w:pPr>
        <w:spacing w:after="400" w:before="80"/>
      </w:pPr>
      <w:r>
        <w:rPr>
          <w:color w:val="555555"/>
          <w:sz w:val="20"/>
          <w:szCs w:val="20"/>
        </w:rPr>
        <w:t xml:space="preserve">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720"/>
        <w:gridCol w:w="4320"/>
      </w:tblGrid>
      <w:tr>
        <w:tc>
          <w:tcPr>
            <w:tcW w:type="dxa" w:w="4320"/>
            <w:tcBorders>
              <w:top w:val="none" w:color="FFFFFF" w:sz="0"/>
              <w:left w:val="none" w:color="FFFFFF" w:sz="0"/>
              <w:bottom w:val="none" w:color="FFFFFF" w:sz="0"/>
              <w:right w:val="none" w:color="FFFFFF" w:sz="0"/>
            </w:tcBorders>
          </w:tcPr>
          <w:p>
            <w:pPr>
              <w:pBdr>
                <w:bottom w:val="single" w:color="000000" w:sz="6"/>
              </w:pBdr>
            </w:pPr>
            <w:r>
              <w:t xml:space="preserve"/>
            </w:r>
          </w:p>
          <w:p>
            <w:r>
              <w:rPr>
                <w:sz w:val="18"/>
                <w:szCs w:val="18"/>
              </w:rPr>
              <w:t xml:space="preserve">Authorized Signature</w:t>
            </w:r>
          </w:p>
        </w:tc>
        <w:tc>
          <w:tcPr>
            <w:tcW w:type="dxa" w:w="720"/>
            <w:tcBorders>
              <w:top w:val="none" w:color="FFFFFF" w:sz="0"/>
              <w:left w:val="none" w:color="FFFFFF" w:sz="0"/>
              <w:bottom w:val="none" w:color="FFFFFF" w:sz="0"/>
              <w:right w:val="none" w:color="FFFFFF" w:sz="0"/>
            </w:tcBorders>
          </w:tcPr>
          <w:p>
            <w:r>
              <w:t xml:space="preserve"/>
            </w:r>
          </w:p>
        </w:tc>
        <w:tc>
          <w:tcPr>
            <w:tcW w:type="dxa" w:w="4320"/>
            <w:tcBorders>
              <w:top w:val="none" w:color="FFFFFF" w:sz="0"/>
              <w:left w:val="none" w:color="FFFFFF" w:sz="0"/>
              <w:bottom w:val="none" w:color="FFFFFF" w:sz="0"/>
              <w:right w:val="none" w:color="FFFFFF" w:sz="0"/>
            </w:tcBorders>
          </w:tcPr>
          <w:p>
            <w:pPr>
              <w:pBdr>
                <w:bottom w:val="single" w:color="000000" w:sz="6"/>
              </w:pBdr>
            </w:pPr>
            <w:r>
              <w:t xml:space="preserve"/>
            </w:r>
          </w:p>
          <w:p>
            <w:r>
              <w:rPr>
                <w:sz w:val="18"/>
                <w:szCs w:val="18"/>
              </w:rPr>
              <w:t xml:space="preserve">Date</w:t>
            </w:r>
          </w:p>
        </w:tc>
      </w:tr>
    </w:tbl>
    <w:p>
      <w:pPr>
        <w:spacing w:after="60" w:before="120"/>
      </w:pPr>
      <w:r>
        <w:rPr>
          <w:sz w:val="22"/>
          <w:szCs w:val="22"/>
        </w:rPr>
        <w:t xml:space="preserve">Printed Name: _________________________________</w:t>
      </w:r>
    </w:p>
    <w:p>
      <w:pPr>
        <w:spacing w:after="60" w:before="60"/>
      </w:pPr>
      <w:r>
        <w:rPr>
          <w:sz w:val="22"/>
          <w:szCs w:val="22"/>
        </w:rPr>
        <w:t xml:space="preserve">Title: _________________________________</w:t>
      </w:r>
    </w:p>
    <w:p>
      <w:pPr>
        <w:spacing w:after="400" w:before="60"/>
      </w:pPr>
      <w:r>
        <w:rPr>
          <w:sz w:val="22"/>
          <w:szCs w:val="22"/>
        </w:rPr>
        <w:t xml:space="preserve">Email: _________________________________</w:t>
      </w:r>
    </w:p>
    <w:p>
      <w:r>
        <w:rPr>
          <w:b/>
          <w:bCs/>
          <w:color w:val="CC0000"/>
          <w:sz w:val="24"/>
          <w:szCs w:val="24"/>
        </w:rPr>
        <w:t xml:space="preserve">[AGENCY FULL LEGAL NAME]</w:t>
      </w:r>
    </w:p>
    <w:p>
      <w:pPr>
        <w:spacing w:after="400" w:before="80"/>
      </w:pPr>
      <w:r>
        <w:rPr>
          <w:color w:val="555555"/>
          <w:sz w:val="20"/>
          <w:szCs w:val="20"/>
        </w:rPr>
        <w:t xml:space="preserve">Agency /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720"/>
        <w:gridCol w:w="4320"/>
      </w:tblGrid>
      <w:tr>
        <w:tc>
          <w:tcPr>
            <w:tcW w:type="dxa" w:w="4320"/>
            <w:tcBorders>
              <w:top w:val="none" w:color="FFFFFF" w:sz="0"/>
              <w:left w:val="none" w:color="FFFFFF" w:sz="0"/>
              <w:bottom w:val="none" w:color="FFFFFF" w:sz="0"/>
              <w:right w:val="none" w:color="FFFFFF" w:sz="0"/>
            </w:tcBorders>
          </w:tcPr>
          <w:p>
            <w:pPr>
              <w:pBdr>
                <w:bottom w:val="single" w:color="000000" w:sz="6"/>
              </w:pBdr>
            </w:pPr>
            <w:r>
              <w:t xml:space="preserve"/>
            </w:r>
          </w:p>
          <w:p>
            <w:r>
              <w:rPr>
                <w:sz w:val="18"/>
                <w:szCs w:val="18"/>
              </w:rPr>
              <w:t xml:space="preserve">Authorized Signature (Agency Head / Director)</w:t>
            </w:r>
          </w:p>
        </w:tc>
        <w:tc>
          <w:tcPr>
            <w:tcW w:type="dxa" w:w="720"/>
            <w:tcBorders>
              <w:top w:val="none" w:color="FFFFFF" w:sz="0"/>
              <w:left w:val="none" w:color="FFFFFF" w:sz="0"/>
              <w:bottom w:val="none" w:color="FFFFFF" w:sz="0"/>
              <w:right w:val="none" w:color="FFFFFF" w:sz="0"/>
            </w:tcBorders>
          </w:tcPr>
          <w:p>
            <w:r>
              <w:t xml:space="preserve"/>
            </w:r>
          </w:p>
        </w:tc>
        <w:tc>
          <w:tcPr>
            <w:tcW w:type="dxa" w:w="4320"/>
            <w:tcBorders>
              <w:top w:val="none" w:color="FFFFFF" w:sz="0"/>
              <w:left w:val="none" w:color="FFFFFF" w:sz="0"/>
              <w:bottom w:val="none" w:color="FFFFFF" w:sz="0"/>
              <w:right w:val="none" w:color="FFFFFF" w:sz="0"/>
            </w:tcBorders>
          </w:tcPr>
          <w:p>
            <w:pPr>
              <w:pBdr>
                <w:bottom w:val="single" w:color="000000" w:sz="6"/>
              </w:pBdr>
            </w:pPr>
            <w:r>
              <w:t xml:space="preserve"/>
            </w:r>
          </w:p>
          <w:p>
            <w:r>
              <w:rPr>
                <w:sz w:val="18"/>
                <w:szCs w:val="18"/>
              </w:rPr>
              <w:t xml:space="preserve">Date</w:t>
            </w:r>
          </w:p>
        </w:tc>
      </w:tr>
    </w:tbl>
    <w:p>
      <w:pPr>
        <w:spacing w:after="60" w:before="120"/>
      </w:pPr>
      <w:r>
        <w:rPr>
          <w:sz w:val="22"/>
          <w:szCs w:val="22"/>
        </w:rPr>
        <w:t xml:space="preserve">Printed Name: _________________________________</w:t>
      </w:r>
    </w:p>
    <w:p>
      <w:pPr>
        <w:spacing w:after="60" w:before="60"/>
      </w:pPr>
      <w:r>
        <w:rPr>
          <w:sz w:val="22"/>
          <w:szCs w:val="22"/>
        </w:rPr>
        <w:t xml:space="preserve">Title: _________________________________</w:t>
      </w:r>
    </w:p>
    <w:p>
      <w:pPr>
        <w:spacing w:after="60" w:before="60"/>
      </w:pPr>
      <w:r>
        <w:rPr>
          <w:sz w:val="22"/>
          <w:szCs w:val="22"/>
        </w:rPr>
        <w:t xml:space="preserve">Agency Name: _________________________________</w:t>
      </w:r>
    </w:p>
    <w:p>
      <w:pPr>
        <w:spacing w:after="60" w:before="60"/>
      </w:pPr>
      <w:r>
        <w:rPr>
          <w:sz w:val="22"/>
          <w:szCs w:val="22"/>
        </w:rPr>
        <w:t xml:space="preserve">Email: _________________________________</w:t>
      </w:r>
    </w:p>
    <w:p>
      <w:pPr>
        <w:spacing w:after="400" w:before="60"/>
      </w:pPr>
      <w:r>
        <w:rPr>
          <w:sz w:val="22"/>
          <w:szCs w:val="22"/>
        </w:rPr>
        <w:t xml:space="preserve">Purchase Order #: _________________________________  (if required)</w:t>
      </w:r>
    </w:p>
    <w:p>
      <w:r>
        <w:br w:type="page"/>
      </w:r>
    </w:p>
    <w:p>
      <w:pPr>
        <w:pStyle w:val="Heading1"/>
        <w:spacing w:after="200" w:before="400"/>
      </w:pPr>
      <w:r>
        <w:rPr>
          <w:b/>
          <w:bCs/>
          <w:color w:val="1E3A5F"/>
          <w:sz w:val="28"/>
          <w:szCs w:val="28"/>
        </w:rPr>
        <w:t xml:space="preserve">EXHIBIT A — PLAN, PRICING, AND ONBOARDING SCOPE</w:t>
      </w:r>
    </w:p>
    <w:p>
      <w:pPr>
        <w:pStyle w:val="Heading2"/>
        <w:spacing w:after="150" w:before="300"/>
      </w:pPr>
      <w:r>
        <w:rPr>
          <w:b/>
          <w:bCs/>
          <w:color w:val="2E5C8A"/>
          <w:sz w:val="24"/>
          <w:szCs w:val="24"/>
        </w:rPr>
        <w:t xml:space="preserve">A.1 Selected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Plan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Monthly Fee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Best For</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RC Essential</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$TBD</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Small agencies / pilots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RC Command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$TBD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operations + QA + reporting</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Enterprise / Statewide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Custom</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Large / multi-agency</w:t>
            </w:r>
          </w:p>
        </w:tc>
      </w:tr>
    </w:tbl>
    <w:p>
      <w:pPr>
        <w:spacing w:after="60" w:before="200"/>
      </w:pPr>
      <w:r>
        <w:rPr>
          <w:b/>
          <w:bCs/>
          <w:sz w:val="22"/>
          <w:szCs w:val="22"/>
        </w:rPr>
        <w:t xml:space="preserve">Agency Selected Plan: _________________________________  Monthly Fee: $_____________</w:t>
      </w:r>
    </w:p>
    <w:p>
      <w:pPr>
        <w:spacing w:after="60" w:before="60"/>
      </w:pPr>
      <w:r>
        <w:rPr>
          <w:sz w:val="22"/>
          <w:szCs w:val="22"/>
        </w:rPr>
        <w:t xml:space="preserve">Number of Dispatcher Seats: _______  Number of Supervisor Seats: _______</w:t>
      </w:r>
    </w:p>
    <w:p>
      <w:pPr>
        <w:spacing w:after="200" w:before="60"/>
      </w:pPr>
      <w:r>
        <w:rPr>
          <w:sz w:val="22"/>
          <w:szCs w:val="22"/>
        </w:rPr>
        <w:t xml:space="preserve">Billing Cycle:  [ ] Monthly   [ ] Annual (prepaid)   Annual Discount: _______%</w:t>
      </w:r>
    </w:p>
    <w:p>
      <w:pPr>
        <w:pStyle w:val="Heading2"/>
        <w:spacing w:after="150" w:before="300"/>
      </w:pPr>
      <w:r>
        <w:rPr>
          <w:b/>
          <w:bCs/>
          <w:color w:val="2E5C8A"/>
          <w:sz w:val="24"/>
          <w:szCs w:val="24"/>
        </w:rPr>
        <w:t xml:space="preserve">A.2 Agency Information</w:t>
      </w:r>
    </w:p>
    <w:p>
      <w:pPr>
        <w:spacing w:after="60" w:before="120"/>
      </w:pPr>
      <w:r>
        <w:rPr>
          <w:sz w:val="22"/>
          <w:szCs w:val="22"/>
        </w:rPr>
        <w:t xml:space="preserve">Agency Legal Name: _________________________________</w:t>
      </w:r>
    </w:p>
    <w:p>
      <w:pPr>
        <w:spacing w:after="60" w:before="60"/>
      </w:pPr>
      <w:r>
        <w:rPr>
          <w:sz w:val="22"/>
          <w:szCs w:val="22"/>
        </w:rPr>
        <w:t xml:space="preserve">Agency ID (assigned by NC Admin): _________________________________</w:t>
      </w:r>
    </w:p>
    <w:p>
      <w:pPr>
        <w:spacing w:after="60" w:before="60"/>
      </w:pPr>
      <w:r>
        <w:rPr>
          <w:sz w:val="22"/>
          <w:szCs w:val="22"/>
        </w:rPr>
        <w:t xml:space="preserve">Jurisdiction: _________________________________  State: _____</w:t>
      </w:r>
    </w:p>
    <w:p>
      <w:pPr>
        <w:spacing w:after="60" w:before="60"/>
      </w:pPr>
      <w:r>
        <w:rPr>
          <w:sz w:val="22"/>
          <w:szCs w:val="22"/>
        </w:rPr>
        <w:t xml:space="preserve">Mailing Address: _________________________________</w:t>
      </w:r>
    </w:p>
    <w:p>
      <w:pPr>
        <w:pStyle w:val="Heading2"/>
        <w:spacing w:after="150" w:before="300"/>
      </w:pPr>
      <w:r>
        <w:rPr>
          <w:b/>
          <w:bCs/>
          <w:color w:val="2E5C8A"/>
          <w:sz w:val="24"/>
          <w:szCs w:val="24"/>
        </w:rPr>
        <w:t xml:space="preserve">A.3 Key Contacts</w:t>
      </w:r>
    </w:p>
    <w:p>
      <w:pPr>
        <w:spacing w:after="60" w:before="120"/>
      </w:pPr>
      <w:r>
        <w:rPr>
          <w:sz w:val="22"/>
          <w:szCs w:val="22"/>
        </w:rPr>
        <w:t xml:space="preserve">Executive Sponsor: _________________________________  Email: _________________________________</w:t>
      </w:r>
    </w:p>
    <w:p>
      <w:pPr>
        <w:spacing w:after="60" w:before="60"/>
      </w:pPr>
      <w:r>
        <w:rPr>
          <w:sz w:val="22"/>
          <w:szCs w:val="22"/>
        </w:rPr>
        <w:t xml:space="preserve">Agency Admin (dashboard access): _________________________________  Email: _________________________________</w:t>
      </w:r>
    </w:p>
    <w:p>
      <w:pPr>
        <w:spacing w:after="60" w:before="60"/>
      </w:pPr>
      <w:r>
        <w:rPr>
          <w:sz w:val="22"/>
          <w:szCs w:val="22"/>
        </w:rPr>
        <w:t xml:space="preserve">IT Admin Contact: _________________________________  Email: _________________________________</w:t>
      </w:r>
    </w:p>
    <w:p>
      <w:pPr>
        <w:spacing w:after="60" w:before="60"/>
      </w:pPr>
      <w:r>
        <w:rPr>
          <w:sz w:val="22"/>
          <w:szCs w:val="22"/>
        </w:rPr>
        <w:t xml:space="preserve">Billing Contact: _________________________________  Email: _________________________________</w:t>
      </w:r>
    </w:p>
    <w:p>
      <w:pPr>
        <w:spacing w:after="200" w:before="60"/>
      </w:pPr>
      <w:r>
        <w:rPr>
          <w:sz w:val="22"/>
          <w:szCs w:val="22"/>
        </w:rPr>
        <w:t xml:space="preserve">Purchase Order # (if required): _________________________________</w:t>
      </w:r>
    </w:p>
    <w:p>
      <w:pPr>
        <w:pStyle w:val="Heading2"/>
        <w:spacing w:after="150" w:before="300"/>
      </w:pPr>
      <w:r>
        <w:rPr>
          <w:b/>
          <w:bCs/>
          <w:color w:val="2E5C8A"/>
          <w:sz w:val="24"/>
          <w:szCs w:val="24"/>
        </w:rPr>
        <w:t xml:space="preserve">A.4 Onboarding Scope</w:t>
      </w:r>
    </w:p>
    <w:p>
      <w:pPr>
        <w:pStyle w:val="ListParagraph"/>
        <w:numPr>
          <w:ilvl w:val="0"/>
          <w:numId w:val="2"/>
        </w:numPr>
        <w:spacing w:after="80" w:before="80"/>
      </w:pPr>
      <w:r>
        <w:rPr>
          <w:sz w:val="22"/>
          <w:szCs w:val="22"/>
        </w:rPr>
        <w:t xml:space="preserve">Agency account creation and jurisdiction slug assignment</w:t>
      </w:r>
    </w:p>
    <w:p>
      <w:pPr>
        <w:pStyle w:val="ListParagraph"/>
        <w:numPr>
          <w:ilvl w:val="0"/>
          <w:numId w:val="2"/>
        </w:numPr>
        <w:spacing w:after="80" w:before="80"/>
      </w:pPr>
      <w:r>
        <w:rPr>
          <w:sz w:val="22"/>
          <w:szCs w:val="22"/>
        </w:rPr>
        <w:t xml:space="preserve">Cognito user provisioning for all Authorized Users with correct roles</w:t>
      </w:r>
    </w:p>
    <w:p>
      <w:pPr>
        <w:pStyle w:val="ListParagraph"/>
        <w:numPr>
          <w:ilvl w:val="0"/>
          <w:numId w:val="2"/>
        </w:numPr>
        <w:spacing w:after="80" w:before="80"/>
      </w:pPr>
      <w:r>
        <w:rPr>
          <w:sz w:val="22"/>
          <w:szCs w:val="22"/>
        </w:rPr>
        <w:t xml:space="preserve">CAD integration setup (see Exhibit B)</w:t>
      </w:r>
    </w:p>
    <w:p>
      <w:pPr>
        <w:pStyle w:val="ListParagraph"/>
        <w:numPr>
          <w:ilvl w:val="0"/>
          <w:numId w:val="2"/>
        </w:numPr>
        <w:spacing w:after="80" w:before="80"/>
      </w:pPr>
      <w:r>
        <w:rPr>
          <w:sz w:val="22"/>
          <w:szCs w:val="22"/>
        </w:rPr>
        <w:t xml:space="preserve">Dispatcher and supervisor training (remote or on-site as agreed)</w:t>
      </w:r>
    </w:p>
    <w:p>
      <w:pPr>
        <w:pStyle w:val="ListParagraph"/>
        <w:numPr>
          <w:ilvl w:val="0"/>
          <w:numId w:val="2"/>
        </w:numPr>
        <w:spacing w:after="80" w:before="80"/>
      </w:pPr>
      <w:r>
        <w:rPr>
          <w:sz w:val="22"/>
          <w:szCs w:val="22"/>
        </w:rPr>
        <w:t xml:space="preserve">Pilot validation and go-live smoke test</w:t>
      </w:r>
    </w:p>
    <w:p>
      <w:pPr>
        <w:pStyle w:val="ListParagraph"/>
        <w:numPr>
          <w:ilvl w:val="0"/>
          <w:numId w:val="2"/>
        </w:numPr>
        <w:spacing w:after="80" w:before="80"/>
      </w:pPr>
      <w:r>
        <w:rPr>
          <w:sz w:val="22"/>
          <w:szCs w:val="22"/>
        </w:rPr>
        <w:t xml:space="preserve">30-day post go-live support check-in</w:t>
      </w:r>
    </w:p>
    <w:p>
      <w:pPr>
        <w:pStyle w:val="Heading2"/>
        <w:spacing w:after="150" w:before="300"/>
      </w:pPr>
      <w:r>
        <w:rPr>
          <w:b/>
          <w:bCs/>
          <w:color w:val="2E5C8A"/>
          <w:sz w:val="24"/>
          <w:szCs w:val="24"/>
        </w:rPr>
        <w:t xml:space="preserve">A.5 CAD System</w:t>
      </w:r>
    </w:p>
    <w:p>
      <w:pPr>
        <w:spacing w:after="60" w:before="120"/>
      </w:pPr>
      <w:r>
        <w:rPr>
          <w:sz w:val="22"/>
          <w:szCs w:val="22"/>
        </w:rPr>
        <w:t xml:space="preserve">CAD Vendor: _________________________________  Version: _____________</w:t>
      </w:r>
    </w:p>
    <w:p>
      <w:pPr>
        <w:spacing w:after="60" w:before="60"/>
      </w:pPr>
      <w:r>
        <w:rPr>
          <w:sz w:val="22"/>
          <w:szCs w:val="22"/>
        </w:rPr>
        <w:t xml:space="preserve">CAD Integration Type:  [ ] Read-only  [ ] Read/Write (requires CAD writeback addendum)  [ ] None</w:t>
      </w:r>
    </w:p>
    <w:p>
      <w:pPr>
        <w:spacing w:after="200" w:before="60"/>
      </w:pPr>
      <w:r>
        <w:rPr>
          <w:sz w:val="22"/>
          <w:szCs w:val="22"/>
        </w:rPr>
        <w:t xml:space="preserve">CAD IT Contact: _________________________________  Email: _________________________________</w:t>
      </w:r>
    </w:p>
    <w:p>
      <w:pPr>
        <w:pStyle w:val="Heading2"/>
        <w:spacing w:after="150" w:before="300"/>
      </w:pPr>
      <w:r>
        <w:rPr>
          <w:b/>
          <w:bCs/>
          <w:color w:val="2E5C8A"/>
          <w:sz w:val="24"/>
          <w:szCs w:val="24"/>
        </w:rPr>
        <w:t xml:space="preserve">A.6 Data Retention Period</w:t>
      </w:r>
    </w:p>
    <w:p>
      <w:pPr>
        <w:spacing w:after="200" w:before="120"/>
      </w:pPr>
      <w:r>
        <w:rPr>
          <w:sz w:val="22"/>
          <w:szCs w:val="22"/>
        </w:rPr>
        <w:t xml:space="preserve">Emergency Communications Data Retention:  [ ] 1 year  [ ] 3 years  [ ] 7 years  [ ] Custom: 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NexCort iQ Platform Agreement | Confidential | Page </w:t>
    </w:r>
    <w:r>
      <w:rPr>
        <w:color w:val="888888"/>
        <w:sz w:val="18"/>
        <w:szCs w:val="18"/>
      </w:rPr>
      <w:pgNum/>
    </w:r>
    <w:r>
      <w:rPr>
        <w:color w:val="888888"/>
        <w:sz w:val="18"/>
        <w:szCs w:val="18"/>
      </w:rPr>
      <w:t xml:space="preserve"> | rapidcortex.us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28"/>
      <w:szCs w:val="28"/>
    </w:rPr>
  </w:style>
  <w:style w:type="paragraph" w:styleId="Heading2">
    <w:name w:val="Heading 2"/>
    <w:basedOn w:val="Normal"/>
    <w:next w:val="Normal"/>
    <w:qFormat/>
    <w:pPr>
      <w:spacing w:after="150" w:before="300"/>
      <w:outlineLvl w:val="1"/>
    </w:pPr>
    <w:rPr>
      <w:rFonts w:ascii="Arial" w:cs="Arial" w:eastAsia="Arial" w:hAnsi="Arial"/>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2026-05-16T12:36:54.387Z</dcterms:created>
  <dcterms:modified xsi:type="dcterms:W3CDTF">2026-05-16T12:36:54.387Z</dcterms:modified>
</cp:coreProperties>
</file>

<file path=docProps/custom.xml><?xml version="1.0" encoding="utf-8"?>
<Properties xmlns="http://schemas.openxmlformats.org/officeDocument/2006/custom-properties" xmlns:vt="http://schemas.openxmlformats.org/officeDocument/2006/docPropsVTypes"/>
</file>