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br/>
        <w:t xml:space="preserve"/>
      </w:r>
    </w:p>
    <w:p>
      <w:pPr>
        <w:jc w:val="center"/>
      </w:pPr>
      <w:r>
        <w:rPr>
          <w:rFonts w:ascii="Calibri" w:cs="Calibri" w:eastAsia="Calibri" w:hAnsi="Calibri"/>
          <w:b/>
          <w:bCs/>
          <w:color w:val="C8102E"/>
          <w:sz w:val="52"/>
          <w:szCs w:val="52"/>
        </w:rPr>
        <w:t xml:space="preserve">NEXCORT IQ</w:t>
      </w:r>
    </w:p>
    <w:p>
      <w:pPr>
        <w:spacing w:after="600"/>
        <w:jc w:val="center"/>
      </w:pPr>
      <w:r>
        <w:rPr>
          <w:rFonts w:ascii="Calibri" w:cs="Calibri" w:eastAsia="Calibri" w:hAnsi="Calibri"/>
          <w:i/>
          <w:iCs/>
          <w:color w:val="0B3D91"/>
          <w:sz w:val="26"/>
          <w:szCs w:val="26"/>
        </w:rPr>
        <w:t xml:space="preserve">Intelligence at the Speed of Response</w:t>
      </w:r>
    </w:p>
    <w:p>
      <w:pPr>
        <w:pBdr>
          <w:bottom w:val="single" w:color="0B3D91" w:sz="12"/>
        </w:pBdr>
        <w:spacing w:after="100" w:before="100"/>
      </w:pPr>
    </w:p>
    <w:p>
      <w:pPr>
        <w:spacing w:after="200" w:before="200"/>
        <w:jc w:val="center"/>
      </w:pPr>
      <w:r>
        <w:rPr>
          <w:rFonts w:ascii="Calibri" w:cs="Calibri" w:eastAsia="Calibri" w:hAnsi="Calibri"/>
          <w:b/>
          <w:bCs/>
          <w:color w:val="0D1117"/>
          <w:sz w:val="40"/>
          <w:szCs w:val="40"/>
        </w:rPr>
        <w:t xml:space="preserve">Market &amp; Competitive Analysis</w:t>
      </w:r>
    </w:p>
    <w:p>
      <w:pPr>
        <w:spacing w:after="600"/>
        <w:jc w:val="center"/>
      </w:pPr>
      <w:r>
        <w:rPr>
          <w:rFonts w:ascii="Calibri" w:cs="Calibri" w:eastAsia="Calibri" w:hAnsi="Calibri"/>
          <w:color w:val="37474F"/>
          <w:sz w:val="24"/>
          <w:szCs w:val="24"/>
        </w:rPr>
        <w:t xml:space="preserve">Public Safety AI &amp; Emergency Communications Technology</w:t>
      </w:r>
    </w:p>
    <w:p>
      <w:pPr>
        <w:pBdr>
          <w:bottom w:val="single" w:color="0B3D91" w:sz="12"/>
        </w:pBdr>
        <w:spacing w:after="100" w:before="100"/>
      </w:pPr>
    </w:p>
    <w:p>
      <w:pPr>
        <w:spacing w:after="400"/>
      </w:pPr>
      <w:r>
        <w:br/>
        <w:t xml:space="preserve"/>
      </w:r>
    </w:p>
    <w:p>
      <w:pPr>
        <w:jc w:val="center"/>
      </w:pPr>
      <w:r>
        <w:rPr>
          <w:rFonts w:ascii="Calibri" w:cs="Calibri" w:eastAsia="Calibri" w:hAnsi="Calibri"/>
          <w:b/>
          <w:bCs/>
          <w:color w:val="C8102E"/>
          <w:sz w:val="18"/>
          <w:szCs w:val="18"/>
        </w:rPr>
        <w:t xml:space="preserve">CONFIDENTIAL — INTERNAL USE ONLY</w:t>
      </w:r>
    </w:p>
    <w:p>
      <w:pPr>
        <w:spacing w:after="200"/>
        <w:jc w:val="center"/>
      </w:pPr>
      <w:r>
        <w:rPr>
          <w:rFonts w:ascii="Calibri" w:cs="Calibri" w:eastAsia="Calibri" w:hAnsi="Calibri"/>
          <w:color w:val="37474F"/>
          <w:sz w:val="18"/>
          <w:szCs w:val="18"/>
        </w:rPr>
        <w:t xml:space="preserve">July 2026  |  NexCort iQ, LLC</w:t>
      </w:r>
    </w:p>
    <w:p>
      <w:r>
        <w:br w:type="page"/>
      </w:r>
    </w:p>
    <w:p>
      <w:pPr>
        <w:pBdr>
          <w:bottom w:val="single" w:color="C8102E" w:sz="8"/>
        </w:pBdr>
        <w:spacing w:after="120" w:before="360"/>
      </w:pPr>
      <w:r>
        <w:rPr>
          <w:rFonts w:ascii="Calibri" w:cs="Calibri" w:eastAsia="Calibri" w:hAnsi="Calibri"/>
          <w:b/>
          <w:bCs/>
          <w:color w:val="0B3D91"/>
          <w:sz w:val="36"/>
          <w:szCs w:val="36"/>
        </w:rPr>
        <w:t xml:space="preserve">1. Executive Summary</w:t>
      </w:r>
    </w:p>
    <w:p>
      <w:pPr>
        <w:spacing w:after="120"/>
      </w:pPr>
      <w:r>
        <w:t xml:space="preserve"/>
      </w:r>
    </w:p>
    <w:p>
      <w:pPr>
        <w:spacing w:after="100"/>
        <w:jc w:val="both"/>
      </w:pPr>
      <w:r>
        <w:rPr>
          <w:rFonts w:ascii="Calibri" w:cs="Calibri" w:eastAsia="Calibri" w:hAnsi="Calibri"/>
          <w:color w:val="0D1117"/>
          <w:sz w:val="20"/>
          <w:szCs w:val="20"/>
        </w:rPr>
        <w:t xml:space="preserve">The public safety AI and emergency communications technology market is undergoing the most significant consolidation event in its history. In a six-week window spanning September to November 2025, Axon Enterprise acquired both Prepared ($undisclosed) and Carbyne ($625M), effectively assembling a vertically integrated platform spanning 911 call intake, AI transcription, live video, CAD integration, field response, digital evidence, and prosecution.</w:t>
      </w:r>
    </w:p>
    <w:p>
      <w:pPr>
        <w:spacing w:after="120"/>
      </w:pPr>
      <w:r>
        <w:t xml:space="preserve"/>
      </w:r>
    </w:p>
    <w:p>
      <w:pPr>
        <w:spacing w:after="100"/>
        <w:jc w:val="both"/>
      </w:pPr>
      <w:r>
        <w:rPr>
          <w:rFonts w:ascii="Calibri" w:cs="Calibri" w:eastAsia="Calibri" w:hAnsi="Calibri"/>
          <w:color w:val="0D1117"/>
          <w:sz w:val="20"/>
          <w:szCs w:val="20"/>
        </w:rPr>
        <w:t xml:space="preserve">This consolidation validates the market NexCort iQ is building for — and simultaneously creates one of the most compelling go-to-market opportunities in the space. Agencies that once faced a fragmented vendor landscape now face a different problem: a single dominant player controlling every stage of their emergency response workflow, creating lock-in, pricing leverage, and procurement risk.</w:t>
      </w:r>
    </w:p>
    <w:p>
      <w:pPr>
        <w:spacing w:after="120"/>
      </w:pPr>
      <w:r>
        <w:t xml:space="preserve"/>
      </w:r>
    </w:p>
    <w:p>
      <w:pPr>
        <w:spacing w:after="100"/>
        <w:jc w:val="both"/>
      </w:pPr>
      <w:r>
        <w:rPr>
          <w:rFonts w:ascii="Calibri" w:cs="Calibri" w:eastAsia="Calibri" w:hAnsi="Calibri"/>
          <w:color w:val="0D1117"/>
          <w:sz w:val="20"/>
          <w:szCs w:val="20"/>
        </w:rPr>
        <w:t xml:space="preserve">NexCort iQ enters this market at the ideal inflection point: post-validation, pre-consolidation at the agency level. Our positioning as an AI intelligence and decision-support layer — one that enhances rather than replaces existing infrastructure — puts us in direct competition with the pre-acquisition version of Prepared, and in complementary territory with CAD vendors like Motorola, Tyler, and Hexagon who still need an AI augmentation layer.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000"/>
            <w:shd w:fill="C8102E" w:val="clear"/>
            <w:vAlign w:val="center"/>
          </w:tcPr>
          <w:p>
            <w:pPr>
              <w:spacing w:after="80" w:before="80"/>
              <w:jc w:val="center"/>
            </w:pPr>
            <w:r>
              <w:rPr>
                <w:rFonts w:ascii="Calibri" w:cs="Calibri" w:eastAsia="Calibri" w:hAnsi="Calibri"/>
                <w:b/>
                <w:bCs/>
                <w:color w:val="FFFFFF"/>
                <w:sz w:val="18"/>
                <w:szCs w:val="18"/>
              </w:rPr>
              <w:t xml:space="preserve">MARKET SIZE</w:t>
            </w:r>
          </w:p>
        </w:tc>
        <w:tc>
          <w:tcPr>
            <w:tcW w:type="dxa" w:w="8360"/>
            <w:shd w:fill="F4F6F8" w:val="clear"/>
          </w:tcPr>
          <w:p>
            <w:pPr>
              <w:spacing w:after="80" w:before="80"/>
            </w:pPr>
            <w:r>
              <w:rPr>
                <w:rFonts w:ascii="Calibri" w:cs="Calibri" w:eastAsia="Calibri" w:hAnsi="Calibri"/>
                <w:i/>
                <w:iCs/>
                <w:color w:val="0D1117"/>
                <w:sz w:val="19"/>
                <w:szCs w:val="19"/>
              </w:rPr>
              <w:t xml:space="preserve">Global public safety software market: $18.2B in 2025. Projected to reach $51.4B by 2034 at an 11.3% CAGR. US NG911 sector alone projected to exceed $1.5B by 2030. North America commands 42.3% of global revenue.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000"/>
            <w:shd w:fill="C8102E" w:val="clear"/>
            <w:vAlign w:val="center"/>
          </w:tcPr>
          <w:p>
            <w:pPr>
              <w:spacing w:after="80" w:before="80"/>
              <w:jc w:val="center"/>
            </w:pPr>
            <w:r>
              <w:rPr>
                <w:rFonts w:ascii="Calibri" w:cs="Calibri" w:eastAsia="Calibri" w:hAnsi="Calibri"/>
                <w:b/>
                <w:bCs/>
                <w:color w:val="FFFFFF"/>
                <w:sz w:val="18"/>
                <w:szCs w:val="18"/>
              </w:rPr>
              <w:t xml:space="preserve">RC WINDOW</w:t>
            </w:r>
          </w:p>
        </w:tc>
        <w:tc>
          <w:tcPr>
            <w:tcW w:type="dxa" w:w="8360"/>
            <w:shd w:fill="F4F6F8" w:val="clear"/>
          </w:tcPr>
          <w:p>
            <w:pPr>
              <w:spacing w:after="80" w:before="80"/>
            </w:pPr>
            <w:r>
              <w:rPr>
                <w:rFonts w:ascii="Calibri" w:cs="Calibri" w:eastAsia="Calibri" w:hAnsi="Calibri"/>
                <w:i/>
                <w:iCs/>
                <w:color w:val="0D1117"/>
                <w:sz w:val="19"/>
                <w:szCs w:val="19"/>
              </w:rPr>
              <w:t xml:space="preserve">Prepared reached 1,000+ agencies before acquisition. Carbyne reached 300 sites. NexCort iQ is entering the market during peak agency urgency — staffing crises, NG911 mandates, AI budget availability — with a feature set that rivals the acquired companies at competitive price points.</w:t>
            </w:r>
          </w:p>
        </w:tc>
      </w:tr>
    </w:tbl>
    <w:p>
      <w:pPr>
        <w:spacing w:after="200"/>
      </w:pPr>
      <w:r>
        <w:t xml:space="preserve"/>
      </w:r>
    </w:p>
    <w:p>
      <w:pPr>
        <w:pBdr>
          <w:bottom w:val="single" w:color="C8102E" w:sz="8"/>
        </w:pBdr>
        <w:spacing w:after="120" w:before="360"/>
      </w:pPr>
      <w:r>
        <w:rPr>
          <w:rFonts w:ascii="Calibri" w:cs="Calibri" w:eastAsia="Calibri" w:hAnsi="Calibri"/>
          <w:b/>
          <w:bCs/>
          <w:color w:val="0B3D91"/>
          <w:sz w:val="36"/>
          <w:szCs w:val="36"/>
        </w:rPr>
        <w:t xml:space="preserve">2. Market Landscape</w:t>
      </w:r>
    </w:p>
    <w:p>
      <w:pPr>
        <w:spacing w:after="120"/>
      </w:pPr>
      <w:r>
        <w:t xml:space="preserve"/>
      </w:r>
    </w:p>
    <w:p>
      <w:pPr>
        <w:spacing w:after="80" w:before="280"/>
      </w:pPr>
      <w:r>
        <w:rPr>
          <w:rFonts w:ascii="Calibri" w:cs="Calibri" w:eastAsia="Calibri" w:hAnsi="Calibri"/>
          <w:b/>
          <w:bCs/>
          <w:color w:val="0D1117"/>
          <w:sz w:val="26"/>
          <w:szCs w:val="26"/>
        </w:rPr>
        <w:t xml:space="preserve">2.1  Market Size &amp; Growth</w:t>
      </w:r>
    </w:p>
    <w:p>
      <w:pPr>
        <w:spacing w:after="100"/>
        <w:jc w:val="both"/>
      </w:pPr>
      <w:r>
        <w:rPr>
          <w:rFonts w:ascii="Calibri" w:cs="Calibri" w:eastAsia="Calibri" w:hAnsi="Calibri"/>
          <w:color w:val="0D1117"/>
          <w:sz w:val="20"/>
          <w:szCs w:val="20"/>
        </w:rPr>
        <w:t xml:space="preserve">The global public safety software market reached $18.2 billion in 2025 and is on a trajectory to $51.4 billion by 2034. The North American market — NexCort iQ's primary initial territory — accounts for $7.7 billion of 2025 revenue, representing 42.3% of global spend. The United States alone houses more than 18,000 law enforcement agencies across federal, state, and local jurisdictions.</w:t>
      </w:r>
    </w:p>
    <w:p>
      <w:pPr>
        <w:spacing w:after="120"/>
      </w:pPr>
      <w:r>
        <w:t xml:space="preserve"/>
      </w:r>
    </w:p>
    <w:p>
      <w:pPr>
        <w:spacing w:after="100"/>
        <w:jc w:val="both"/>
      </w:pPr>
      <w:r>
        <w:rPr>
          <w:rFonts w:ascii="Calibri" w:cs="Calibri" w:eastAsia="Calibri" w:hAnsi="Calibri"/>
          <w:color w:val="0D1117"/>
          <w:sz w:val="20"/>
          <w:szCs w:val="20"/>
        </w:rPr>
        <w:t xml:space="preserve">The AI-in-dispatch sub-segment is growing significantly faster than the overall market. AI-powered call classification is achieving documented 15–20% response time improvements in early deployments, creating strong ROI narratives for agency procurement and grant applications.</w:t>
      </w:r>
    </w:p>
    <w:p>
      <w:pPr>
        <w:spacing w:after="120"/>
      </w:pPr>
      <w:r>
        <w:t xml:space="preserve"/>
      </w:r>
    </w:p>
    <w:p>
      <w:pPr>
        <w:spacing w:after="100"/>
        <w:jc w:val="both"/>
      </w:pPr>
      <w:r>
        <w:rPr>
          <w:rFonts w:ascii="Calibri" w:cs="Calibri" w:eastAsia="Calibri" w:hAnsi="Calibri"/>
          <w:color w:val="0D1117"/>
          <w:sz w:val="20"/>
          <w:szCs w:val="20"/>
        </w:rPr>
        <w:t xml:space="preserve">Within the broader market, Computer-Aided Dispatch (CAD) systems generate the largest segment revenue at approximately $5.2 billion (28.5% share) in 2025 — but the fastest growth is in the AI augmentation layer that sits above CAD: transcription, triage, supervisor intelligence, QA automation, and command dashboards. This is exactly where NexCort iQ operates.</w:t>
      </w:r>
    </w:p>
    <w:p>
      <w:pPr>
        <w:spacing w:after="120"/>
      </w:pPr>
      <w:r>
        <w:t xml:space="preserve"/>
      </w:r>
    </w:p>
    <w:p>
      <w:pPr>
        <w:spacing w:after="80" w:before="280"/>
      </w:pPr>
      <w:r>
        <w:rPr>
          <w:rFonts w:ascii="Calibri" w:cs="Calibri" w:eastAsia="Calibri" w:hAnsi="Calibri"/>
          <w:b/>
          <w:bCs/>
          <w:color w:val="0D1117"/>
          <w:sz w:val="26"/>
          <w:szCs w:val="26"/>
        </w:rPr>
        <w:t xml:space="preserve">2.2  Macro Drivers</w:t>
      </w:r>
    </w:p>
    <w:p>
      <w:pPr>
        <w:spacing w:after="100"/>
        <w:jc w:val="both"/>
      </w:pPr>
      <w:r>
        <w:rPr>
          <w:rFonts w:ascii="Calibri" w:cs="Calibri" w:eastAsia="Calibri" w:hAnsi="Calibri"/>
          <w:color w:val="0D1117"/>
          <w:sz w:val="20"/>
          <w:szCs w:val="20"/>
        </w:rPr>
        <w:t xml:space="preserve">Four converging forces are accelerating AI adoption in emergency communications:</w:t>
      </w:r>
    </w:p>
    <w:p>
      <w:pPr>
        <w:spacing w:after="60"/>
      </w:pPr>
      <w:r>
        <w:t xml:space="preserve"/>
      </w:r>
    </w:p>
    <w:p>
      <w:pPr>
        <w:pStyle w:val="ListParagraph"/>
        <w:numPr>
          <w:ilvl w:val="0"/>
          <w:numId w:val="1"/>
        </w:numPr>
        <w:spacing w:after="80"/>
      </w:pPr>
      <w:r>
        <w:rPr>
          <w:rFonts w:ascii="Calibri" w:cs="Calibri" w:eastAsia="Calibri" w:hAnsi="Calibri"/>
          <w:color w:val="0D1117"/>
          <w:sz w:val="20"/>
          <w:szCs w:val="20"/>
        </w:rPr>
        <w:t xml:space="preserve">Staffing Crisis — 911 dispatch centers are reporting vacancy rates exceeding 25% in many metropolitan areas. Post-pandemic labor shortages are pushing agencies toward AI tools that reduce the cognitive burden on remaining staff and compress training timelines.</w:t>
      </w:r>
    </w:p>
    <w:p>
      <w:pPr>
        <w:pStyle w:val="ListParagraph"/>
        <w:numPr>
          <w:ilvl w:val="0"/>
          <w:numId w:val="1"/>
        </w:numPr>
        <w:spacing w:after="80"/>
      </w:pPr>
      <w:r>
        <w:rPr>
          <w:rFonts w:ascii="Calibri" w:cs="Calibri" w:eastAsia="Calibri" w:hAnsi="Calibri"/>
          <w:color w:val="0D1117"/>
          <w:sz w:val="20"/>
          <w:szCs w:val="20"/>
        </w:rPr>
        <w:t xml:space="preserve">Rising Call Volume — Increasing urbanization, climate-related incidents, and a growing share of non-emergency calls (estimated at 60–75% of 911 volume) are creating unsustainable workloads on existing personnel.</w:t>
      </w:r>
    </w:p>
    <w:p>
      <w:pPr>
        <w:pStyle w:val="ListParagraph"/>
        <w:numPr>
          <w:ilvl w:val="0"/>
          <w:numId w:val="1"/>
        </w:numPr>
        <w:spacing w:after="80"/>
      </w:pPr>
      <w:r>
        <w:rPr>
          <w:rFonts w:ascii="Calibri" w:cs="Calibri" w:eastAsia="Calibri" w:hAnsi="Calibri"/>
          <w:color w:val="0D1117"/>
          <w:sz w:val="20"/>
          <w:szCs w:val="20"/>
        </w:rPr>
        <w:t xml:space="preserve">NG911 Infrastructure Mandates — The US NG911 sector is transitioning from legacy voice-centric networks to IP-based systems. Market penetration is projected to rise from 76.1% at year-end 2025 to 98.4% by 2030. This transition opens infrastructure for AI overlays.</w:t>
      </w:r>
    </w:p>
    <w:p>
      <w:pPr>
        <w:pStyle w:val="ListParagraph"/>
        <w:numPr>
          <w:ilvl w:val="0"/>
          <w:numId w:val="1"/>
        </w:numPr>
        <w:spacing w:after="80"/>
      </w:pPr>
      <w:r>
        <w:rPr>
          <w:rFonts w:ascii="Calibri" w:cs="Calibri" w:eastAsia="Calibri" w:hAnsi="Calibri"/>
          <w:color w:val="0D1117"/>
          <w:sz w:val="20"/>
          <w:szCs w:val="20"/>
        </w:rPr>
        <w:t xml:space="preserve">Grant Funding Availability — Federal COPS Technology grants, Congressionally Directed Spending grants, and state Criminal Justice grants are actively funding technology replacements. NexCort iQ pricing is designed to align with grant program scales.</w:t>
      </w:r>
    </w:p>
    <w:p>
      <w:pPr>
        <w:spacing w:after="200"/>
      </w:pPr>
      <w:r>
        <w:t xml:space="preserve"/>
      </w:r>
    </w:p>
    <w:p>
      <w:pPr>
        <w:pBdr>
          <w:bottom w:val="single" w:color="C8102E" w:sz="8"/>
        </w:pBdr>
        <w:spacing w:after="120" w:before="360"/>
      </w:pPr>
      <w:r>
        <w:rPr>
          <w:rFonts w:ascii="Calibri" w:cs="Calibri" w:eastAsia="Calibri" w:hAnsi="Calibri"/>
          <w:b/>
          <w:bCs/>
          <w:color w:val="0B3D91"/>
          <w:sz w:val="36"/>
          <w:szCs w:val="36"/>
        </w:rPr>
        <w:t xml:space="preserve">3. Competitive Landscape</w:t>
      </w:r>
    </w:p>
    <w:p>
      <w:pPr>
        <w:spacing w:after="120"/>
      </w:pPr>
      <w:r>
        <w:t xml:space="preserve"/>
      </w:r>
    </w:p>
    <w:p>
      <w:pPr>
        <w:spacing w:after="100"/>
        <w:jc w:val="both"/>
      </w:pPr>
      <w:r>
        <w:rPr>
          <w:rFonts w:ascii="Calibri" w:cs="Calibri" w:eastAsia="Calibri" w:hAnsi="Calibri"/>
          <w:color w:val="0D1117"/>
          <w:sz w:val="20"/>
          <w:szCs w:val="20"/>
        </w:rPr>
        <w:t xml:space="preserve">The public safety AI market has three distinct layers: (1) infrastructure/network providers who move call data, (2) AI intelligence layers that analyze calls and support dispatchers, and (3) enterprise software platforms (CAD, RMS, evidence) that manage the operational record. NexCort iQ competes primarily in Layer 2 while integrating with Layer 1 and Layer 3.</w:t>
      </w:r>
    </w:p>
    <w:p>
      <w:pPr>
        <w:spacing w:after="120"/>
      </w:pPr>
      <w:r>
        <w:t xml:space="preserve"/>
      </w:r>
    </w:p>
    <w:p>
      <w:pPr>
        <w:spacing w:after="80" w:before="280"/>
      </w:pPr>
      <w:r>
        <w:rPr>
          <w:rFonts w:ascii="Calibri" w:cs="Calibri" w:eastAsia="Calibri" w:hAnsi="Calibri"/>
          <w:b/>
          <w:bCs/>
          <w:color w:val="0D1117"/>
          <w:sz w:val="26"/>
          <w:szCs w:val="26"/>
        </w:rPr>
        <w:t xml:space="preserve">3.1  Axon Enterprise (+ Prepared + Carbyne)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B3D91" w:val="clear"/>
          </w:tcPr>
          <w:p>
            <w:pPr>
              <w:spacing w:after="60" w:before="60"/>
              <w:jc w:val="left"/>
            </w:pPr>
            <w:r>
              <w:rPr>
                <w:rFonts w:ascii="Calibri" w:cs="Calibri" w:eastAsia="Calibri" w:hAnsi="Calibri"/>
                <w:b/>
                <w:bCs/>
                <w:color w:val="FFFFFF"/>
                <w:sz w:val="18"/>
                <w:szCs w:val="18"/>
              </w:rPr>
              <w:t xml:space="preserve">Dimension</w:t>
            </w:r>
          </w:p>
        </w:tc>
        <w:tc>
          <w:tcPr>
            <w:shd w:fill="0B3D91" w:val="clear"/>
          </w:tcPr>
          <w:p>
            <w:pPr>
              <w:spacing w:after="60" w:before="60"/>
              <w:jc w:val="center"/>
            </w:pPr>
            <w:r>
              <w:rPr>
                <w:rFonts w:ascii="Calibri" w:cs="Calibri" w:eastAsia="Calibri" w:hAnsi="Calibri"/>
                <w:b/>
                <w:bCs/>
                <w:color w:val="FFFFFF"/>
                <w:sz w:val="18"/>
                <w:szCs w:val="18"/>
              </w:rPr>
              <w:t xml:space="preserve">Detail</w:t>
            </w:r>
          </w:p>
        </w:tc>
      </w:tr>
      <w:tr>
        <w:tc>
          <w:tcPr>
            <w:shd w:fill="F4F6F8" w:val="clear"/>
          </w:tcPr>
          <w:p>
            <w:pPr>
              <w:spacing w:after="60" w:before="60"/>
              <w:jc w:val="left"/>
            </w:pPr>
            <w:r>
              <w:rPr>
                <w:rFonts w:ascii="Calibri" w:cs="Calibri" w:eastAsia="Calibri" w:hAnsi="Calibri"/>
                <w:color w:val="0D1117"/>
                <w:sz w:val="18"/>
                <w:szCs w:val="18"/>
              </w:rPr>
              <w:t xml:space="preserve">Type</w:t>
            </w:r>
          </w:p>
        </w:tc>
        <w:tc>
          <w:tcPr>
            <w:shd w:fill="F4F6F8" w:val="clear"/>
          </w:tcPr>
          <w:p>
            <w:pPr>
              <w:spacing w:after="60" w:before="60"/>
              <w:jc w:val="center"/>
            </w:pPr>
            <w:r>
              <w:rPr>
                <w:rFonts w:ascii="Calibri" w:cs="Calibri" w:eastAsia="Calibri" w:hAnsi="Calibri"/>
                <w:color w:val="0D1117"/>
                <w:sz w:val="18"/>
                <w:szCs w:val="18"/>
              </w:rPr>
              <w:t xml:space="preserve">Publicly traded platform company (NASDAQ: AXON)</w:t>
            </w:r>
          </w:p>
        </w:tc>
      </w:tr>
      <w:tr>
        <w:tc>
          <w:tcPr>
            <w:shd w:fill="FFFFFF" w:val="clear"/>
          </w:tcPr>
          <w:p>
            <w:pPr>
              <w:spacing w:after="60" w:before="60"/>
              <w:jc w:val="left"/>
            </w:pPr>
            <w:r>
              <w:rPr>
                <w:rFonts w:ascii="Calibri" w:cs="Calibri" w:eastAsia="Calibri" w:hAnsi="Calibri"/>
                <w:color w:val="0D1117"/>
                <w:sz w:val="18"/>
                <w:szCs w:val="18"/>
              </w:rPr>
              <w:t xml:space="preserve">2025 Revenue</w:t>
            </w:r>
          </w:p>
        </w:tc>
        <w:tc>
          <w:tcPr>
            <w:shd w:fill="FFFFFF" w:val="clear"/>
          </w:tcPr>
          <w:p>
            <w:pPr>
              <w:spacing w:after="60" w:before="60"/>
              <w:jc w:val="center"/>
            </w:pPr>
            <w:r>
              <w:rPr>
                <w:rFonts w:ascii="Calibri" w:cs="Calibri" w:eastAsia="Calibri" w:hAnsi="Calibri"/>
                <w:color w:val="0D1117"/>
                <w:sz w:val="18"/>
                <w:szCs w:val="18"/>
              </w:rPr>
              <w:t xml:space="preserve">~$797M in Q4 2025 alone; full-year 39% YoY growth</w:t>
            </w:r>
          </w:p>
        </w:tc>
      </w:tr>
      <w:tr>
        <w:tc>
          <w:tcPr>
            <w:shd w:fill="F4F6F8" w:val="clear"/>
          </w:tcPr>
          <w:p>
            <w:pPr>
              <w:spacing w:after="60" w:before="60"/>
              <w:jc w:val="left"/>
            </w:pPr>
            <w:r>
              <w:rPr>
                <w:rFonts w:ascii="Calibri" w:cs="Calibri" w:eastAsia="Calibri" w:hAnsi="Calibri"/>
                <w:color w:val="0D1117"/>
                <w:sz w:val="18"/>
                <w:szCs w:val="18"/>
              </w:rPr>
              <w:t xml:space="preserve">Market Cap</w:t>
            </w:r>
          </w:p>
        </w:tc>
        <w:tc>
          <w:tcPr>
            <w:shd w:fill="F4F6F8" w:val="clear"/>
          </w:tcPr>
          <w:p>
            <w:pPr>
              <w:spacing w:after="60" w:before="60"/>
              <w:jc w:val="center"/>
            </w:pPr>
            <w:r>
              <w:rPr>
                <w:rFonts w:ascii="Calibri" w:cs="Calibri" w:eastAsia="Calibri" w:hAnsi="Calibri"/>
                <w:color w:val="0D1117"/>
                <w:sz w:val="18"/>
                <w:szCs w:val="18"/>
              </w:rPr>
              <w:t xml:space="preserve">~$58B+ (July 2026)</w:t>
            </w:r>
          </w:p>
        </w:tc>
      </w:tr>
      <w:tr>
        <w:tc>
          <w:tcPr>
            <w:shd w:fill="FFFFFF" w:val="clear"/>
          </w:tcPr>
          <w:p>
            <w:pPr>
              <w:spacing w:after="60" w:before="60"/>
              <w:jc w:val="left"/>
            </w:pPr>
            <w:r>
              <w:rPr>
                <w:rFonts w:ascii="Calibri" w:cs="Calibri" w:eastAsia="Calibri" w:hAnsi="Calibri"/>
                <w:color w:val="0D1117"/>
                <w:sz w:val="18"/>
                <w:szCs w:val="18"/>
              </w:rPr>
              <w:t xml:space="preserve">Agency Reach</w:t>
            </w:r>
          </w:p>
        </w:tc>
        <w:tc>
          <w:tcPr>
            <w:shd w:fill="FFFFFF" w:val="clear"/>
          </w:tcPr>
          <w:p>
            <w:pPr>
              <w:spacing w:after="60" w:before="60"/>
              <w:jc w:val="center"/>
            </w:pPr>
            <w:r>
              <w:rPr>
                <w:rFonts w:ascii="Calibri" w:cs="Calibri" w:eastAsia="Calibri" w:hAnsi="Calibri"/>
                <w:color w:val="0D1117"/>
                <w:sz w:val="18"/>
                <w:szCs w:val="18"/>
              </w:rPr>
              <w:t xml:space="preserve">Prepared: 1,000+ agencies / 49 states; Carbyne: 300+ sites / 23 states</w:t>
            </w:r>
          </w:p>
        </w:tc>
      </w:tr>
      <w:tr>
        <w:tc>
          <w:tcPr>
            <w:shd w:fill="F4F6F8" w:val="clear"/>
          </w:tcPr>
          <w:p>
            <w:pPr>
              <w:spacing w:after="60" w:before="60"/>
              <w:jc w:val="left"/>
            </w:pPr>
            <w:r>
              <w:rPr>
                <w:rFonts w:ascii="Calibri" w:cs="Calibri" w:eastAsia="Calibri" w:hAnsi="Calibri"/>
                <w:color w:val="0D1117"/>
                <w:sz w:val="18"/>
                <w:szCs w:val="18"/>
              </w:rPr>
              <w:t xml:space="preserve">Acquisitions</w:t>
            </w:r>
          </w:p>
        </w:tc>
        <w:tc>
          <w:tcPr>
            <w:shd w:fill="F4F6F8" w:val="clear"/>
          </w:tcPr>
          <w:p>
            <w:pPr>
              <w:spacing w:after="60" w:before="60"/>
              <w:jc w:val="center"/>
            </w:pPr>
            <w:r>
              <w:rPr>
                <w:rFonts w:ascii="Calibri" w:cs="Calibri" w:eastAsia="Calibri" w:hAnsi="Calibri"/>
                <w:color w:val="0D1117"/>
                <w:sz w:val="18"/>
                <w:szCs w:val="18"/>
              </w:rPr>
              <w:t xml:space="preserve">Prepared (AI 911, Oct 2025); Carbyne ($625M, expected Q1 2026 close)</w:t>
            </w:r>
          </w:p>
        </w:tc>
      </w:tr>
    </w:tbl>
    <w:p>
      <w:pPr>
        <w:spacing w:after="120"/>
      </w:pPr>
      <w:r>
        <w:t xml:space="preserve"/>
      </w:r>
    </w:p>
    <w:p>
      <w:pPr>
        <w:spacing w:after="60" w:before="200"/>
      </w:pPr>
      <w:r>
        <w:rPr>
          <w:rFonts w:ascii="Calibri" w:cs="Calibri" w:eastAsia="Calibri" w:hAnsi="Calibri"/>
          <w:b/>
          <w:bCs/>
          <w:color w:val="0B3D91"/>
          <w:sz w:val="22"/>
          <w:szCs w:val="22"/>
        </w:rPr>
        <w:t xml:space="preserve">What They Offer</w:t>
      </w:r>
    </w:p>
    <w:p>
      <w:pPr>
        <w:pStyle w:val="ListParagraph"/>
        <w:numPr>
          <w:ilvl w:val="0"/>
          <w:numId w:val="1"/>
        </w:numPr>
        <w:spacing w:after="80"/>
      </w:pPr>
      <w:r>
        <w:rPr>
          <w:rFonts w:ascii="Calibri" w:cs="Calibri" w:eastAsia="Calibri" w:hAnsi="Calibri"/>
          <w:color w:val="0D1117"/>
          <w:sz w:val="20"/>
          <w:szCs w:val="20"/>
        </w:rPr>
        <w:t xml:space="preserve">Prepared AI — Real-time transcription, key detail extraction, automated call summaries, QA automation, 70+ language translation, CAD push integration.</w:t>
      </w:r>
    </w:p>
    <w:p>
      <w:pPr>
        <w:pStyle w:val="ListParagraph"/>
        <w:numPr>
          <w:ilvl w:val="0"/>
          <w:numId w:val="1"/>
        </w:numPr>
        <w:spacing w:after="80"/>
      </w:pPr>
      <w:r>
        <w:rPr>
          <w:rFonts w:ascii="Calibri" w:cs="Calibri" w:eastAsia="Calibri" w:hAnsi="Calibri"/>
          <w:color w:val="0D1117"/>
          <w:sz w:val="20"/>
          <w:szCs w:val="20"/>
        </w:rPr>
        <w:t xml:space="preserve">Carbyne APEX — Cloud-native call handling, NG911 call routing, live video, silent messaging, real-time location, AI call triage, 99.999% uptime SLA.</w:t>
      </w:r>
    </w:p>
    <w:p>
      <w:pPr>
        <w:pStyle w:val="ListParagraph"/>
        <w:numPr>
          <w:ilvl w:val="0"/>
          <w:numId w:val="1"/>
        </w:numPr>
        <w:spacing w:after="80"/>
      </w:pPr>
      <w:r>
        <w:rPr>
          <w:rFonts w:ascii="Calibri" w:cs="Calibri" w:eastAsia="Calibri" w:hAnsi="Calibri"/>
          <w:color w:val="0D1117"/>
          <w:sz w:val="20"/>
          <w:szCs w:val="20"/>
        </w:rPr>
        <w:t xml:space="preserve">Axon Evidence — Digital evidence management, chain of custody, body cam footage, report integration.</w:t>
      </w:r>
    </w:p>
    <w:p>
      <w:pPr>
        <w:pStyle w:val="ListParagraph"/>
        <w:numPr>
          <w:ilvl w:val="0"/>
          <w:numId w:val="1"/>
        </w:numPr>
        <w:spacing w:after="80"/>
      </w:pPr>
      <w:r>
        <w:rPr>
          <w:rFonts w:ascii="Calibri" w:cs="Calibri" w:eastAsia="Calibri" w:hAnsi="Calibri"/>
          <w:color w:val="0D1117"/>
          <w:sz w:val="20"/>
          <w:szCs w:val="20"/>
        </w:rPr>
        <w:t xml:space="preserve">Draft One — AI-powered police report writing.</w:t>
      </w:r>
    </w:p>
    <w:p>
      <w:pPr>
        <w:pStyle w:val="ListParagraph"/>
        <w:numPr>
          <w:ilvl w:val="0"/>
          <w:numId w:val="1"/>
        </w:numPr>
        <w:spacing w:after="80"/>
      </w:pPr>
      <w:r>
        <w:rPr>
          <w:rFonts w:ascii="Calibri" w:cs="Calibri" w:eastAsia="Calibri" w:hAnsi="Calibri"/>
          <w:color w:val="0D1117"/>
          <w:sz w:val="20"/>
          <w:szCs w:val="20"/>
        </w:rPr>
        <w:t xml:space="preserve">Officer Safety Plans (OSPs) — Bundled multi-year contracts combining hardware (TASER, body cams) with cloud software.</w:t>
      </w:r>
    </w:p>
    <w:p>
      <w:pPr>
        <w:spacing w:after="80"/>
      </w:pPr>
      <w:r>
        <w:t xml:space="preserve"/>
      </w:r>
    </w:p>
    <w:p>
      <w:pPr>
        <w:spacing w:after="60" w:before="200"/>
      </w:pPr>
      <w:r>
        <w:rPr>
          <w:rFonts w:ascii="Calibri" w:cs="Calibri" w:eastAsia="Calibri" w:hAnsi="Calibri"/>
          <w:b/>
          <w:bCs/>
          <w:color w:val="0B3D91"/>
          <w:sz w:val="22"/>
          <w:szCs w:val="22"/>
        </w:rPr>
        <w:t xml:space="preserve">Pricing Reality</w:t>
      </w:r>
    </w:p>
    <w:p>
      <w:pPr>
        <w:pStyle w:val="ListParagraph"/>
        <w:numPr>
          <w:ilvl w:val="0"/>
          <w:numId w:val="1"/>
        </w:numPr>
        <w:spacing w:after="80"/>
      </w:pPr>
      <w:r>
        <w:rPr>
          <w:rFonts w:ascii="Calibri" w:cs="Calibri" w:eastAsia="Calibri" w:hAnsi="Calibri"/>
          <w:color w:val="0D1117"/>
          <w:sz w:val="20"/>
          <w:szCs w:val="20"/>
        </w:rPr>
        <w:t xml:space="preserve">Axon body cam contracts for small departments (25 officers): $26,000–$30,000/year.</w:t>
      </w:r>
    </w:p>
    <w:p>
      <w:pPr>
        <w:pStyle w:val="ListParagraph"/>
        <w:numPr>
          <w:ilvl w:val="0"/>
          <w:numId w:val="1"/>
        </w:numPr>
        <w:spacing w:after="80"/>
      </w:pPr>
      <w:r>
        <w:rPr>
          <w:rFonts w:ascii="Calibri" w:cs="Calibri" w:eastAsia="Calibri" w:hAnsi="Calibri"/>
          <w:color w:val="0D1117"/>
          <w:sz w:val="20"/>
          <w:szCs w:val="20"/>
        </w:rPr>
        <w:t xml:space="preserve">Mid-size departments (75 officers): $200,000–$250,000/year for full platform.</w:t>
      </w:r>
    </w:p>
    <w:p>
      <w:pPr>
        <w:pStyle w:val="ListParagraph"/>
        <w:numPr>
          <w:ilvl w:val="0"/>
          <w:numId w:val="1"/>
        </w:numPr>
        <w:spacing w:after="80"/>
      </w:pPr>
      <w:r>
        <w:rPr>
          <w:rFonts w:ascii="Calibri" w:cs="Calibri" w:eastAsia="Calibri" w:hAnsi="Calibri"/>
          <w:color w:val="0D1117"/>
          <w:sz w:val="20"/>
          <w:szCs w:val="20"/>
        </w:rPr>
        <w:t xml:space="preserve">Large city deals: $5.8M–$27M+ for multi-year comprehensive contracts.</w:t>
      </w:r>
    </w:p>
    <w:p>
      <w:pPr>
        <w:pStyle w:val="ListParagraph"/>
        <w:numPr>
          <w:ilvl w:val="0"/>
          <w:numId w:val="1"/>
        </w:numPr>
        <w:spacing w:after="80"/>
      </w:pPr>
      <w:r>
        <w:rPr>
          <w:rFonts w:ascii="Calibri" w:cs="Calibri" w:eastAsia="Calibri" w:hAnsi="Calibri"/>
          <w:color w:val="0D1117"/>
          <w:sz w:val="20"/>
          <w:szCs w:val="20"/>
        </w:rPr>
        <w:t xml:space="preserve">Prepared and Carbyne pricing is now bundled into Axon OSP plans — not sold standalone.</w:t>
      </w:r>
    </w:p>
    <w:p>
      <w:pPr>
        <w:spacing w:after="80"/>
      </w:pPr>
      <w:r>
        <w:t xml:space="preserve"/>
      </w:r>
    </w:p>
    <w:p>
      <w:pPr>
        <w:spacing w:after="60" w:before="200"/>
      </w:pPr>
      <w:r>
        <w:rPr>
          <w:rFonts w:ascii="Calibri" w:cs="Calibri" w:eastAsia="Calibri" w:hAnsi="Calibri"/>
          <w:b/>
          <w:bCs/>
          <w:color w:val="0B3D91"/>
          <w:sz w:val="22"/>
          <w:szCs w:val="22"/>
        </w:rPr>
        <w:t xml:space="preserve">Competitive Implications for NexCort iQ</w:t>
      </w:r>
    </w:p>
    <w:p>
      <w:pPr>
        <w:pStyle w:val="ListParagraph"/>
        <w:numPr>
          <w:ilvl w:val="0"/>
          <w:numId w:val="1"/>
        </w:numPr>
        <w:spacing w:after="80"/>
      </w:pPr>
      <w:r>
        <w:rPr>
          <w:rFonts w:ascii="Calibri" w:cs="Calibri" w:eastAsia="Calibri" w:hAnsi="Calibri"/>
          <w:color w:val="0D1117"/>
          <w:sz w:val="20"/>
          <w:szCs w:val="20"/>
        </w:rPr>
        <w:t xml:space="preserve">THREAT: Axon now owns the full stack. Agencies already in Axon OSPs may receive 911 AI as a bundled add-on.</w:t>
      </w:r>
    </w:p>
    <w:p>
      <w:pPr>
        <w:pStyle w:val="ListParagraph"/>
        <w:numPr>
          <w:ilvl w:val="0"/>
          <w:numId w:val="1"/>
        </w:numPr>
        <w:spacing w:after="80"/>
      </w:pPr>
      <w:r>
        <w:rPr>
          <w:rFonts w:ascii="Calibri" w:cs="Calibri" w:eastAsia="Calibri" w:hAnsi="Calibri"/>
          <w:color w:val="0D1117"/>
          <w:sz w:val="20"/>
          <w:szCs w:val="20"/>
        </w:rPr>
        <w:t xml:space="preserve">OPPORTUNITY: Agencies not using Axon (or those on Motorola, Tyler, CentralSquare) have no path to bundled AI — they need a standalone solution like RC.</w:t>
      </w:r>
    </w:p>
    <w:p>
      <w:pPr>
        <w:pStyle w:val="ListParagraph"/>
        <w:numPr>
          <w:ilvl w:val="0"/>
          <w:numId w:val="1"/>
        </w:numPr>
        <w:spacing w:after="80"/>
      </w:pPr>
      <w:r>
        <w:rPr>
          <w:rFonts w:ascii="Calibri" w:cs="Calibri" w:eastAsia="Calibri" w:hAnsi="Calibri"/>
          <w:color w:val="0D1117"/>
          <w:sz w:val="20"/>
          <w:szCs w:val="20"/>
        </w:rPr>
        <w:t xml:space="preserve">OPPORTUNITY: Axon's bundling creates procurement complexity and budget pressure. RC can position as best-of-breed for 911 intelligence without the hardware lock-in.</w:t>
      </w:r>
    </w:p>
    <w:p>
      <w:pPr>
        <w:pStyle w:val="ListParagraph"/>
        <w:numPr>
          <w:ilvl w:val="0"/>
          <w:numId w:val="1"/>
        </w:numPr>
        <w:spacing w:after="80"/>
      </w:pPr>
      <w:r>
        <w:rPr>
          <w:rFonts w:ascii="Calibri" w:cs="Calibri" w:eastAsia="Calibri" w:hAnsi="Calibri"/>
          <w:color w:val="0D1117"/>
          <w:sz w:val="20"/>
          <w:szCs w:val="20"/>
        </w:rPr>
        <w:t xml:space="preserve">OPPORTUNITY: Axon's focus is now the full public safety stack. The 911 AI feature set will be a secondary priority vs. their body cam and hardware revenue. RC can out-innovate in this domain.</w:t>
      </w:r>
    </w:p>
    <w:p>
      <w:pPr>
        <w:spacing w:after="200"/>
      </w:pPr>
      <w:r>
        <w:t xml:space="preserve"/>
      </w:r>
    </w:p>
    <w:p>
      <w:pPr>
        <w:spacing w:after="80" w:before="280"/>
      </w:pPr>
      <w:r>
        <w:rPr>
          <w:rFonts w:ascii="Calibri" w:cs="Calibri" w:eastAsia="Calibri" w:hAnsi="Calibri"/>
          <w:b/>
          <w:bCs/>
          <w:color w:val="0D1117"/>
          <w:sz w:val="26"/>
          <w:szCs w:val="26"/>
        </w:rPr>
        <w:t xml:space="preserve">3.2  RapidSOS (Harmony AI / UNITE)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B3D91" w:val="clear"/>
          </w:tcPr>
          <w:p>
            <w:pPr>
              <w:spacing w:after="60" w:before="60"/>
              <w:jc w:val="left"/>
            </w:pPr>
            <w:r>
              <w:rPr>
                <w:rFonts w:ascii="Calibri" w:cs="Calibri" w:eastAsia="Calibri" w:hAnsi="Calibri"/>
                <w:b/>
                <w:bCs/>
                <w:color w:val="FFFFFF"/>
                <w:sz w:val="18"/>
                <w:szCs w:val="18"/>
              </w:rPr>
              <w:t xml:space="preserve">Dimension</w:t>
            </w:r>
          </w:p>
        </w:tc>
        <w:tc>
          <w:tcPr>
            <w:shd w:fill="0B3D91" w:val="clear"/>
          </w:tcPr>
          <w:p>
            <w:pPr>
              <w:spacing w:after="60" w:before="60"/>
              <w:jc w:val="center"/>
            </w:pPr>
            <w:r>
              <w:rPr>
                <w:rFonts w:ascii="Calibri" w:cs="Calibri" w:eastAsia="Calibri" w:hAnsi="Calibri"/>
                <w:b/>
                <w:bCs/>
                <w:color w:val="FFFFFF"/>
                <w:sz w:val="18"/>
                <w:szCs w:val="18"/>
              </w:rPr>
              <w:t xml:space="preserve">Detail</w:t>
            </w:r>
          </w:p>
        </w:tc>
      </w:tr>
      <w:tr>
        <w:tc>
          <w:tcPr>
            <w:shd w:fill="F4F6F8" w:val="clear"/>
          </w:tcPr>
          <w:p>
            <w:pPr>
              <w:spacing w:after="60" w:before="60"/>
              <w:jc w:val="left"/>
            </w:pPr>
            <w:r>
              <w:rPr>
                <w:rFonts w:ascii="Calibri" w:cs="Calibri" w:eastAsia="Calibri" w:hAnsi="Calibri"/>
                <w:color w:val="0D1117"/>
                <w:sz w:val="18"/>
                <w:szCs w:val="18"/>
              </w:rPr>
              <w:t xml:space="preserve">Type</w:t>
            </w:r>
          </w:p>
        </w:tc>
        <w:tc>
          <w:tcPr>
            <w:shd w:fill="F4F6F8" w:val="clear"/>
          </w:tcPr>
          <w:p>
            <w:pPr>
              <w:spacing w:after="60" w:before="60"/>
              <w:jc w:val="center"/>
            </w:pPr>
            <w:r>
              <w:rPr>
                <w:rFonts w:ascii="Calibri" w:cs="Calibri" w:eastAsia="Calibri" w:hAnsi="Calibri"/>
                <w:color w:val="0D1117"/>
                <w:sz w:val="18"/>
                <w:szCs w:val="18"/>
              </w:rPr>
              <w:t xml:space="preserve">Private company — $450M+ total raised (latest: $100M, Nov 2025)</w:t>
            </w:r>
          </w:p>
        </w:tc>
      </w:tr>
      <w:tr>
        <w:tc>
          <w:tcPr>
            <w:shd w:fill="FFFFFF" w:val="clear"/>
          </w:tcPr>
          <w:p>
            <w:pPr>
              <w:spacing w:after="60" w:before="60"/>
              <w:jc w:val="left"/>
            </w:pPr>
            <w:r>
              <w:rPr>
                <w:rFonts w:ascii="Calibri" w:cs="Calibri" w:eastAsia="Calibri" w:hAnsi="Calibri"/>
                <w:color w:val="0D1117"/>
                <w:sz w:val="18"/>
                <w:szCs w:val="18"/>
              </w:rPr>
              <w:t xml:space="preserve">Agency Reach</w:t>
            </w:r>
          </w:p>
        </w:tc>
        <w:tc>
          <w:tcPr>
            <w:shd w:fill="FFFFFF" w:val="clear"/>
          </w:tcPr>
          <w:p>
            <w:pPr>
              <w:spacing w:after="60" w:before="60"/>
              <w:jc w:val="center"/>
            </w:pPr>
            <w:r>
              <w:rPr>
                <w:rFonts w:ascii="Calibri" w:cs="Calibri" w:eastAsia="Calibri" w:hAnsi="Calibri"/>
                <w:color w:val="0D1117"/>
                <w:sz w:val="18"/>
                <w:szCs w:val="18"/>
              </w:rPr>
              <w:t xml:space="preserve">22,000+ federal, state, local agencies</w:t>
            </w:r>
          </w:p>
        </w:tc>
      </w:tr>
      <w:tr>
        <w:tc>
          <w:tcPr>
            <w:shd w:fill="F4F6F8" w:val="clear"/>
          </w:tcPr>
          <w:p>
            <w:pPr>
              <w:spacing w:after="60" w:before="60"/>
              <w:jc w:val="left"/>
            </w:pPr>
            <w:r>
              <w:rPr>
                <w:rFonts w:ascii="Calibri" w:cs="Calibri" w:eastAsia="Calibri" w:hAnsi="Calibri"/>
                <w:color w:val="0D1117"/>
                <w:sz w:val="18"/>
                <w:szCs w:val="18"/>
              </w:rPr>
              <w:t xml:space="preserve">Network Scale</w:t>
            </w:r>
          </w:p>
        </w:tc>
        <w:tc>
          <w:tcPr>
            <w:shd w:fill="F4F6F8" w:val="clear"/>
          </w:tcPr>
          <w:p>
            <w:pPr>
              <w:spacing w:after="60" w:before="60"/>
              <w:jc w:val="center"/>
            </w:pPr>
            <w:r>
              <w:rPr>
                <w:rFonts w:ascii="Calibri" w:cs="Calibri" w:eastAsia="Calibri" w:hAnsi="Calibri"/>
                <w:color w:val="0D1117"/>
                <w:sz w:val="18"/>
                <w:szCs w:val="18"/>
              </w:rPr>
              <w:t xml:space="preserve">600M+ connected devices; 1B+ emergencies supported</w:t>
            </w:r>
          </w:p>
        </w:tc>
      </w:tr>
      <w:tr>
        <w:tc>
          <w:tcPr>
            <w:shd w:fill="FFFFFF" w:val="clear"/>
          </w:tcPr>
          <w:p>
            <w:pPr>
              <w:spacing w:after="60" w:before="60"/>
              <w:jc w:val="left"/>
            </w:pPr>
            <w:r>
              <w:rPr>
                <w:rFonts w:ascii="Calibri" w:cs="Calibri" w:eastAsia="Calibri" w:hAnsi="Calibri"/>
                <w:color w:val="0D1117"/>
                <w:sz w:val="18"/>
                <w:szCs w:val="18"/>
              </w:rPr>
              <w:t xml:space="preserve">Model</w:t>
            </w:r>
          </w:p>
        </w:tc>
        <w:tc>
          <w:tcPr>
            <w:shd w:fill="FFFFFF" w:val="clear"/>
          </w:tcPr>
          <w:p>
            <w:pPr>
              <w:spacing w:after="60" w:before="60"/>
              <w:jc w:val="center"/>
            </w:pPr>
            <w:r>
              <w:rPr>
                <w:rFonts w:ascii="Calibri" w:cs="Calibri" w:eastAsia="Calibri" w:hAnsi="Calibri"/>
                <w:color w:val="0D1117"/>
                <w:sz w:val="18"/>
                <w:szCs w:val="18"/>
              </w:rPr>
              <w:t xml:space="preserve">Safety network / data infrastructure layer + AI platform</w:t>
            </w:r>
          </w:p>
        </w:tc>
      </w:tr>
      <w:tr>
        <w:tc>
          <w:tcPr>
            <w:shd w:fill="F4F6F8" w:val="clear"/>
          </w:tcPr>
          <w:p>
            <w:pPr>
              <w:spacing w:after="60" w:before="60"/>
              <w:jc w:val="left"/>
            </w:pPr>
            <w:r>
              <w:rPr>
                <w:rFonts w:ascii="Calibri" w:cs="Calibri" w:eastAsia="Calibri" w:hAnsi="Calibri"/>
                <w:color w:val="0D1117"/>
                <w:sz w:val="18"/>
                <w:szCs w:val="18"/>
              </w:rPr>
              <w:t xml:space="preserve">Primary Differentiator</w:t>
            </w:r>
          </w:p>
        </w:tc>
        <w:tc>
          <w:tcPr>
            <w:shd w:fill="F4F6F8" w:val="clear"/>
          </w:tcPr>
          <w:p>
            <w:pPr>
              <w:spacing w:after="60" w:before="60"/>
              <w:jc w:val="center"/>
            </w:pPr>
            <w:r>
              <w:rPr>
                <w:rFonts w:ascii="Calibri" w:cs="Calibri" w:eastAsia="Calibri" w:hAnsi="Calibri"/>
                <w:color w:val="0D1117"/>
                <w:sz w:val="18"/>
                <w:szCs w:val="18"/>
              </w:rPr>
              <w:t xml:space="preserve">Largest connected safety data network in the world</w:t>
            </w:r>
          </w:p>
        </w:tc>
      </w:tr>
    </w:tbl>
    <w:p>
      <w:pPr>
        <w:spacing w:after="120"/>
      </w:pPr>
      <w:r>
        <w:t xml:space="preserve"/>
      </w:r>
    </w:p>
    <w:p>
      <w:pPr>
        <w:spacing w:after="60" w:before="200"/>
      </w:pPr>
      <w:r>
        <w:rPr>
          <w:rFonts w:ascii="Calibri" w:cs="Calibri" w:eastAsia="Calibri" w:hAnsi="Calibri"/>
          <w:b/>
          <w:bCs/>
          <w:color w:val="0B3D91"/>
          <w:sz w:val="22"/>
          <w:szCs w:val="22"/>
        </w:rPr>
        <w:t xml:space="preserve">What They Offer</w:t>
      </w:r>
    </w:p>
    <w:p>
      <w:pPr>
        <w:pStyle w:val="ListParagraph"/>
        <w:numPr>
          <w:ilvl w:val="0"/>
          <w:numId w:val="1"/>
        </w:numPr>
        <w:spacing w:after="80"/>
      </w:pPr>
      <w:r>
        <w:rPr>
          <w:rFonts w:ascii="Calibri" w:cs="Calibri" w:eastAsia="Calibri" w:hAnsi="Calibri"/>
          <w:color w:val="0D1117"/>
          <w:sz w:val="20"/>
          <w:szCs w:val="20"/>
        </w:rPr>
        <w:t xml:space="preserve">RapidSOS Portal — Free ECC-facing view of real-time caller data, location, health profiles (freemium entry point).</w:t>
      </w:r>
    </w:p>
    <w:p>
      <w:pPr>
        <w:pStyle w:val="ListParagraph"/>
        <w:numPr>
          <w:ilvl w:val="0"/>
          <w:numId w:val="1"/>
        </w:numPr>
        <w:spacing w:after="80"/>
      </w:pPr>
      <w:r>
        <w:rPr>
          <w:rFonts w:ascii="Calibri" w:cs="Calibri" w:eastAsia="Calibri" w:hAnsi="Calibri"/>
          <w:color w:val="0D1117"/>
          <w:sz w:val="20"/>
          <w:szCs w:val="20"/>
        </w:rPr>
        <w:t xml:space="preserve">UNITE Platform — End-to-end AI-powered ECC operations platform (transcription, translation, QA, protocol guidance, non-emergency call automation, analytics).</w:t>
      </w:r>
    </w:p>
    <w:p>
      <w:pPr>
        <w:pStyle w:val="ListParagraph"/>
        <w:numPr>
          <w:ilvl w:val="0"/>
          <w:numId w:val="1"/>
        </w:numPr>
        <w:spacing w:after="80"/>
      </w:pPr>
      <w:r>
        <w:rPr>
          <w:rFonts w:ascii="Calibri" w:cs="Calibri" w:eastAsia="Calibri" w:hAnsi="Calibri"/>
          <w:color w:val="0D1117"/>
          <w:sz w:val="20"/>
          <w:szCs w:val="20"/>
        </w:rPr>
        <w:t xml:space="preserve">Harmony AI — First purpose-built AI for public safety, powered by the connected device network; detects emergencies before calls occur.</w:t>
      </w:r>
    </w:p>
    <w:p>
      <w:pPr>
        <w:pStyle w:val="ListParagraph"/>
        <w:numPr>
          <w:ilvl w:val="0"/>
          <w:numId w:val="1"/>
        </w:numPr>
        <w:spacing w:after="80"/>
      </w:pPr>
      <w:r>
        <w:rPr>
          <w:rFonts w:ascii="Calibri" w:cs="Calibri" w:eastAsia="Calibri" w:hAnsi="Calibri"/>
          <w:color w:val="0D1117"/>
          <w:sz w:val="20"/>
          <w:szCs w:val="20"/>
        </w:rPr>
        <w:t xml:space="preserve">Pre-call intelligence — Data from vehicles, medical devices, smart home sensors delivered to dispatchers before the 911 call even begins.</w:t>
      </w:r>
    </w:p>
    <w:p>
      <w:pPr>
        <w:spacing w:after="80"/>
      </w:pPr>
      <w:r>
        <w:t xml:space="preserve"/>
      </w:r>
    </w:p>
    <w:p>
      <w:pPr>
        <w:spacing w:after="60" w:before="200"/>
      </w:pPr>
      <w:r>
        <w:rPr>
          <w:rFonts w:ascii="Calibri" w:cs="Calibri" w:eastAsia="Calibri" w:hAnsi="Calibri"/>
          <w:b/>
          <w:bCs/>
          <w:color w:val="0B3D91"/>
          <w:sz w:val="22"/>
          <w:szCs w:val="22"/>
        </w:rPr>
        <w:t xml:space="preserve">Pricing Reality</w:t>
      </w:r>
    </w:p>
    <w:p>
      <w:pPr>
        <w:pStyle w:val="ListParagraph"/>
        <w:numPr>
          <w:ilvl w:val="0"/>
          <w:numId w:val="1"/>
        </w:numPr>
        <w:spacing w:after="80"/>
      </w:pPr>
      <w:r>
        <w:rPr>
          <w:rFonts w:ascii="Calibri" w:cs="Calibri" w:eastAsia="Calibri" w:hAnsi="Calibri"/>
          <w:color w:val="0D1117"/>
          <w:sz w:val="20"/>
          <w:szCs w:val="20"/>
        </w:rPr>
        <w:t xml:space="preserve">Portal tier: Free (entry point to the network; limited features).</w:t>
      </w:r>
    </w:p>
    <w:p>
      <w:pPr>
        <w:pStyle w:val="ListParagraph"/>
        <w:numPr>
          <w:ilvl w:val="0"/>
          <w:numId w:val="1"/>
        </w:numPr>
        <w:spacing w:after="80"/>
      </w:pPr>
      <w:r>
        <w:rPr>
          <w:rFonts w:ascii="Calibri" w:cs="Calibri" w:eastAsia="Calibri" w:hAnsi="Calibri"/>
          <w:color w:val="0D1117"/>
          <w:sz w:val="20"/>
          <w:szCs w:val="20"/>
        </w:rPr>
        <w:t xml:space="preserve">UNITE: Agency-sized pricing — not publicly disclosed, but scales with ECC size. Positioned as a premium platform.</w:t>
      </w:r>
    </w:p>
    <w:p>
      <w:pPr>
        <w:pStyle w:val="ListParagraph"/>
        <w:numPr>
          <w:ilvl w:val="0"/>
          <w:numId w:val="1"/>
        </w:numPr>
        <w:spacing w:after="80"/>
      </w:pPr>
      <w:r>
        <w:rPr>
          <w:rFonts w:ascii="Calibri" w:cs="Calibri" w:eastAsia="Calibri" w:hAnsi="Calibri"/>
          <w:color w:val="0D1117"/>
          <w:sz w:val="20"/>
          <w:szCs w:val="20"/>
        </w:rPr>
        <w:t xml:space="preserve">B2B2G model: Enterprise companies (Fortune 500) pay RapidSOS to integrate their device data into the 911 network. This cross-subsidizes agency costs.</w:t>
      </w:r>
    </w:p>
    <w:p>
      <w:pPr>
        <w:spacing w:after="80"/>
      </w:pPr>
      <w:r>
        <w:t xml:space="preserve"/>
      </w:r>
    </w:p>
    <w:p>
      <w:pPr>
        <w:spacing w:after="60" w:before="200"/>
      </w:pPr>
      <w:r>
        <w:rPr>
          <w:rFonts w:ascii="Calibri" w:cs="Calibri" w:eastAsia="Calibri" w:hAnsi="Calibri"/>
          <w:b/>
          <w:bCs/>
          <w:color w:val="0B3D91"/>
          <w:sz w:val="22"/>
          <w:szCs w:val="22"/>
        </w:rPr>
        <w:t xml:space="preserve">Competitive Implications for NexCort iQ</w:t>
      </w:r>
    </w:p>
    <w:p>
      <w:pPr>
        <w:pStyle w:val="ListParagraph"/>
        <w:numPr>
          <w:ilvl w:val="0"/>
          <w:numId w:val="1"/>
        </w:numPr>
        <w:spacing w:after="80"/>
      </w:pPr>
      <w:r>
        <w:rPr>
          <w:rFonts w:ascii="Calibri" w:cs="Calibri" w:eastAsia="Calibri" w:hAnsi="Calibri"/>
          <w:color w:val="0D1117"/>
          <w:sz w:val="20"/>
          <w:szCs w:val="20"/>
        </w:rPr>
        <w:t xml:space="preserve">DIFFERENTIATOR: RapidSOS is a data infrastructure company first. RC is an operational intelligence platform. They solve different problems at different layers.</w:t>
      </w:r>
    </w:p>
    <w:p>
      <w:pPr>
        <w:pStyle w:val="ListParagraph"/>
        <w:numPr>
          <w:ilvl w:val="0"/>
          <w:numId w:val="1"/>
        </w:numPr>
        <w:spacing w:after="80"/>
      </w:pPr>
      <w:r>
        <w:rPr>
          <w:rFonts w:ascii="Calibri" w:cs="Calibri" w:eastAsia="Calibri" w:hAnsi="Calibri"/>
          <w:color w:val="0D1117"/>
          <w:sz w:val="20"/>
          <w:szCs w:val="20"/>
        </w:rPr>
        <w:t xml:space="preserve">OPPORTUNITY: RapidSOS's free portal creates an adoption wedge but doesn't deliver operational tools (supervisor dashboards, war rooms, QA workflows, command intelligence). RC fills that gap.</w:t>
      </w:r>
    </w:p>
    <w:p>
      <w:pPr>
        <w:pStyle w:val="ListParagraph"/>
        <w:numPr>
          <w:ilvl w:val="0"/>
          <w:numId w:val="1"/>
        </w:numPr>
        <w:spacing w:after="80"/>
      </w:pPr>
      <w:r>
        <w:rPr>
          <w:rFonts w:ascii="Calibri" w:cs="Calibri" w:eastAsia="Calibri" w:hAnsi="Calibri"/>
          <w:color w:val="0D1117"/>
          <w:sz w:val="20"/>
          <w:szCs w:val="20"/>
        </w:rPr>
        <w:t xml:space="preserve">CONSIDERATION: RapidSOS has network effects at scale (600M devices). RC's network value comes from within the agency, not from external device integration — cleaner data governance.</w:t>
      </w:r>
    </w:p>
    <w:p>
      <w:pPr>
        <w:pStyle w:val="ListParagraph"/>
        <w:numPr>
          <w:ilvl w:val="0"/>
          <w:numId w:val="1"/>
        </w:numPr>
        <w:spacing w:after="80"/>
      </w:pPr>
      <w:r>
        <w:rPr>
          <w:rFonts w:ascii="Calibri" w:cs="Calibri" w:eastAsia="Calibri" w:hAnsi="Calibri"/>
          <w:color w:val="0D1117"/>
          <w:sz w:val="20"/>
          <w:szCs w:val="20"/>
        </w:rPr>
        <w:t xml:space="preserve">COMPLEMENTARY: RC and RapidSOS could coexist. An agency using RapidSOS for pre-call data could use RC for operational intelligence and command visibility.</w:t>
      </w:r>
    </w:p>
    <w:p>
      <w:pPr>
        <w:spacing w:after="200"/>
      </w:pPr>
      <w:r>
        <w:t xml:space="preserve"/>
      </w:r>
    </w:p>
    <w:p>
      <w:pPr>
        <w:spacing w:after="80" w:before="280"/>
      </w:pPr>
      <w:r>
        <w:rPr>
          <w:rFonts w:ascii="Calibri" w:cs="Calibri" w:eastAsia="Calibri" w:hAnsi="Calibri"/>
          <w:b/>
          <w:bCs/>
          <w:color w:val="0D1117"/>
          <w:sz w:val="26"/>
          <w:szCs w:val="26"/>
        </w:rPr>
        <w:t xml:space="preserve">3.3  GovWorx (CommsCoach)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B3D91" w:val="clear"/>
          </w:tcPr>
          <w:p>
            <w:pPr>
              <w:spacing w:after="60" w:before="60"/>
              <w:jc w:val="left"/>
            </w:pPr>
            <w:r>
              <w:rPr>
                <w:rFonts w:ascii="Calibri" w:cs="Calibri" w:eastAsia="Calibri" w:hAnsi="Calibri"/>
                <w:b/>
                <w:bCs/>
                <w:color w:val="FFFFFF"/>
                <w:sz w:val="18"/>
                <w:szCs w:val="18"/>
              </w:rPr>
              <w:t xml:space="preserve">Dimension</w:t>
            </w:r>
          </w:p>
        </w:tc>
        <w:tc>
          <w:tcPr>
            <w:shd w:fill="0B3D91" w:val="clear"/>
          </w:tcPr>
          <w:p>
            <w:pPr>
              <w:spacing w:after="60" w:before="60"/>
              <w:jc w:val="center"/>
            </w:pPr>
            <w:r>
              <w:rPr>
                <w:rFonts w:ascii="Calibri" w:cs="Calibri" w:eastAsia="Calibri" w:hAnsi="Calibri"/>
                <w:b/>
                <w:bCs/>
                <w:color w:val="FFFFFF"/>
                <w:sz w:val="18"/>
                <w:szCs w:val="18"/>
              </w:rPr>
              <w:t xml:space="preserve">Detail</w:t>
            </w:r>
          </w:p>
        </w:tc>
      </w:tr>
      <w:tr>
        <w:tc>
          <w:tcPr>
            <w:shd w:fill="F4F6F8" w:val="clear"/>
          </w:tcPr>
          <w:p>
            <w:pPr>
              <w:spacing w:after="60" w:before="60"/>
              <w:jc w:val="left"/>
            </w:pPr>
            <w:r>
              <w:rPr>
                <w:rFonts w:ascii="Calibri" w:cs="Calibri" w:eastAsia="Calibri" w:hAnsi="Calibri"/>
                <w:color w:val="0D1117"/>
                <w:sz w:val="18"/>
                <w:szCs w:val="18"/>
              </w:rPr>
              <w:t xml:space="preserve">Type</w:t>
            </w:r>
          </w:p>
        </w:tc>
        <w:tc>
          <w:tcPr>
            <w:shd w:fill="F4F6F8" w:val="clear"/>
          </w:tcPr>
          <w:p>
            <w:pPr>
              <w:spacing w:after="60" w:before="60"/>
              <w:jc w:val="center"/>
            </w:pPr>
            <w:r>
              <w:rPr>
                <w:rFonts w:ascii="Calibri" w:cs="Calibri" w:eastAsia="Calibri" w:hAnsi="Calibri"/>
                <w:color w:val="0D1117"/>
                <w:sz w:val="18"/>
                <w:szCs w:val="18"/>
              </w:rPr>
              <w:t xml:space="preserve">Private company — early stage</w:t>
            </w:r>
          </w:p>
        </w:tc>
      </w:tr>
      <w:tr>
        <w:tc>
          <w:tcPr>
            <w:shd w:fill="FFFFFF" w:val="clear"/>
          </w:tcPr>
          <w:p>
            <w:pPr>
              <w:spacing w:after="60" w:before="60"/>
              <w:jc w:val="left"/>
            </w:pPr>
            <w:r>
              <w:rPr>
                <w:rFonts w:ascii="Calibri" w:cs="Calibri" w:eastAsia="Calibri" w:hAnsi="Calibri"/>
                <w:color w:val="0D1117"/>
                <w:sz w:val="18"/>
                <w:szCs w:val="18"/>
              </w:rPr>
              <w:t xml:space="preserve">Agency Reach</w:t>
            </w:r>
          </w:p>
        </w:tc>
        <w:tc>
          <w:tcPr>
            <w:shd w:fill="FFFFFF" w:val="clear"/>
          </w:tcPr>
          <w:p>
            <w:pPr>
              <w:spacing w:after="60" w:before="60"/>
              <w:jc w:val="center"/>
            </w:pPr>
            <w:r>
              <w:rPr>
                <w:rFonts w:ascii="Calibri" w:cs="Calibri" w:eastAsia="Calibri" w:hAnsi="Calibri"/>
                <w:color w:val="0D1117"/>
                <w:sz w:val="18"/>
                <w:szCs w:val="18"/>
              </w:rPr>
              <w:t xml:space="preserve">250+ 911 centers nationwide</w:t>
            </w:r>
          </w:p>
        </w:tc>
      </w:tr>
      <w:tr>
        <w:tc>
          <w:tcPr>
            <w:shd w:fill="F4F6F8" w:val="clear"/>
          </w:tcPr>
          <w:p>
            <w:pPr>
              <w:spacing w:after="60" w:before="60"/>
              <w:jc w:val="left"/>
            </w:pPr>
            <w:r>
              <w:rPr>
                <w:rFonts w:ascii="Calibri" w:cs="Calibri" w:eastAsia="Calibri" w:hAnsi="Calibri"/>
                <w:color w:val="0D1117"/>
                <w:sz w:val="18"/>
                <w:szCs w:val="18"/>
              </w:rPr>
              <w:t xml:space="preserve">Focus</w:t>
            </w:r>
          </w:p>
        </w:tc>
        <w:tc>
          <w:tcPr>
            <w:shd w:fill="F4F6F8" w:val="clear"/>
          </w:tcPr>
          <w:p>
            <w:pPr>
              <w:spacing w:after="60" w:before="60"/>
              <w:jc w:val="center"/>
            </w:pPr>
            <w:r>
              <w:rPr>
                <w:rFonts w:ascii="Calibri" w:cs="Calibri" w:eastAsia="Calibri" w:hAnsi="Calibri"/>
                <w:color w:val="0D1117"/>
                <w:sz w:val="18"/>
                <w:szCs w:val="18"/>
              </w:rPr>
              <w:t xml:space="preserve">QA automation, dispatcher training, wellness, pre-hire assessment</w:t>
            </w:r>
          </w:p>
        </w:tc>
      </w:tr>
      <w:tr>
        <w:tc>
          <w:tcPr>
            <w:shd w:fill="FFFFFF" w:val="clear"/>
          </w:tcPr>
          <w:p>
            <w:pPr>
              <w:spacing w:after="60" w:before="60"/>
              <w:jc w:val="left"/>
            </w:pPr>
            <w:r>
              <w:rPr>
                <w:rFonts w:ascii="Calibri" w:cs="Calibri" w:eastAsia="Calibri" w:hAnsi="Calibri"/>
                <w:color w:val="0D1117"/>
                <w:sz w:val="18"/>
                <w:szCs w:val="18"/>
              </w:rPr>
              <w:t xml:space="preserve">Verified Contract</w:t>
            </w:r>
          </w:p>
        </w:tc>
        <w:tc>
          <w:tcPr>
            <w:shd w:fill="FFFFFF" w:val="clear"/>
          </w:tcPr>
          <w:p>
            <w:pPr>
              <w:spacing w:after="60" w:before="60"/>
              <w:jc w:val="center"/>
            </w:pPr>
            <w:r>
              <w:rPr>
                <w:rFonts w:ascii="Calibri" w:cs="Calibri" w:eastAsia="Calibri" w:hAnsi="Calibri"/>
                <w:color w:val="0D1117"/>
                <w:sz w:val="18"/>
                <w:szCs w:val="18"/>
              </w:rPr>
              <w:t xml:space="preserve">Long Beach, CA: $68,000/year (2026)</w:t>
            </w:r>
          </w:p>
        </w:tc>
      </w:tr>
      <w:tr>
        <w:tc>
          <w:tcPr>
            <w:shd w:fill="F4F6F8" w:val="clear"/>
          </w:tcPr>
          <w:p>
            <w:pPr>
              <w:spacing w:after="60" w:before="60"/>
              <w:jc w:val="left"/>
            </w:pPr>
            <w:r>
              <w:rPr>
                <w:rFonts w:ascii="Calibri" w:cs="Calibri" w:eastAsia="Calibri" w:hAnsi="Calibri"/>
                <w:color w:val="0D1117"/>
                <w:sz w:val="18"/>
                <w:szCs w:val="18"/>
              </w:rPr>
              <w:t xml:space="preserve">Recent Milestone</w:t>
            </w:r>
          </w:p>
        </w:tc>
        <w:tc>
          <w:tcPr>
            <w:shd w:fill="F4F6F8" w:val="clear"/>
          </w:tcPr>
          <w:p>
            <w:pPr>
              <w:spacing w:after="60" w:before="60"/>
              <w:jc w:val="center"/>
            </w:pPr>
            <w:r>
              <w:rPr>
                <w:rFonts w:ascii="Calibri" w:cs="Calibri" w:eastAsia="Calibri" w:hAnsi="Calibri"/>
                <w:color w:val="0D1117"/>
                <w:sz w:val="18"/>
                <w:szCs w:val="18"/>
              </w:rPr>
              <w:t xml:space="preserve">APCO partnership for protocol integration (Jul 2026)</w:t>
            </w:r>
          </w:p>
        </w:tc>
      </w:tr>
    </w:tbl>
    <w:p>
      <w:pPr>
        <w:spacing w:after="120"/>
      </w:pPr>
      <w:r>
        <w:t xml:space="preserve"/>
      </w:r>
    </w:p>
    <w:p>
      <w:pPr>
        <w:spacing w:after="60" w:before="200"/>
      </w:pPr>
      <w:r>
        <w:rPr>
          <w:rFonts w:ascii="Calibri" w:cs="Calibri" w:eastAsia="Calibri" w:hAnsi="Calibri"/>
          <w:b/>
          <w:bCs/>
          <w:color w:val="0B3D91"/>
          <w:sz w:val="22"/>
          <w:szCs w:val="22"/>
        </w:rPr>
        <w:t xml:space="preserve">What They Offer</w:t>
      </w:r>
    </w:p>
    <w:p>
      <w:pPr>
        <w:pStyle w:val="ListParagraph"/>
        <w:numPr>
          <w:ilvl w:val="0"/>
          <w:numId w:val="1"/>
        </w:numPr>
        <w:spacing w:after="80"/>
      </w:pPr>
      <w:r>
        <w:rPr>
          <w:rFonts w:ascii="Calibri" w:cs="Calibri" w:eastAsia="Calibri" w:hAnsi="Calibri"/>
          <w:color w:val="0D1117"/>
          <w:sz w:val="20"/>
          <w:szCs w:val="20"/>
        </w:rPr>
        <w:t xml:space="preserve">CommsCoach QA — AI evaluation of every eligible call and radio transmission; automated scoring vs. manual sampling.</w:t>
      </w:r>
    </w:p>
    <w:p>
      <w:pPr>
        <w:pStyle w:val="ListParagraph"/>
        <w:numPr>
          <w:ilvl w:val="0"/>
          <w:numId w:val="1"/>
        </w:numPr>
        <w:spacing w:after="80"/>
      </w:pPr>
      <w:r>
        <w:rPr>
          <w:rFonts w:ascii="Calibri" w:cs="Calibri" w:eastAsia="Calibri" w:hAnsi="Calibri"/>
          <w:color w:val="0D1117"/>
          <w:sz w:val="20"/>
          <w:szCs w:val="20"/>
        </w:rPr>
        <w:t xml:space="preserve">CommsCoach ASSIST — Real-time AI call guidance aligned to agency SOPs (launched Dec 2025).</w:t>
      </w:r>
    </w:p>
    <w:p>
      <w:pPr>
        <w:pStyle w:val="ListParagraph"/>
        <w:numPr>
          <w:ilvl w:val="0"/>
          <w:numId w:val="1"/>
        </w:numPr>
        <w:spacing w:after="80"/>
      </w:pPr>
      <w:r>
        <w:rPr>
          <w:rFonts w:ascii="Calibri" w:cs="Calibri" w:eastAsia="Calibri" w:hAnsi="Calibri"/>
          <w:color w:val="0D1117"/>
          <w:sz w:val="20"/>
          <w:szCs w:val="20"/>
        </w:rPr>
        <w:t xml:space="preserve">CommsCoach Simulations — AI-driven call simulations for pre-hire and ongoing training.</w:t>
      </w:r>
    </w:p>
    <w:p>
      <w:pPr>
        <w:pStyle w:val="ListParagraph"/>
        <w:numPr>
          <w:ilvl w:val="0"/>
          <w:numId w:val="1"/>
        </w:numPr>
        <w:spacing w:after="80"/>
      </w:pPr>
      <w:r>
        <w:rPr>
          <w:rFonts w:ascii="Calibri" w:cs="Calibri" w:eastAsia="Calibri" w:hAnsi="Calibri"/>
          <w:color w:val="0D1117"/>
          <w:sz w:val="20"/>
          <w:szCs w:val="20"/>
        </w:rPr>
        <w:t xml:space="preserve">Dispatcher wellness features — Psychological safety support integrated into the QA workflow.</w:t>
      </w:r>
    </w:p>
    <w:p>
      <w:pPr>
        <w:spacing w:after="80"/>
      </w:pPr>
      <w:r>
        <w:t xml:space="preserve"/>
      </w:r>
    </w:p>
    <w:p>
      <w:pPr>
        <w:spacing w:after="60" w:before="200"/>
      </w:pPr>
      <w:r>
        <w:rPr>
          <w:rFonts w:ascii="Calibri" w:cs="Calibri" w:eastAsia="Calibri" w:hAnsi="Calibri"/>
          <w:b/>
          <w:bCs/>
          <w:color w:val="0B3D91"/>
          <w:sz w:val="22"/>
          <w:szCs w:val="22"/>
        </w:rPr>
        <w:t xml:space="preserve">Pricing Reality</w:t>
      </w:r>
    </w:p>
    <w:p>
      <w:pPr>
        <w:pStyle w:val="ListParagraph"/>
        <w:numPr>
          <w:ilvl w:val="0"/>
          <w:numId w:val="1"/>
        </w:numPr>
        <w:spacing w:after="80"/>
      </w:pPr>
      <w:r>
        <w:rPr>
          <w:rFonts w:ascii="Calibri" w:cs="Calibri" w:eastAsia="Calibri" w:hAnsi="Calibri"/>
          <w:color w:val="0D1117"/>
          <w:sz w:val="20"/>
          <w:szCs w:val="20"/>
        </w:rPr>
        <w:t xml:space="preserve">Verified: Long Beach, CA contract at $68,000/year — a single mid-size city.</w:t>
      </w:r>
    </w:p>
    <w:p>
      <w:pPr>
        <w:pStyle w:val="ListParagraph"/>
        <w:numPr>
          <w:ilvl w:val="0"/>
          <w:numId w:val="1"/>
        </w:numPr>
        <w:spacing w:after="80"/>
      </w:pPr>
      <w:r>
        <w:rPr>
          <w:rFonts w:ascii="Calibri" w:cs="Calibri" w:eastAsia="Calibri" w:hAnsi="Calibri"/>
          <w:color w:val="0D1117"/>
          <w:sz w:val="20"/>
          <w:szCs w:val="20"/>
        </w:rPr>
        <w:t xml:space="preserve">Estimated range: $40,000–$120,000/year for most agency sizes based on public contract signals.</w:t>
      </w:r>
    </w:p>
    <w:p>
      <w:pPr>
        <w:pStyle w:val="ListParagraph"/>
        <w:numPr>
          <w:ilvl w:val="0"/>
          <w:numId w:val="1"/>
        </w:numPr>
        <w:spacing w:after="80"/>
      </w:pPr>
      <w:r>
        <w:rPr>
          <w:rFonts w:ascii="Calibri" w:cs="Calibri" w:eastAsia="Calibri" w:hAnsi="Calibri"/>
          <w:color w:val="0D1117"/>
          <w:sz w:val="20"/>
          <w:szCs w:val="20"/>
        </w:rPr>
        <w:t xml:space="preserve">Point solution pricing — no CAD integration, no live incident management, no command visibility.</w:t>
      </w:r>
    </w:p>
    <w:p>
      <w:pPr>
        <w:spacing w:after="80"/>
      </w:pPr>
      <w:r>
        <w:t xml:space="preserve"/>
      </w:r>
    </w:p>
    <w:p>
      <w:pPr>
        <w:spacing w:after="60" w:before="200"/>
      </w:pPr>
      <w:r>
        <w:rPr>
          <w:rFonts w:ascii="Calibri" w:cs="Calibri" w:eastAsia="Calibri" w:hAnsi="Calibri"/>
          <w:b/>
          <w:bCs/>
          <w:color w:val="0B3D91"/>
          <w:sz w:val="22"/>
          <w:szCs w:val="22"/>
        </w:rPr>
        <w:t xml:space="preserve">Competitive Implications for NexCort iQ</w:t>
      </w:r>
    </w:p>
    <w:p>
      <w:pPr>
        <w:pStyle w:val="ListParagraph"/>
        <w:numPr>
          <w:ilvl w:val="0"/>
          <w:numId w:val="1"/>
        </w:numPr>
        <w:spacing w:after="80"/>
      </w:pPr>
      <w:r>
        <w:rPr>
          <w:rFonts w:ascii="Calibri" w:cs="Calibri" w:eastAsia="Calibri" w:hAnsi="Calibri"/>
          <w:color w:val="0D1117"/>
          <w:sz w:val="20"/>
          <w:szCs w:val="20"/>
        </w:rPr>
        <w:t xml:space="preserve">DIRECT OVERLAP: GovWorx and RC both offer QA automation and dispatcher coaching. RC's QA features are included in the core platform as part of a broader capability set.</w:t>
      </w:r>
    </w:p>
    <w:p>
      <w:pPr>
        <w:pStyle w:val="ListParagraph"/>
        <w:numPr>
          <w:ilvl w:val="0"/>
          <w:numId w:val="1"/>
        </w:numPr>
        <w:spacing w:after="80"/>
      </w:pPr>
      <w:r>
        <w:rPr>
          <w:rFonts w:ascii="Calibri" w:cs="Calibri" w:eastAsia="Calibri" w:hAnsi="Calibri"/>
          <w:color w:val="0D1117"/>
          <w:sz w:val="20"/>
          <w:szCs w:val="20"/>
        </w:rPr>
        <w:t xml:space="preserve">POSITIONING WIN: RC bundles what GovWorx charges $68K+/year for inside a platform that also includes live incident management, supervisor dashboards, multilingual intake, command tools, and more.</w:t>
      </w:r>
    </w:p>
    <w:p>
      <w:pPr>
        <w:pStyle w:val="ListParagraph"/>
        <w:numPr>
          <w:ilvl w:val="0"/>
          <w:numId w:val="1"/>
        </w:numPr>
        <w:spacing w:after="80"/>
      </w:pPr>
      <w:r>
        <w:rPr>
          <w:rFonts w:ascii="Calibri" w:cs="Calibri" w:eastAsia="Calibri" w:hAnsi="Calibri"/>
          <w:color w:val="0D1117"/>
          <w:sz w:val="20"/>
          <w:szCs w:val="20"/>
        </w:rPr>
        <w:t xml:space="preserve">DISPLACEMENT OPPORTUNITY: Agencies paying ~$68K/year for GovWorx QA alone are natural candidates to upgrade to RC Essential, which delivers QA plus 80+ additional features at comparable or competitive pricing.</w:t>
      </w:r>
    </w:p>
    <w:p>
      <w:pPr>
        <w:spacing w:after="200"/>
      </w:pPr>
      <w:r>
        <w:t xml:space="preserve"/>
      </w:r>
    </w:p>
    <w:p>
      <w:pPr>
        <w:spacing w:after="80" w:before="280"/>
      </w:pPr>
      <w:r>
        <w:rPr>
          <w:rFonts w:ascii="Calibri" w:cs="Calibri" w:eastAsia="Calibri" w:hAnsi="Calibri"/>
          <w:b/>
          <w:bCs/>
          <w:color w:val="0D1117"/>
          <w:sz w:val="26"/>
          <w:szCs w:val="26"/>
        </w:rPr>
        <w:t xml:space="preserve">3.4  Motorola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B3D91" w:val="clear"/>
          </w:tcPr>
          <w:p>
            <w:pPr>
              <w:spacing w:after="60" w:before="60"/>
              <w:jc w:val="left"/>
            </w:pPr>
            <w:r>
              <w:rPr>
                <w:rFonts w:ascii="Calibri" w:cs="Calibri" w:eastAsia="Calibri" w:hAnsi="Calibri"/>
                <w:b/>
                <w:bCs/>
                <w:color w:val="FFFFFF"/>
                <w:sz w:val="18"/>
                <w:szCs w:val="18"/>
              </w:rPr>
              <w:t xml:space="preserve">Dimension</w:t>
            </w:r>
          </w:p>
        </w:tc>
        <w:tc>
          <w:tcPr>
            <w:shd w:fill="0B3D91" w:val="clear"/>
          </w:tcPr>
          <w:p>
            <w:pPr>
              <w:spacing w:after="60" w:before="60"/>
              <w:jc w:val="center"/>
            </w:pPr>
            <w:r>
              <w:rPr>
                <w:rFonts w:ascii="Calibri" w:cs="Calibri" w:eastAsia="Calibri" w:hAnsi="Calibri"/>
                <w:b/>
                <w:bCs/>
                <w:color w:val="FFFFFF"/>
                <w:sz w:val="18"/>
                <w:szCs w:val="18"/>
              </w:rPr>
              <w:t xml:space="preserve">Detail</w:t>
            </w:r>
          </w:p>
        </w:tc>
      </w:tr>
      <w:tr>
        <w:tc>
          <w:tcPr>
            <w:shd w:fill="F4F6F8" w:val="clear"/>
          </w:tcPr>
          <w:p>
            <w:pPr>
              <w:spacing w:after="60" w:before="60"/>
              <w:jc w:val="left"/>
            </w:pPr>
            <w:r>
              <w:rPr>
                <w:rFonts w:ascii="Calibri" w:cs="Calibri" w:eastAsia="Calibri" w:hAnsi="Calibri"/>
                <w:color w:val="0D1117"/>
                <w:sz w:val="18"/>
                <w:szCs w:val="18"/>
              </w:rPr>
              <w:t xml:space="preserve">Type</w:t>
            </w:r>
          </w:p>
        </w:tc>
        <w:tc>
          <w:tcPr>
            <w:shd w:fill="F4F6F8" w:val="clear"/>
          </w:tcPr>
          <w:p>
            <w:pPr>
              <w:spacing w:after="60" w:before="60"/>
              <w:jc w:val="center"/>
            </w:pPr>
            <w:r>
              <w:rPr>
                <w:rFonts w:ascii="Calibri" w:cs="Calibri" w:eastAsia="Calibri" w:hAnsi="Calibri"/>
                <w:color w:val="0D1117"/>
                <w:sz w:val="18"/>
                <w:szCs w:val="18"/>
              </w:rPr>
              <w:t xml:space="preserve">Publicly traded enterprise tech company (NYSE: MSI)</w:t>
            </w:r>
          </w:p>
        </w:tc>
      </w:tr>
      <w:tr>
        <w:tc>
          <w:tcPr>
            <w:shd w:fill="FFFFFF" w:val="clear"/>
          </w:tcPr>
          <w:p>
            <w:pPr>
              <w:spacing w:after="60" w:before="60"/>
              <w:jc w:val="left"/>
            </w:pPr>
            <w:r>
              <w:rPr>
                <w:rFonts w:ascii="Calibri" w:cs="Calibri" w:eastAsia="Calibri" w:hAnsi="Calibri"/>
                <w:color w:val="0D1117"/>
                <w:sz w:val="18"/>
                <w:szCs w:val="18"/>
              </w:rPr>
              <w:t xml:space="preserve">Market Position</w:t>
            </w:r>
          </w:p>
        </w:tc>
        <w:tc>
          <w:tcPr>
            <w:shd w:fill="FFFFFF" w:val="clear"/>
          </w:tcPr>
          <w:p>
            <w:pPr>
              <w:spacing w:after="60" w:before="60"/>
              <w:jc w:val="center"/>
            </w:pPr>
            <w:r>
              <w:rPr>
                <w:rFonts w:ascii="Calibri" w:cs="Calibri" w:eastAsia="Calibri" w:hAnsi="Calibri"/>
                <w:color w:val="0D1117"/>
                <w:sz w:val="18"/>
                <w:szCs w:val="18"/>
              </w:rPr>
              <w:t xml:space="preserve">Leading call handling equipment; #3 NG911 contractor</w:t>
            </w:r>
          </w:p>
        </w:tc>
      </w:tr>
      <w:tr>
        <w:tc>
          <w:tcPr>
            <w:shd w:fill="F4F6F8" w:val="clear"/>
          </w:tcPr>
          <w:p>
            <w:pPr>
              <w:spacing w:after="60" w:before="60"/>
              <w:jc w:val="left"/>
            </w:pPr>
            <w:r>
              <w:rPr>
                <w:rFonts w:ascii="Calibri" w:cs="Calibri" w:eastAsia="Calibri" w:hAnsi="Calibri"/>
                <w:color w:val="0D1117"/>
                <w:sz w:val="18"/>
                <w:szCs w:val="18"/>
              </w:rPr>
              <w:t xml:space="preserve">AI Initiative</w:t>
            </w:r>
          </w:p>
        </w:tc>
        <w:tc>
          <w:tcPr>
            <w:shd w:fill="F4F6F8" w:val="clear"/>
          </w:tcPr>
          <w:p>
            <w:pPr>
              <w:spacing w:after="60" w:before="60"/>
              <w:jc w:val="center"/>
            </w:pPr>
            <w:r>
              <w:rPr>
                <w:rFonts w:ascii="Calibri" w:cs="Calibri" w:eastAsia="Calibri" w:hAnsi="Calibri"/>
                <w:color w:val="0D1117"/>
                <w:sz w:val="18"/>
                <w:szCs w:val="18"/>
              </w:rPr>
              <w:t xml:space="preserve">LLM-powered agent assistants processing 911 transcripts</w:t>
            </w:r>
          </w:p>
        </w:tc>
      </w:tr>
      <w:tr>
        <w:tc>
          <w:tcPr>
            <w:shd w:fill="FFFFFF" w:val="clear"/>
          </w:tcPr>
          <w:p>
            <w:pPr>
              <w:spacing w:after="60" w:before="60"/>
              <w:jc w:val="left"/>
            </w:pPr>
            <w:r>
              <w:rPr>
                <w:rFonts w:ascii="Calibri" w:cs="Calibri" w:eastAsia="Calibri" w:hAnsi="Calibri"/>
                <w:color w:val="0D1117"/>
                <w:sz w:val="18"/>
                <w:szCs w:val="18"/>
              </w:rPr>
              <w:t xml:space="preserve">Acquisitions</w:t>
            </w:r>
          </w:p>
        </w:tc>
        <w:tc>
          <w:tcPr>
            <w:shd w:fill="FFFFFF" w:val="clear"/>
          </w:tcPr>
          <w:p>
            <w:pPr>
              <w:spacing w:after="60" w:before="60"/>
              <w:jc w:val="center"/>
            </w:pPr>
            <w:r>
              <w:rPr>
                <w:rFonts w:ascii="Calibri" w:cs="Calibri" w:eastAsia="Calibri" w:hAnsi="Calibri"/>
                <w:color w:val="0D1117"/>
                <w:sz w:val="18"/>
                <w:szCs w:val="18"/>
              </w:rPr>
              <w:t xml:space="preserve">Calipsa, WatchGuard (video AI); Avigilon (camera AI)</w:t>
            </w:r>
          </w:p>
        </w:tc>
      </w:tr>
      <w:tr>
        <w:tc>
          <w:tcPr>
            <w:shd w:fill="F4F6F8" w:val="clear"/>
          </w:tcPr>
          <w:p>
            <w:pPr>
              <w:spacing w:after="60" w:before="60"/>
              <w:jc w:val="left"/>
            </w:pPr>
            <w:r>
              <w:rPr>
                <w:rFonts w:ascii="Calibri" w:cs="Calibri" w:eastAsia="Calibri" w:hAnsi="Calibri"/>
                <w:color w:val="0D1117"/>
                <w:sz w:val="18"/>
                <w:szCs w:val="18"/>
              </w:rPr>
              <w:t xml:space="preserve">Primary Strength</w:t>
            </w:r>
          </w:p>
        </w:tc>
        <w:tc>
          <w:tcPr>
            <w:shd w:fill="F4F6F8" w:val="clear"/>
          </w:tcPr>
          <w:p>
            <w:pPr>
              <w:spacing w:after="60" w:before="60"/>
              <w:jc w:val="center"/>
            </w:pPr>
            <w:r>
              <w:rPr>
                <w:rFonts w:ascii="Calibri" w:cs="Calibri" w:eastAsia="Calibri" w:hAnsi="Calibri"/>
                <w:color w:val="0D1117"/>
                <w:sz w:val="18"/>
                <w:szCs w:val="18"/>
              </w:rPr>
              <w:t xml:space="preserve">Hardware + radio + CAD + video in one integrated stack</w:t>
            </w:r>
          </w:p>
        </w:tc>
      </w:tr>
    </w:tbl>
    <w:p>
      <w:pPr>
        <w:spacing w:after="120"/>
      </w:pPr>
      <w:r>
        <w:t xml:space="preserve"/>
      </w:r>
    </w:p>
    <w:p>
      <w:pPr>
        <w:spacing w:after="60" w:before="200"/>
      </w:pPr>
      <w:r>
        <w:rPr>
          <w:rFonts w:ascii="Calibri" w:cs="Calibri" w:eastAsia="Calibri" w:hAnsi="Calibri"/>
          <w:b/>
          <w:bCs/>
          <w:color w:val="0B3D91"/>
          <w:sz w:val="22"/>
          <w:szCs w:val="22"/>
        </w:rPr>
        <w:t xml:space="preserve">Competitive Implications for NexCort iQ</w:t>
      </w:r>
    </w:p>
    <w:p>
      <w:pPr>
        <w:pStyle w:val="ListParagraph"/>
        <w:numPr>
          <w:ilvl w:val="0"/>
          <w:numId w:val="1"/>
        </w:numPr>
        <w:spacing w:after="80"/>
      </w:pPr>
      <w:r>
        <w:rPr>
          <w:rFonts w:ascii="Calibri" w:cs="Calibri" w:eastAsia="Calibri" w:hAnsi="Calibri"/>
          <w:color w:val="0D1117"/>
          <w:sz w:val="20"/>
          <w:szCs w:val="20"/>
        </w:rPr>
        <w:t xml:space="preserve">Motorola is a systems integration company, not an AI-first company. Their AI features are add-ons to a hardware and radio platform.</w:t>
      </w:r>
    </w:p>
    <w:p>
      <w:pPr>
        <w:pStyle w:val="ListParagraph"/>
        <w:numPr>
          <w:ilvl w:val="0"/>
          <w:numId w:val="1"/>
        </w:numPr>
        <w:spacing w:after="80"/>
      </w:pPr>
      <w:r>
        <w:rPr>
          <w:rFonts w:ascii="Calibri" w:cs="Calibri" w:eastAsia="Calibri" w:hAnsi="Calibri"/>
          <w:color w:val="0D1117"/>
          <w:sz w:val="20"/>
          <w:szCs w:val="20"/>
        </w:rPr>
        <w:t xml:space="preserve">RC competes with Motorola's AI layer specifically, not their core radio/hardware infrastructure.</w:t>
      </w:r>
    </w:p>
    <w:p>
      <w:pPr>
        <w:pStyle w:val="ListParagraph"/>
        <w:numPr>
          <w:ilvl w:val="0"/>
          <w:numId w:val="1"/>
        </w:numPr>
        <w:spacing w:after="80"/>
      </w:pPr>
      <w:r>
        <w:rPr>
          <w:rFonts w:ascii="Calibri" w:cs="Calibri" w:eastAsia="Calibri" w:hAnsi="Calibri"/>
          <w:color w:val="0D1117"/>
          <w:sz w:val="20"/>
          <w:szCs w:val="20"/>
        </w:rPr>
        <w:t xml:space="preserve">OPPORTUNITY: Agencies on Motorola CAD need AI intelligence that is independent of Motorola's roadmap. RC integrates with Motorola CAD as a read-only intelligence layer.</w:t>
      </w:r>
    </w:p>
    <w:p>
      <w:pPr>
        <w:pStyle w:val="ListParagraph"/>
        <w:numPr>
          <w:ilvl w:val="0"/>
          <w:numId w:val="1"/>
        </w:numPr>
        <w:spacing w:after="80"/>
      </w:pPr>
      <w:r>
        <w:rPr>
          <w:rFonts w:ascii="Calibri" w:cs="Calibri" w:eastAsia="Calibri" w:hAnsi="Calibri"/>
          <w:color w:val="0D1117"/>
          <w:sz w:val="20"/>
          <w:szCs w:val="20"/>
        </w:rPr>
        <w:t xml:space="preserve">Motorola's pricing model is hardware-anchored. Software add-ons at enterprise scale can reach $500K–$2M+ annually, creating cost justification for RC as an alternative.</w:t>
      </w:r>
    </w:p>
    <w:p>
      <w:pPr>
        <w:spacing w:after="200"/>
      </w:pPr>
      <w:r>
        <w:t xml:space="preserve"/>
      </w:r>
    </w:p>
    <w:p>
      <w:pPr>
        <w:spacing w:after="80" w:before="280"/>
      </w:pPr>
      <w:r>
        <w:rPr>
          <w:rFonts w:ascii="Calibri" w:cs="Calibri" w:eastAsia="Calibri" w:hAnsi="Calibri"/>
          <w:b/>
          <w:bCs/>
          <w:color w:val="0D1117"/>
          <w:sz w:val="26"/>
          <w:szCs w:val="26"/>
        </w:rPr>
        <w:t xml:space="preserve">3.5  Tyler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B3D91" w:val="clear"/>
          </w:tcPr>
          <w:p>
            <w:pPr>
              <w:spacing w:after="60" w:before="60"/>
              <w:jc w:val="left"/>
            </w:pPr>
            <w:r>
              <w:rPr>
                <w:rFonts w:ascii="Calibri" w:cs="Calibri" w:eastAsia="Calibri" w:hAnsi="Calibri"/>
                <w:b/>
                <w:bCs/>
                <w:color w:val="FFFFFF"/>
                <w:sz w:val="18"/>
                <w:szCs w:val="18"/>
              </w:rPr>
              <w:t xml:space="preserve">Dimension</w:t>
            </w:r>
          </w:p>
        </w:tc>
        <w:tc>
          <w:tcPr>
            <w:shd w:fill="0B3D91" w:val="clear"/>
          </w:tcPr>
          <w:p>
            <w:pPr>
              <w:spacing w:after="60" w:before="60"/>
              <w:jc w:val="center"/>
            </w:pPr>
            <w:r>
              <w:rPr>
                <w:rFonts w:ascii="Calibri" w:cs="Calibri" w:eastAsia="Calibri" w:hAnsi="Calibri"/>
                <w:b/>
                <w:bCs/>
                <w:color w:val="FFFFFF"/>
                <w:sz w:val="18"/>
                <w:szCs w:val="18"/>
              </w:rPr>
              <w:t xml:space="preserve">Detail</w:t>
            </w:r>
          </w:p>
        </w:tc>
      </w:tr>
      <w:tr>
        <w:tc>
          <w:tcPr>
            <w:shd w:fill="F4F6F8" w:val="clear"/>
          </w:tcPr>
          <w:p>
            <w:pPr>
              <w:spacing w:after="60" w:before="60"/>
              <w:jc w:val="left"/>
            </w:pPr>
            <w:r>
              <w:rPr>
                <w:rFonts w:ascii="Calibri" w:cs="Calibri" w:eastAsia="Calibri" w:hAnsi="Calibri"/>
                <w:color w:val="0D1117"/>
                <w:sz w:val="18"/>
                <w:szCs w:val="18"/>
              </w:rPr>
              <w:t xml:space="preserve">Type</w:t>
            </w:r>
          </w:p>
        </w:tc>
        <w:tc>
          <w:tcPr>
            <w:shd w:fill="F4F6F8" w:val="clear"/>
          </w:tcPr>
          <w:p>
            <w:pPr>
              <w:spacing w:after="60" w:before="60"/>
              <w:jc w:val="center"/>
            </w:pPr>
            <w:r>
              <w:rPr>
                <w:rFonts w:ascii="Calibri" w:cs="Calibri" w:eastAsia="Calibri" w:hAnsi="Calibri"/>
                <w:color w:val="0D1117"/>
                <w:sz w:val="18"/>
                <w:szCs w:val="18"/>
              </w:rPr>
              <w:t xml:space="preserve">Publicly traded gov software company (NYSE: TYL)</w:t>
            </w:r>
          </w:p>
        </w:tc>
      </w:tr>
      <w:tr>
        <w:tc>
          <w:tcPr>
            <w:shd w:fill="FFFFFF" w:val="clear"/>
          </w:tcPr>
          <w:p>
            <w:pPr>
              <w:spacing w:after="60" w:before="60"/>
              <w:jc w:val="left"/>
            </w:pPr>
            <w:r>
              <w:rPr>
                <w:rFonts w:ascii="Calibri" w:cs="Calibri" w:eastAsia="Calibri" w:hAnsi="Calibri"/>
                <w:color w:val="0D1117"/>
                <w:sz w:val="18"/>
                <w:szCs w:val="18"/>
              </w:rPr>
              <w:t xml:space="preserve">Focus</w:t>
            </w:r>
          </w:p>
        </w:tc>
        <w:tc>
          <w:tcPr>
            <w:shd w:fill="FFFFFF" w:val="clear"/>
          </w:tcPr>
          <w:p>
            <w:pPr>
              <w:spacing w:after="60" w:before="60"/>
              <w:jc w:val="center"/>
            </w:pPr>
            <w:r>
              <w:rPr>
                <w:rFonts w:ascii="Calibri" w:cs="Calibri" w:eastAsia="Calibri" w:hAnsi="Calibri"/>
                <w:color w:val="0D1117"/>
                <w:sz w:val="18"/>
                <w:szCs w:val="18"/>
              </w:rPr>
              <w:t xml:space="preserve">CAD, RMS, courts, financials — full government software suite</w:t>
            </w:r>
          </w:p>
        </w:tc>
      </w:tr>
      <w:tr>
        <w:tc>
          <w:tcPr>
            <w:shd w:fill="F4F6F8" w:val="clear"/>
          </w:tcPr>
          <w:p>
            <w:pPr>
              <w:spacing w:after="60" w:before="60"/>
              <w:jc w:val="left"/>
            </w:pPr>
            <w:r>
              <w:rPr>
                <w:rFonts w:ascii="Calibri" w:cs="Calibri" w:eastAsia="Calibri" w:hAnsi="Calibri"/>
                <w:color w:val="0D1117"/>
                <w:sz w:val="18"/>
                <w:szCs w:val="18"/>
              </w:rPr>
              <w:t xml:space="preserve">AI Roadmap</w:t>
            </w:r>
          </w:p>
        </w:tc>
        <w:tc>
          <w:tcPr>
            <w:shd w:fill="F4F6F8" w:val="clear"/>
          </w:tcPr>
          <w:p>
            <w:pPr>
              <w:spacing w:after="60" w:before="60"/>
              <w:jc w:val="center"/>
            </w:pPr>
            <w:r>
              <w:rPr>
                <w:rFonts w:ascii="Calibri" w:cs="Calibri" w:eastAsia="Calibri" w:hAnsi="Calibri"/>
                <w:color w:val="0D1117"/>
                <w:sz w:val="18"/>
                <w:szCs w:val="18"/>
              </w:rPr>
              <w:t xml:space="preserve">LLM dispatcher assistants, predictive staffing bots — in development</w:t>
            </w:r>
          </w:p>
        </w:tc>
      </w:tr>
      <w:tr>
        <w:tc>
          <w:tcPr>
            <w:shd w:fill="FFFFFF" w:val="clear"/>
          </w:tcPr>
          <w:p>
            <w:pPr>
              <w:spacing w:after="60" w:before="60"/>
              <w:jc w:val="left"/>
            </w:pPr>
            <w:r>
              <w:rPr>
                <w:rFonts w:ascii="Calibri" w:cs="Calibri" w:eastAsia="Calibri" w:hAnsi="Calibri"/>
                <w:color w:val="0D1117"/>
                <w:sz w:val="18"/>
                <w:szCs w:val="18"/>
              </w:rPr>
              <w:t xml:space="preserve">Contract Example</w:t>
            </w:r>
          </w:p>
        </w:tc>
        <w:tc>
          <w:tcPr>
            <w:shd w:fill="FFFFFF" w:val="clear"/>
          </w:tcPr>
          <w:p>
            <w:pPr>
              <w:spacing w:after="60" w:before="60"/>
              <w:jc w:val="center"/>
            </w:pPr>
            <w:r>
              <w:rPr>
                <w:rFonts w:ascii="Calibri" w:cs="Calibri" w:eastAsia="Calibri" w:hAnsi="Calibri"/>
                <w:color w:val="0D1117"/>
                <w:sz w:val="18"/>
                <w:szCs w:val="18"/>
              </w:rPr>
              <w:t xml:space="preserve">7-year SaaS CAD/RMS deal (Moore, OK) fundable by 911 fees</w:t>
            </w:r>
          </w:p>
        </w:tc>
      </w:tr>
    </w:tbl>
    <w:p>
      <w:pPr>
        <w:spacing w:after="120"/>
      </w:pPr>
      <w:r>
        <w:t xml:space="preserve"/>
      </w:r>
    </w:p>
    <w:p>
      <w:pPr>
        <w:spacing w:after="60" w:before="200"/>
      </w:pPr>
      <w:r>
        <w:rPr>
          <w:rFonts w:ascii="Calibri" w:cs="Calibri" w:eastAsia="Calibri" w:hAnsi="Calibri"/>
          <w:b/>
          <w:bCs/>
          <w:color w:val="0B3D91"/>
          <w:sz w:val="22"/>
          <w:szCs w:val="22"/>
        </w:rPr>
        <w:t xml:space="preserve">Competitive Implications for NexCort iQ</w:t>
      </w:r>
    </w:p>
    <w:p>
      <w:pPr>
        <w:pStyle w:val="ListParagraph"/>
        <w:numPr>
          <w:ilvl w:val="0"/>
          <w:numId w:val="1"/>
        </w:numPr>
        <w:spacing w:after="80"/>
      </w:pPr>
      <w:r>
        <w:rPr>
          <w:rFonts w:ascii="Calibri" w:cs="Calibri" w:eastAsia="Calibri" w:hAnsi="Calibri"/>
          <w:color w:val="0D1117"/>
          <w:sz w:val="20"/>
          <w:szCs w:val="20"/>
        </w:rPr>
        <w:t xml:space="preserve">Tyler is a records and operations management company adding AI as a feature set. RC is AI-first with operational intelligence as its core product.</w:t>
      </w:r>
    </w:p>
    <w:p>
      <w:pPr>
        <w:pStyle w:val="ListParagraph"/>
        <w:numPr>
          <w:ilvl w:val="0"/>
          <w:numId w:val="1"/>
        </w:numPr>
        <w:spacing w:after="80"/>
      </w:pPr>
      <w:r>
        <w:rPr>
          <w:rFonts w:ascii="Calibri" w:cs="Calibri" w:eastAsia="Calibri" w:hAnsi="Calibri"/>
          <w:color w:val="0D1117"/>
          <w:sz w:val="20"/>
          <w:szCs w:val="20"/>
        </w:rPr>
        <w:t xml:space="preserve">Agencies on Tyler CAD are natural RC customers — RC integrates with Tyler CAD as an overlay, not a replacement.</w:t>
      </w:r>
    </w:p>
    <w:p>
      <w:pPr>
        <w:pStyle w:val="ListParagraph"/>
        <w:numPr>
          <w:ilvl w:val="0"/>
          <w:numId w:val="1"/>
        </w:numPr>
        <w:spacing w:after="80"/>
      </w:pPr>
      <w:r>
        <w:rPr>
          <w:rFonts w:ascii="Calibri" w:cs="Calibri" w:eastAsia="Calibri" w:hAnsi="Calibri"/>
          <w:color w:val="0D1117"/>
          <w:sz w:val="20"/>
          <w:szCs w:val="20"/>
        </w:rPr>
        <w:t xml:space="preserve">Tyler's AI is embedded in their administrative/records workflow. RC delivers operational AI in real-time during active calls — different use case, different timing, different user.</w:t>
      </w:r>
    </w:p>
    <w:p>
      <w:pPr>
        <w:spacing w:after="200"/>
      </w:pPr>
      <w:r>
        <w:t xml:space="preserve"/>
      </w:r>
    </w:p>
    <w:p>
      <w:pPr>
        <w:spacing w:after="80" w:before="280"/>
      </w:pPr>
      <w:r>
        <w:rPr>
          <w:rFonts w:ascii="Calibri" w:cs="Calibri" w:eastAsia="Calibri" w:hAnsi="Calibri"/>
          <w:b/>
          <w:bCs/>
          <w:color w:val="0D1117"/>
          <w:sz w:val="26"/>
          <w:szCs w:val="26"/>
        </w:rPr>
        <w:t xml:space="preserve">3.6  CentralSquare, Hexagon, NICE</w:t>
      </w:r>
    </w:p>
    <w:p>
      <w:pPr>
        <w:pStyle w:val="ListParagraph"/>
        <w:numPr>
          <w:ilvl w:val="0"/>
          <w:numId w:val="1"/>
        </w:numPr>
        <w:spacing w:after="80"/>
      </w:pPr>
      <w:r>
        <w:rPr>
          <w:rFonts w:ascii="Calibri" w:cs="Calibri" w:eastAsia="Calibri" w:hAnsi="Calibri"/>
          <w:color w:val="0D1117"/>
          <w:sz w:val="20"/>
          <w:szCs w:val="20"/>
        </w:rPr>
        <w:t xml:space="preserve">CentralSquare — Centerline AI initiative; LLM agents for dispatch triage and report writing. Legacy platform facing sunsetting issues with older product lines. Forced migration is displacing agencies. RC competes as a replacement intelligence layer for agencies leaving CentralSquare legacy products.</w:t>
      </w:r>
    </w:p>
    <w:p>
      <w:pPr>
        <w:pStyle w:val="ListParagraph"/>
        <w:numPr>
          <w:ilvl w:val="0"/>
          <w:numId w:val="1"/>
        </w:numPr>
        <w:spacing w:after="80"/>
      </w:pPr>
      <w:r>
        <w:rPr>
          <w:rFonts w:ascii="Calibri" w:cs="Calibri" w:eastAsia="Calibri" w:hAnsi="Calibri"/>
          <w:color w:val="0D1117"/>
          <w:sz w:val="20"/>
          <w:szCs w:val="20"/>
        </w:rPr>
        <w:t xml:space="preserve">Hexagon / Intergraph — Command-and-control and CAD solutions with geospatial analytics. Premium enterprise pricing. Primary strength is GIS and mapping. RC complements Hexagon by adding AI transcription, QA, and supervisor intelligence that Hexagon does not deliver natively.</w:t>
      </w:r>
    </w:p>
    <w:p>
      <w:pPr>
        <w:pStyle w:val="ListParagraph"/>
        <w:numPr>
          <w:ilvl w:val="0"/>
          <w:numId w:val="1"/>
        </w:numPr>
        <w:spacing w:after="80"/>
      </w:pPr>
      <w:r>
        <w:rPr>
          <w:rFonts w:ascii="Calibri" w:cs="Calibri" w:eastAsia="Calibri" w:hAnsi="Calibri"/>
          <w:color w:val="0D1117"/>
          <w:sz w:val="20"/>
          <w:szCs w:val="20"/>
        </w:rPr>
        <w:t xml:space="preserve">NICE Systems — Dispatch optimization and digital evidence management; cloud-based; strong in QA workflow. Enterprise pricing ($500K+). Not purpose-built for PSAP environments — cross-sells from call center tech into public safety. RC is built specifically for 911, not adapted from commercial call centers.</w:t>
      </w:r>
    </w:p>
    <w:p>
      <w:pPr>
        <w:spacing w:after="200"/>
      </w:pPr>
      <w:r>
        <w:t xml:space="preserve"/>
      </w:r>
    </w:p>
    <w:p>
      <w:r>
        <w:br w:type="page"/>
      </w:r>
    </w:p>
    <w:p>
      <w:pPr>
        <w:pBdr>
          <w:bottom w:val="single" w:color="C8102E" w:sz="8"/>
        </w:pBdr>
        <w:spacing w:after="120" w:before="360"/>
      </w:pPr>
      <w:r>
        <w:rPr>
          <w:rFonts w:ascii="Calibri" w:cs="Calibri" w:eastAsia="Calibri" w:hAnsi="Calibri"/>
          <w:b/>
          <w:bCs/>
          <w:color w:val="0B3D91"/>
          <w:sz w:val="36"/>
          <w:szCs w:val="36"/>
        </w:rPr>
        <w:t xml:space="preserve">4. Competitive Feature Matrix</w:t>
      </w:r>
    </w:p>
    <w:p>
      <w:pPr>
        <w:spacing w:after="120"/>
      </w:pPr>
      <w:r>
        <w:t xml:space="preserve"/>
      </w:r>
    </w:p>
    <w:p>
      <w:pPr>
        <w:spacing w:after="100"/>
        <w:jc w:val="both"/>
      </w:pPr>
      <w:r>
        <w:rPr>
          <w:rFonts w:ascii="Calibri" w:cs="Calibri" w:eastAsia="Calibri" w:hAnsi="Calibri"/>
          <w:color w:val="0D1117"/>
          <w:sz w:val="20"/>
          <w:szCs w:val="20"/>
        </w:rPr>
        <w:t xml:space="preserve">The following matrix compares key capability areas across primary competitors. This is internal-use analysis based on publicly disclosed product features as of July 2026.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c>
          <w:tcPr>
            <w:tcW w:type="dxa" w:w="2160"/>
            <w:shd w:fill="0D1117" w:val="clear"/>
          </w:tcPr>
          <w:p>
            <w:pPr>
              <w:spacing w:after="60" w:before="60"/>
            </w:pPr>
            <w:r>
              <w:rPr>
                <w:rFonts w:ascii="Calibri" w:cs="Calibri" w:eastAsia="Calibri" w:hAnsi="Calibri"/>
                <w:b/>
                <w:bCs/>
                <w:color w:val="FFFFFF"/>
                <w:sz w:val="18"/>
                <w:szCs w:val="18"/>
              </w:rPr>
              <w:t xml:space="preserve">Capability</w:t>
            </w:r>
          </w:p>
        </w:tc>
        <w:tc>
          <w:tcPr>
            <w:shd w:fill="0B3D91" w:val="clear"/>
          </w:tcPr>
          <w:p>
            <w:pPr>
              <w:spacing w:after="60" w:before="60"/>
              <w:jc w:val="center"/>
            </w:pPr>
            <w:r>
              <w:rPr>
                <w:rFonts w:ascii="Calibri" w:cs="Calibri" w:eastAsia="Calibri" w:hAnsi="Calibri"/>
                <w:b/>
                <w:bCs/>
                <w:color w:val="FFFFFF"/>
                <w:sz w:val="18"/>
                <w:szCs w:val="18"/>
              </w:rPr>
              <w:t xml:space="preserve">RC</w:t>
            </w:r>
          </w:p>
        </w:tc>
        <w:tc>
          <w:tcPr>
            <w:shd w:fill="0B3D91" w:val="clear"/>
          </w:tcPr>
          <w:p>
            <w:pPr>
              <w:spacing w:after="60" w:before="60"/>
              <w:jc w:val="center"/>
            </w:pPr>
            <w:r>
              <w:rPr>
                <w:rFonts w:ascii="Calibri" w:cs="Calibri" w:eastAsia="Calibri" w:hAnsi="Calibri"/>
                <w:b/>
                <w:bCs/>
                <w:color w:val="FFFFFF"/>
                <w:sz w:val="18"/>
                <w:szCs w:val="18"/>
              </w:rPr>
              <w:t xml:space="preserve">Axon 911</w:t>
            </w:r>
          </w:p>
        </w:tc>
        <w:tc>
          <w:tcPr>
            <w:shd w:fill="0B3D91" w:val="clear"/>
          </w:tcPr>
          <w:p>
            <w:pPr>
              <w:spacing w:after="60" w:before="60"/>
              <w:jc w:val="center"/>
            </w:pPr>
            <w:r>
              <w:rPr>
                <w:rFonts w:ascii="Calibri" w:cs="Calibri" w:eastAsia="Calibri" w:hAnsi="Calibri"/>
                <w:b/>
                <w:bCs/>
                <w:color w:val="FFFFFF"/>
                <w:sz w:val="18"/>
                <w:szCs w:val="18"/>
              </w:rPr>
              <w:t xml:space="preserve">RapidSOS</w:t>
            </w:r>
          </w:p>
        </w:tc>
        <w:tc>
          <w:tcPr>
            <w:shd w:fill="0B3D91" w:val="clear"/>
          </w:tcPr>
          <w:p>
            <w:pPr>
              <w:spacing w:after="60" w:before="60"/>
              <w:jc w:val="center"/>
            </w:pPr>
            <w:r>
              <w:rPr>
                <w:rFonts w:ascii="Calibri" w:cs="Calibri" w:eastAsia="Calibri" w:hAnsi="Calibri"/>
                <w:b/>
                <w:bCs/>
                <w:color w:val="FFFFFF"/>
                <w:sz w:val="18"/>
                <w:szCs w:val="18"/>
              </w:rPr>
              <w:t xml:space="preserve">GovWorx</w:t>
            </w:r>
          </w:p>
        </w:tc>
        <w:tc>
          <w:tcPr>
            <w:shd w:fill="0B3D91" w:val="clear"/>
          </w:tcPr>
          <w:p>
            <w:pPr>
              <w:spacing w:after="60" w:before="60"/>
              <w:jc w:val="center"/>
            </w:pPr>
            <w:r>
              <w:rPr>
                <w:rFonts w:ascii="Calibri" w:cs="Calibri" w:eastAsia="Calibri" w:hAnsi="Calibri"/>
                <w:b/>
                <w:bCs/>
                <w:color w:val="FFFFFF"/>
                <w:sz w:val="18"/>
                <w:szCs w:val="18"/>
              </w:rPr>
              <w:t xml:space="preserve">Motorola</w:t>
            </w:r>
          </w:p>
        </w:tc>
        <w:tc>
          <w:tcPr>
            <w:shd w:fill="0B3D91" w:val="clear"/>
          </w:tcPr>
          <w:p>
            <w:pPr>
              <w:spacing w:after="60" w:before="60"/>
              <w:jc w:val="center"/>
            </w:pPr>
            <w:r>
              <w:rPr>
                <w:rFonts w:ascii="Calibri" w:cs="Calibri" w:eastAsia="Calibri" w:hAnsi="Calibri"/>
                <w:b/>
                <w:bCs/>
                <w:color w:val="FFFFFF"/>
                <w:sz w:val="18"/>
                <w:szCs w:val="18"/>
              </w:rPr>
              <w:t xml:space="preserve">NICE</w:t>
            </w:r>
          </w:p>
        </w:tc>
      </w:tr>
      <w:tr>
        <w:tc>
          <w:tcPr>
            <w:tcW w:type="dxa" w:w="2160"/>
            <w:shd w:fill="F4F6F8" w:val="clear"/>
          </w:tcPr>
          <w:p>
            <w:pPr>
              <w:spacing w:after="60" w:before="60"/>
            </w:pPr>
            <w:r>
              <w:rPr>
                <w:rFonts w:ascii="Calibri" w:cs="Calibri" w:eastAsia="Calibri" w:hAnsi="Calibri"/>
                <w:b/>
                <w:bCs/>
                <w:color w:val="0D1117"/>
                <w:sz w:val="18"/>
                <w:szCs w:val="18"/>
              </w:rPr>
              <w:t xml:space="preserve">AI Transcription</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0B3D91"/>
                <w:sz w:val="18"/>
                <w:szCs w:val="18"/>
              </w:rPr>
              <w:t xml:space="preserve">Partial</w:t>
            </w:r>
          </w:p>
        </w:tc>
        <w:tc>
          <w:tcPr>
            <w:shd w:fill="F4F6F8" w:val="clear"/>
          </w:tcPr>
          <w:p>
            <w:pPr>
              <w:spacing w:after="60" w:before="60"/>
              <w:jc w:val="center"/>
            </w:pPr>
            <w:r>
              <w:rPr>
                <w:rFonts w:ascii="Calibri" w:cs="Calibri" w:eastAsia="Calibri" w:hAnsi="Calibri"/>
                <w:color w:val="1B6B2F"/>
                <w:sz w:val="18"/>
                <w:szCs w:val="18"/>
              </w:rPr>
              <w:t xml:space="preserve">✓</w:t>
            </w:r>
          </w:p>
        </w:tc>
      </w:tr>
      <w:tr>
        <w:tc>
          <w:tcPr>
            <w:tcW w:type="dxa" w:w="2160"/>
            <w:shd w:fill="FFFFFF" w:val="clear"/>
          </w:tcPr>
          <w:p>
            <w:pPr>
              <w:spacing w:after="60" w:before="60"/>
            </w:pPr>
            <w:r>
              <w:rPr>
                <w:rFonts w:ascii="Calibri" w:cs="Calibri" w:eastAsia="Calibri" w:hAnsi="Calibri"/>
                <w:b/>
                <w:bCs/>
                <w:color w:val="0D1117"/>
                <w:sz w:val="18"/>
                <w:szCs w:val="18"/>
              </w:rPr>
              <w:t xml:space="preserve">Real-Time Translation</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0B3D91"/>
                <w:sz w:val="18"/>
                <w:szCs w:val="18"/>
              </w:rPr>
              <w:t xml:space="preserve">✓ (70+ lang)</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0B3D91"/>
                <w:sz w:val="18"/>
                <w:szCs w:val="18"/>
              </w:rPr>
              <w:t xml:space="preserve">Limited</w:t>
            </w:r>
          </w:p>
        </w:tc>
      </w:tr>
      <w:tr>
        <w:tc>
          <w:tcPr>
            <w:tcW w:type="dxa" w:w="2160"/>
            <w:shd w:fill="F4F6F8" w:val="clear"/>
          </w:tcPr>
          <w:p>
            <w:pPr>
              <w:spacing w:after="60" w:before="60"/>
            </w:pPr>
            <w:r>
              <w:rPr>
                <w:rFonts w:ascii="Calibri" w:cs="Calibri" w:eastAsia="Calibri" w:hAnsi="Calibri"/>
                <w:b/>
                <w:bCs/>
                <w:color w:val="0D1117"/>
                <w:sz w:val="18"/>
                <w:szCs w:val="18"/>
              </w:rPr>
              <w:t xml:space="preserve">Supervisor Dashboard</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0B3D91"/>
                <w:sz w:val="18"/>
                <w:szCs w:val="18"/>
              </w:rPr>
              <w:t xml:space="preserve">Partial</w:t>
            </w:r>
          </w:p>
        </w:tc>
        <w:tc>
          <w:tcPr>
            <w:shd w:fill="F4F6F8" w:val="clear"/>
          </w:tcPr>
          <w:p>
            <w:pPr>
              <w:spacing w:after="60" w:before="60"/>
              <w:jc w:val="center"/>
            </w:pPr>
            <w:r>
              <w:rPr>
                <w:rFonts w:ascii="Calibri" w:cs="Calibri" w:eastAsia="Calibri" w:hAnsi="Calibri"/>
                <w:color w:val="0B3D91"/>
                <w:sz w:val="18"/>
                <w:szCs w:val="18"/>
              </w:rPr>
              <w:t xml:space="preserve">Limited</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0B3D91"/>
                <w:sz w:val="18"/>
                <w:szCs w:val="18"/>
              </w:rPr>
              <w:t xml:space="preserve">Partial</w:t>
            </w:r>
          </w:p>
        </w:tc>
      </w:tr>
      <w:tr>
        <w:tc>
          <w:tcPr>
            <w:tcW w:type="dxa" w:w="2160"/>
            <w:shd w:fill="FFFFFF" w:val="clear"/>
          </w:tcPr>
          <w:p>
            <w:pPr>
              <w:spacing w:after="60" w:before="60"/>
            </w:pPr>
            <w:r>
              <w:rPr>
                <w:rFonts w:ascii="Calibri" w:cs="Calibri" w:eastAsia="Calibri" w:hAnsi="Calibri"/>
                <w:b/>
                <w:bCs/>
                <w:color w:val="0D1117"/>
                <w:sz w:val="18"/>
                <w:szCs w:val="18"/>
              </w:rPr>
              <w:t xml:space="preserve">Command / War Rooms</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0B3D91"/>
                <w:sz w:val="18"/>
                <w:szCs w:val="18"/>
              </w:rPr>
              <w:t xml:space="preserve">Partial</w:t>
            </w:r>
          </w:p>
        </w:tc>
        <w:tc>
          <w:tcPr>
            <w:shd w:fill="FFFFFF" w:val="clear"/>
          </w:tcPr>
          <w:p>
            <w:pPr>
              <w:spacing w:after="60" w:before="60"/>
              <w:jc w:val="center"/>
            </w:pPr>
            <w:r>
              <w:rPr>
                <w:rFonts w:ascii="Calibri" w:cs="Calibri" w:eastAsia="Calibri" w:hAnsi="Calibri"/>
                <w:color w:val="999999"/>
                <w:sz w:val="18"/>
                <w:szCs w:val="18"/>
              </w:rPr>
              <w:t xml:space="preserve">–</w:t>
            </w:r>
          </w:p>
        </w:tc>
      </w:tr>
      <w:tr>
        <w:tc>
          <w:tcPr>
            <w:tcW w:type="dxa" w:w="2160"/>
            <w:shd w:fill="F4F6F8" w:val="clear"/>
          </w:tcPr>
          <w:p>
            <w:pPr>
              <w:spacing w:after="60" w:before="60"/>
            </w:pPr>
            <w:r>
              <w:rPr>
                <w:rFonts w:ascii="Calibri" w:cs="Calibri" w:eastAsia="Calibri" w:hAnsi="Calibri"/>
                <w:b/>
                <w:bCs/>
                <w:color w:val="0D1117"/>
                <w:sz w:val="18"/>
                <w:szCs w:val="18"/>
              </w:rPr>
              <w:t xml:space="preserve">Live Caller Media</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r>
      <w:tr>
        <w:tc>
          <w:tcPr>
            <w:tcW w:type="dxa" w:w="2160"/>
            <w:shd w:fill="FFFFFF" w:val="clear"/>
          </w:tcPr>
          <w:p>
            <w:pPr>
              <w:spacing w:after="60" w:before="60"/>
            </w:pPr>
            <w:r>
              <w:rPr>
                <w:rFonts w:ascii="Calibri" w:cs="Calibri" w:eastAsia="Calibri" w:hAnsi="Calibri"/>
                <w:b/>
                <w:bCs/>
                <w:color w:val="0D1117"/>
                <w:sz w:val="18"/>
                <w:szCs w:val="18"/>
              </w:rPr>
              <w:t xml:space="preserve">QA Automation</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1B6B2F"/>
                <w:sz w:val="18"/>
                <w:szCs w:val="18"/>
              </w:rPr>
              <w:t xml:space="preserve">✓</w:t>
            </w:r>
          </w:p>
        </w:tc>
      </w:tr>
      <w:tr>
        <w:tc>
          <w:tcPr>
            <w:tcW w:type="dxa" w:w="2160"/>
            <w:shd w:fill="F4F6F8" w:val="clear"/>
          </w:tcPr>
          <w:p>
            <w:pPr>
              <w:spacing w:after="60" w:before="60"/>
            </w:pPr>
            <w:r>
              <w:rPr>
                <w:rFonts w:ascii="Calibri" w:cs="Calibri" w:eastAsia="Calibri" w:hAnsi="Calibri"/>
                <w:b/>
                <w:bCs/>
                <w:color w:val="0D1117"/>
                <w:sz w:val="18"/>
                <w:szCs w:val="18"/>
              </w:rPr>
              <w:t xml:space="preserve">Dispatcher Coaching</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0B3D91"/>
                <w:sz w:val="18"/>
                <w:szCs w:val="18"/>
              </w:rPr>
              <w:t xml:space="preserve">Partial</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0B3D91"/>
                <w:sz w:val="18"/>
                <w:szCs w:val="18"/>
              </w:rPr>
              <w:t xml:space="preserve">Partial</w:t>
            </w:r>
          </w:p>
        </w:tc>
      </w:tr>
      <w:tr>
        <w:tc>
          <w:tcPr>
            <w:tcW w:type="dxa" w:w="2160"/>
            <w:shd w:fill="FFFFFF" w:val="clear"/>
          </w:tcPr>
          <w:p>
            <w:pPr>
              <w:spacing w:after="60" w:before="60"/>
            </w:pPr>
            <w:r>
              <w:rPr>
                <w:rFonts w:ascii="Calibri" w:cs="Calibri" w:eastAsia="Calibri" w:hAnsi="Calibri"/>
                <w:b/>
                <w:bCs/>
                <w:color w:val="0D1117"/>
                <w:sz w:val="18"/>
                <w:szCs w:val="18"/>
              </w:rPr>
              <w:t xml:space="preserve">CAD Integration</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0B3D91"/>
                <w:sz w:val="18"/>
                <w:szCs w:val="18"/>
              </w:rPr>
              <w:t xml:space="preserve">Limited</w:t>
            </w:r>
          </w:p>
        </w:tc>
        <w:tc>
          <w:tcPr>
            <w:shd w:fill="FFFFFF" w:val="clear"/>
          </w:tcPr>
          <w:p>
            <w:pPr>
              <w:spacing w:after="60" w:before="60"/>
              <w:jc w:val="center"/>
            </w:pPr>
            <w:r>
              <w:rPr>
                <w:rFonts w:ascii="Calibri" w:cs="Calibri" w:eastAsia="Calibri" w:hAnsi="Calibri"/>
                <w:color w:val="0B3D91"/>
                <w:sz w:val="18"/>
                <w:szCs w:val="18"/>
              </w:rPr>
              <w:t xml:space="preserve">Native</w:t>
            </w:r>
          </w:p>
        </w:tc>
        <w:tc>
          <w:tcPr>
            <w:shd w:fill="FFFFFF" w:val="clear"/>
          </w:tcPr>
          <w:p>
            <w:pPr>
              <w:spacing w:after="60" w:before="60"/>
              <w:jc w:val="center"/>
            </w:pPr>
            <w:r>
              <w:rPr>
                <w:rFonts w:ascii="Calibri" w:cs="Calibri" w:eastAsia="Calibri" w:hAnsi="Calibri"/>
                <w:color w:val="0B3D91"/>
                <w:sz w:val="18"/>
                <w:szCs w:val="18"/>
              </w:rPr>
              <w:t xml:space="preserve">Limited</w:t>
            </w:r>
          </w:p>
        </w:tc>
      </w:tr>
      <w:tr>
        <w:tc>
          <w:tcPr>
            <w:tcW w:type="dxa" w:w="2160"/>
            <w:shd w:fill="F4F6F8" w:val="clear"/>
          </w:tcPr>
          <w:p>
            <w:pPr>
              <w:spacing w:after="60" w:before="60"/>
            </w:pPr>
            <w:r>
              <w:rPr>
                <w:rFonts w:ascii="Calibri" w:cs="Calibri" w:eastAsia="Calibri" w:hAnsi="Calibri"/>
                <w:b/>
                <w:bCs/>
                <w:color w:val="0D1117"/>
                <w:sz w:val="18"/>
                <w:szCs w:val="18"/>
              </w:rPr>
              <w:t xml:space="preserve">CJIS-Aware Design</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0B3D91"/>
                <w:sz w:val="18"/>
                <w:szCs w:val="18"/>
              </w:rPr>
              <w:t xml:space="preserve">Partial</w:t>
            </w:r>
          </w:p>
        </w:tc>
      </w:tr>
      <w:tr>
        <w:tc>
          <w:tcPr>
            <w:tcW w:type="dxa" w:w="2160"/>
            <w:shd w:fill="FFFFFF" w:val="clear"/>
          </w:tcPr>
          <w:p>
            <w:pPr>
              <w:spacing w:after="60" w:before="60"/>
            </w:pPr>
            <w:r>
              <w:rPr>
                <w:rFonts w:ascii="Calibri" w:cs="Calibri" w:eastAsia="Calibri" w:hAnsi="Calibri"/>
                <w:b/>
                <w:bCs/>
                <w:color w:val="0D1117"/>
                <w:sz w:val="18"/>
                <w:szCs w:val="18"/>
              </w:rPr>
              <w:t xml:space="preserve">Hospital Portal</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r>
      <w:tr>
        <w:tc>
          <w:tcPr>
            <w:tcW w:type="dxa" w:w="2160"/>
            <w:shd w:fill="F4F6F8" w:val="clear"/>
          </w:tcPr>
          <w:p>
            <w:pPr>
              <w:spacing w:after="60" w:before="60"/>
            </w:pPr>
            <w:r>
              <w:rPr>
                <w:rFonts w:ascii="Calibri" w:cs="Calibri" w:eastAsia="Calibri" w:hAnsi="Calibri"/>
                <w:b/>
                <w:bCs/>
                <w:color w:val="0D1117"/>
                <w:sz w:val="18"/>
                <w:szCs w:val="18"/>
              </w:rPr>
              <w:t xml:space="preserve">SOP Protocol AI</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0B3D91"/>
                <w:sz w:val="18"/>
                <w:szCs w:val="18"/>
              </w:rPr>
              <w:t xml:space="preserve">Partial</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r>
      <w:tr>
        <w:tc>
          <w:tcPr>
            <w:tcW w:type="dxa" w:w="2160"/>
            <w:shd w:fill="FFFFFF" w:val="clear"/>
          </w:tcPr>
          <w:p>
            <w:pPr>
              <w:spacing w:after="60" w:before="60"/>
            </w:pPr>
            <w:r>
              <w:rPr>
                <w:rFonts w:ascii="Calibri" w:cs="Calibri" w:eastAsia="Calibri" w:hAnsi="Calibri"/>
                <w:b/>
                <w:bCs/>
                <w:color w:val="0D1117"/>
                <w:sz w:val="18"/>
                <w:szCs w:val="18"/>
              </w:rPr>
              <w:t xml:space="preserve">Multi-Vertical (Campus/Venue)</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r>
      <w:tr>
        <w:tc>
          <w:tcPr>
            <w:tcW w:type="dxa" w:w="2160"/>
            <w:shd w:fill="F4F6F8" w:val="clear"/>
          </w:tcPr>
          <w:p>
            <w:pPr>
              <w:spacing w:after="60" w:before="60"/>
            </w:pPr>
            <w:r>
              <w:rPr>
                <w:rFonts w:ascii="Calibri" w:cs="Calibri" w:eastAsia="Calibri" w:hAnsi="Calibri"/>
                <w:b/>
                <w:bCs/>
                <w:color w:val="0D1117"/>
                <w:sz w:val="18"/>
                <w:szCs w:val="18"/>
              </w:rPr>
              <w:t xml:space="preserve">Standalone (No CAD Req.)</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1B6B2F"/>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r>
      <w:tr>
        <w:tc>
          <w:tcPr>
            <w:tcW w:type="dxa" w:w="2160"/>
            <w:shd w:fill="FFFFFF" w:val="clear"/>
          </w:tcPr>
          <w:p>
            <w:pPr>
              <w:spacing w:after="60" w:before="60"/>
            </w:pPr>
            <w:r>
              <w:rPr>
                <w:rFonts w:ascii="Calibri" w:cs="Calibri" w:eastAsia="Calibri" w:hAnsi="Calibri"/>
                <w:b/>
                <w:bCs/>
                <w:color w:val="0D1117"/>
                <w:sz w:val="18"/>
                <w:szCs w:val="18"/>
              </w:rPr>
              <w:t xml:space="preserve">On-Prem Option</w:t>
            </w:r>
          </w:p>
        </w:tc>
        <w:tc>
          <w:tcPr>
            <w:shd w:fill="FFFFFF" w:val="clear"/>
          </w:tcPr>
          <w:p>
            <w:pPr>
              <w:spacing w:after="60" w:before="60"/>
              <w:jc w:val="center"/>
            </w:pPr>
            <w:r>
              <w:rPr>
                <w:rFonts w:ascii="Calibri" w:cs="Calibri" w:eastAsia="Calibri" w:hAnsi="Calibri"/>
                <w:color w:val="0B3D91"/>
                <w:sz w:val="18"/>
                <w:szCs w:val="18"/>
              </w:rPr>
              <w:t xml:space="preserve">Roadmap</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999999"/>
                <w:sz w:val="18"/>
                <w:szCs w:val="18"/>
              </w:rPr>
              <w:t xml:space="preserve">–</w:t>
            </w:r>
          </w:p>
        </w:tc>
        <w:tc>
          <w:tcPr>
            <w:shd w:fill="FFFFFF" w:val="clear"/>
          </w:tcPr>
          <w:p>
            <w:pPr>
              <w:spacing w:after="60" w:before="60"/>
              <w:jc w:val="center"/>
            </w:pPr>
            <w:r>
              <w:rPr>
                <w:rFonts w:ascii="Calibri" w:cs="Calibri" w:eastAsia="Calibri" w:hAnsi="Calibri"/>
                <w:color w:val="1B6B2F"/>
                <w:sz w:val="18"/>
                <w:szCs w:val="18"/>
              </w:rPr>
              <w:t xml:space="preserve">✓</w:t>
            </w:r>
          </w:p>
        </w:tc>
        <w:tc>
          <w:tcPr>
            <w:shd w:fill="FFFFFF" w:val="clear"/>
          </w:tcPr>
          <w:p>
            <w:pPr>
              <w:spacing w:after="60" w:before="60"/>
              <w:jc w:val="center"/>
            </w:pPr>
            <w:r>
              <w:rPr>
                <w:rFonts w:ascii="Calibri" w:cs="Calibri" w:eastAsia="Calibri" w:hAnsi="Calibri"/>
                <w:color w:val="0B3D91"/>
                <w:sz w:val="18"/>
                <w:szCs w:val="18"/>
              </w:rPr>
              <w:t xml:space="preserve">Partial</w:t>
            </w:r>
          </w:p>
        </w:tc>
      </w:tr>
      <w:tr>
        <w:tc>
          <w:tcPr>
            <w:tcW w:type="dxa" w:w="2160"/>
            <w:shd w:fill="F4F6F8" w:val="clear"/>
          </w:tcPr>
          <w:p>
            <w:pPr>
              <w:spacing w:after="60" w:before="60"/>
            </w:pPr>
            <w:r>
              <w:rPr>
                <w:rFonts w:ascii="Calibri" w:cs="Calibri" w:eastAsia="Calibri" w:hAnsi="Calibri"/>
                <w:b/>
                <w:bCs/>
                <w:color w:val="0D1117"/>
                <w:sz w:val="18"/>
                <w:szCs w:val="18"/>
              </w:rPr>
              <w:t xml:space="preserve">Bundled Hardware Required</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0B3D91"/>
                <w:sz w:val="18"/>
                <w:szCs w:val="18"/>
              </w:rPr>
              <w:t xml:space="preserve">Often</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999999"/>
                <w:sz w:val="18"/>
                <w:szCs w:val="18"/>
              </w:rPr>
              <w:t xml:space="preserve">–</w:t>
            </w:r>
          </w:p>
        </w:tc>
        <w:tc>
          <w:tcPr>
            <w:shd w:fill="F4F6F8" w:val="clear"/>
          </w:tcPr>
          <w:p>
            <w:pPr>
              <w:spacing w:after="60" w:before="60"/>
              <w:jc w:val="center"/>
            </w:pPr>
            <w:r>
              <w:rPr>
                <w:rFonts w:ascii="Calibri" w:cs="Calibri" w:eastAsia="Calibri" w:hAnsi="Calibri"/>
                <w:color w:val="0B3D91"/>
                <w:sz w:val="18"/>
                <w:szCs w:val="18"/>
              </w:rPr>
              <w:t xml:space="preserve">Often</w:t>
            </w:r>
          </w:p>
        </w:tc>
        <w:tc>
          <w:tcPr>
            <w:shd w:fill="F4F6F8" w:val="clear"/>
          </w:tcPr>
          <w:p>
            <w:pPr>
              <w:spacing w:after="60" w:before="60"/>
              <w:jc w:val="center"/>
            </w:pPr>
            <w:r>
              <w:rPr>
                <w:rFonts w:ascii="Calibri" w:cs="Calibri" w:eastAsia="Calibri" w:hAnsi="Calibri"/>
                <w:color w:val="999999"/>
                <w:sz w:val="18"/>
                <w:szCs w:val="18"/>
              </w:rPr>
              <w:t xml:space="preserve">–</w:t>
            </w:r>
          </w:p>
        </w:tc>
      </w:tr>
    </w:tbl>
    <w:p>
      <w:pPr>
        <w:spacing w:after="200"/>
      </w:pPr>
      <w:r>
        <w:t xml:space="preserve"/>
      </w:r>
    </w:p>
    <w:p>
      <w:r>
        <w:br w:type="page"/>
      </w:r>
    </w:p>
    <w:p>
      <w:pPr>
        <w:pBdr>
          <w:bottom w:val="single" w:color="C8102E" w:sz="8"/>
        </w:pBdr>
        <w:spacing w:after="120" w:before="360"/>
      </w:pPr>
      <w:r>
        <w:rPr>
          <w:rFonts w:ascii="Calibri" w:cs="Calibri" w:eastAsia="Calibri" w:hAnsi="Calibri"/>
          <w:b/>
          <w:bCs/>
          <w:color w:val="0B3D91"/>
          <w:sz w:val="36"/>
          <w:szCs w:val="36"/>
        </w:rPr>
        <w:t xml:space="preserve">5. Pricing Position &amp; Competitive Benchmarks</w:t>
      </w:r>
    </w:p>
    <w:p>
      <w:pPr>
        <w:spacing w:after="120"/>
      </w:pPr>
      <w:r>
        <w:t xml:space="preserve"/>
      </w:r>
    </w:p>
    <w:p>
      <w:pPr>
        <w:spacing w:after="100"/>
        <w:jc w:val="both"/>
      </w:pPr>
      <w:r>
        <w:rPr>
          <w:rFonts w:ascii="Calibri" w:cs="Calibri" w:eastAsia="Calibri" w:hAnsi="Calibri"/>
          <w:color w:val="0D1117"/>
          <w:sz w:val="20"/>
          <w:szCs w:val="20"/>
        </w:rPr>
        <w:t xml:space="preserve">This section maps NexCort iQ's internal pricing to the competitive landscape. All RC pricing is internal-only. Public pricing language remains 'Tailored deployment / Custom quote / Scaled for agency needs / Contact sales.'</w:t>
      </w:r>
    </w:p>
    <w:p>
      <w:pPr>
        <w:spacing w:after="120"/>
      </w:pPr>
      <w:r>
        <w:t xml:space="preserve"/>
      </w:r>
    </w:p>
    <w:p>
      <w:pPr>
        <w:spacing w:after="80" w:before="280"/>
      </w:pPr>
      <w:r>
        <w:rPr>
          <w:rFonts w:ascii="Calibri" w:cs="Calibri" w:eastAsia="Calibri" w:hAnsi="Calibri"/>
          <w:b/>
          <w:bCs/>
          <w:color w:val="0D1117"/>
          <w:sz w:val="26"/>
          <w:szCs w:val="26"/>
        </w:rPr>
        <w:t xml:space="preserve">5.1  NexCort iQ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60"/>
        <w:gridCol w:w="1600"/>
      </w:tblGrid>
      <w:tr>
        <w:tc>
          <w:tcPr>
            <w:shd w:fill="0D1117" w:val="clear"/>
          </w:tcPr>
          <w:p>
            <w:pPr>
              <w:spacing w:after="60" w:before="60"/>
            </w:pPr>
            <w:r>
              <w:rPr>
                <w:rFonts w:ascii="Calibri" w:cs="Calibri" w:eastAsia="Calibri" w:hAnsi="Calibri"/>
                <w:b/>
                <w:bCs/>
                <w:color w:val="FFFFFF"/>
                <w:sz w:val="18"/>
                <w:szCs w:val="18"/>
              </w:rPr>
              <w:t xml:space="preserve">Tier</w:t>
            </w:r>
          </w:p>
        </w:tc>
        <w:tc>
          <w:tcPr>
            <w:shd w:fill="0D1117" w:val="clear"/>
          </w:tcPr>
          <w:p>
            <w:pPr>
              <w:spacing w:after="60" w:before="60"/>
              <w:jc w:val="center"/>
            </w:pPr>
            <w:r>
              <w:rPr>
                <w:rFonts w:ascii="Calibri" w:cs="Calibri" w:eastAsia="Calibri" w:hAnsi="Calibri"/>
                <w:b/>
                <w:bCs/>
                <w:color w:val="FFFFFF"/>
                <w:sz w:val="18"/>
                <w:szCs w:val="18"/>
              </w:rPr>
              <w:t xml:space="preserve">Monthly Fee</w:t>
            </w:r>
          </w:p>
        </w:tc>
        <w:tc>
          <w:tcPr>
            <w:shd w:fill="0D1117" w:val="clear"/>
          </w:tcPr>
          <w:p>
            <w:pPr>
              <w:spacing w:after="60" w:before="60"/>
              <w:jc w:val="center"/>
            </w:pPr>
            <w:r>
              <w:rPr>
                <w:rFonts w:ascii="Calibri" w:cs="Calibri" w:eastAsia="Calibri" w:hAnsi="Calibri"/>
                <w:b/>
                <w:bCs/>
                <w:color w:val="FFFFFF"/>
                <w:sz w:val="18"/>
                <w:szCs w:val="18"/>
              </w:rPr>
              <w:t xml:space="preserve">Annual Range</w:t>
            </w:r>
          </w:p>
        </w:tc>
        <w:tc>
          <w:tcPr>
            <w:shd w:fill="0D1117" w:val="clear"/>
          </w:tcPr>
          <w:p>
            <w:pPr>
              <w:spacing w:after="60" w:before="60"/>
              <w:jc w:val="center"/>
            </w:pPr>
            <w:r>
              <w:rPr>
                <w:rFonts w:ascii="Calibri" w:cs="Calibri" w:eastAsia="Calibri" w:hAnsi="Calibri"/>
                <w:b/>
                <w:bCs/>
                <w:color w:val="FFFFFF"/>
                <w:sz w:val="18"/>
                <w:szCs w:val="18"/>
              </w:rPr>
              <w:t xml:space="preserve">Seats Included</w:t>
            </w:r>
          </w:p>
        </w:tc>
        <w:tc>
          <w:tcPr>
            <w:shd w:fill="0D1117" w:val="clear"/>
          </w:tcPr>
          <w:p>
            <w:pPr>
              <w:spacing w:after="60" w:before="60"/>
              <w:jc w:val="center"/>
            </w:pPr>
            <w:r>
              <w:rPr>
                <w:rFonts w:ascii="Calibri" w:cs="Calibri" w:eastAsia="Calibri" w:hAnsi="Calibri"/>
                <w:b/>
                <w:bCs/>
                <w:color w:val="FFFFFF"/>
                <w:sz w:val="18"/>
                <w:szCs w:val="18"/>
              </w:rPr>
              <w:t xml:space="preserve">Setup Fee</w:t>
            </w:r>
          </w:p>
        </w:tc>
      </w:tr>
      <w:tr>
        <w:tc>
          <w:tcPr>
            <w:shd w:fill="F4F6F8" w:val="clear"/>
          </w:tcPr>
          <w:p>
            <w:pPr>
              <w:spacing w:after="60" w:before="60"/>
              <w:jc w:val="left"/>
            </w:pPr>
            <w:r>
              <w:rPr>
                <w:rFonts w:ascii="Calibri" w:cs="Calibri" w:eastAsia="Calibri" w:hAnsi="Calibri"/>
                <w:b/>
                <w:bCs/>
                <w:color w:val="0B3D91"/>
                <w:sz w:val="18"/>
                <w:szCs w:val="18"/>
              </w:rPr>
              <w:t xml:space="preserve">Essential</w:t>
            </w:r>
          </w:p>
        </w:tc>
        <w:tc>
          <w:tcPr>
            <w:shd w:fill="F4F6F8" w:val="clear"/>
          </w:tcPr>
          <w:p>
            <w:pPr>
              <w:spacing w:after="60" w:before="60"/>
              <w:jc w:val="center"/>
            </w:pPr>
            <w:r>
              <w:rPr>
                <w:rFonts w:ascii="Calibri" w:cs="Calibri" w:eastAsia="Calibri" w:hAnsi="Calibri"/>
                <w:b w:val="false"/>
                <w:bCs w:val="false"/>
                <w:color w:val="0D1117"/>
                <w:sz w:val="18"/>
                <w:szCs w:val="18"/>
              </w:rPr>
              <w:t xml:space="preserve">$3,500–$7,500/mo</w:t>
            </w:r>
          </w:p>
        </w:tc>
        <w:tc>
          <w:tcPr>
            <w:shd w:fill="F4F6F8" w:val="clear"/>
          </w:tcPr>
          <w:p>
            <w:pPr>
              <w:spacing w:after="60" w:before="60"/>
              <w:jc w:val="center"/>
            </w:pPr>
            <w:r>
              <w:rPr>
                <w:rFonts w:ascii="Calibri" w:cs="Calibri" w:eastAsia="Calibri" w:hAnsi="Calibri"/>
                <w:b w:val="false"/>
                <w:bCs w:val="false"/>
                <w:color w:val="0D1117"/>
                <w:sz w:val="18"/>
                <w:szCs w:val="18"/>
              </w:rPr>
              <w:t xml:space="preserve">$42K–$90K/yr</w:t>
            </w:r>
          </w:p>
        </w:tc>
        <w:tc>
          <w:tcPr>
            <w:shd w:fill="F4F6F8" w:val="clear"/>
          </w:tcPr>
          <w:p>
            <w:pPr>
              <w:spacing w:after="60" w:before="60"/>
              <w:jc w:val="center"/>
            </w:pPr>
            <w:r>
              <w:rPr>
                <w:rFonts w:ascii="Calibri" w:cs="Calibri" w:eastAsia="Calibri" w:hAnsi="Calibri"/>
                <w:b w:val="false"/>
                <w:bCs w:val="false"/>
                <w:color w:val="0D1117"/>
                <w:sz w:val="18"/>
                <w:szCs w:val="18"/>
              </w:rPr>
              <w:t xml:space="preserve">Up to 10</w:t>
            </w:r>
          </w:p>
        </w:tc>
        <w:tc>
          <w:tcPr>
            <w:shd w:fill="F4F6F8" w:val="clear"/>
          </w:tcPr>
          <w:p>
            <w:pPr>
              <w:spacing w:after="60" w:before="60"/>
              <w:jc w:val="center"/>
            </w:pPr>
            <w:r>
              <w:rPr>
                <w:rFonts w:ascii="Calibri" w:cs="Calibri" w:eastAsia="Calibri" w:hAnsi="Calibri"/>
                <w:b w:val="false"/>
                <w:bCs w:val="false"/>
                <w:color w:val="0D1117"/>
                <w:sz w:val="18"/>
                <w:szCs w:val="18"/>
              </w:rPr>
              <w:t xml:space="preserve">$10K–$25K</w:t>
            </w:r>
          </w:p>
        </w:tc>
      </w:tr>
      <w:tr>
        <w:tc>
          <w:tcPr>
            <w:shd w:fill="FFFFFF" w:val="clear"/>
          </w:tcPr>
          <w:p>
            <w:pPr>
              <w:spacing w:after="60" w:before="60"/>
              <w:jc w:val="left"/>
            </w:pPr>
            <w:r>
              <w:rPr>
                <w:rFonts w:ascii="Calibri" w:cs="Calibri" w:eastAsia="Calibri" w:hAnsi="Calibri"/>
                <w:b/>
                <w:bCs/>
                <w:color w:val="0B3D91"/>
                <w:sz w:val="18"/>
                <w:szCs w:val="18"/>
              </w:rPr>
              <w:t xml:space="preserve">Professional</w:t>
            </w:r>
          </w:p>
        </w:tc>
        <w:tc>
          <w:tcPr>
            <w:shd w:fill="FFFFFF" w:val="clear"/>
          </w:tcPr>
          <w:p>
            <w:pPr>
              <w:spacing w:after="60" w:before="60"/>
              <w:jc w:val="center"/>
            </w:pPr>
            <w:r>
              <w:rPr>
                <w:rFonts w:ascii="Calibri" w:cs="Calibri" w:eastAsia="Calibri" w:hAnsi="Calibri"/>
                <w:b w:val="false"/>
                <w:bCs w:val="false"/>
                <w:color w:val="0D1117"/>
                <w:sz w:val="18"/>
                <w:szCs w:val="18"/>
              </w:rPr>
              <w:t xml:space="preserve">$8,500–$20,000/mo</w:t>
            </w:r>
          </w:p>
        </w:tc>
        <w:tc>
          <w:tcPr>
            <w:shd w:fill="FFFFFF" w:val="clear"/>
          </w:tcPr>
          <w:p>
            <w:pPr>
              <w:spacing w:after="60" w:before="60"/>
              <w:jc w:val="center"/>
            </w:pPr>
            <w:r>
              <w:rPr>
                <w:rFonts w:ascii="Calibri" w:cs="Calibri" w:eastAsia="Calibri" w:hAnsi="Calibri"/>
                <w:b w:val="false"/>
                <w:bCs w:val="false"/>
                <w:color w:val="0D1117"/>
                <w:sz w:val="18"/>
                <w:szCs w:val="18"/>
              </w:rPr>
              <w:t xml:space="preserve">$102K–$240K/yr</w:t>
            </w:r>
          </w:p>
        </w:tc>
        <w:tc>
          <w:tcPr>
            <w:shd w:fill="FFFFFF" w:val="clear"/>
          </w:tcPr>
          <w:p>
            <w:pPr>
              <w:spacing w:after="60" w:before="60"/>
              <w:jc w:val="center"/>
            </w:pPr>
            <w:r>
              <w:rPr>
                <w:rFonts w:ascii="Calibri" w:cs="Calibri" w:eastAsia="Calibri" w:hAnsi="Calibri"/>
                <w:b w:val="false"/>
                <w:bCs w:val="false"/>
                <w:color w:val="0D1117"/>
                <w:sz w:val="18"/>
                <w:szCs w:val="18"/>
              </w:rPr>
              <w:t xml:space="preserve">Up to 30</w:t>
            </w:r>
          </w:p>
        </w:tc>
        <w:tc>
          <w:tcPr>
            <w:shd w:fill="FFFFFF" w:val="clear"/>
          </w:tcPr>
          <w:p>
            <w:pPr>
              <w:spacing w:after="60" w:before="60"/>
              <w:jc w:val="center"/>
            </w:pPr>
            <w:r>
              <w:rPr>
                <w:rFonts w:ascii="Calibri" w:cs="Calibri" w:eastAsia="Calibri" w:hAnsi="Calibri"/>
                <w:b w:val="false"/>
                <w:bCs w:val="false"/>
                <w:color w:val="0D1117"/>
                <w:sz w:val="18"/>
                <w:szCs w:val="18"/>
              </w:rPr>
              <w:t xml:space="preserve">$25K–$75K</w:t>
            </w:r>
          </w:p>
        </w:tc>
      </w:tr>
      <w:tr>
        <w:tc>
          <w:tcPr>
            <w:shd w:fill="F4F6F8" w:val="clear"/>
          </w:tcPr>
          <w:p>
            <w:pPr>
              <w:spacing w:after="60" w:before="60"/>
              <w:jc w:val="left"/>
            </w:pPr>
            <w:r>
              <w:rPr>
                <w:rFonts w:ascii="Calibri" w:cs="Calibri" w:eastAsia="Calibri" w:hAnsi="Calibri"/>
                <w:b/>
                <w:bCs/>
                <w:color w:val="0B3D91"/>
                <w:sz w:val="18"/>
                <w:szCs w:val="18"/>
              </w:rPr>
              <w:t xml:space="preserve">Command</w:t>
            </w:r>
          </w:p>
        </w:tc>
        <w:tc>
          <w:tcPr>
            <w:shd w:fill="F4F6F8" w:val="clear"/>
          </w:tcPr>
          <w:p>
            <w:pPr>
              <w:spacing w:after="60" w:before="60"/>
              <w:jc w:val="center"/>
            </w:pPr>
            <w:r>
              <w:rPr>
                <w:rFonts w:ascii="Calibri" w:cs="Calibri" w:eastAsia="Calibri" w:hAnsi="Calibri"/>
                <w:b w:val="false"/>
                <w:bCs w:val="false"/>
                <w:color w:val="0D1117"/>
                <w:sz w:val="18"/>
                <w:szCs w:val="18"/>
              </w:rPr>
              <w:t xml:space="preserve">$22,500–$50,000/mo</w:t>
            </w:r>
          </w:p>
        </w:tc>
        <w:tc>
          <w:tcPr>
            <w:shd w:fill="F4F6F8" w:val="clear"/>
          </w:tcPr>
          <w:p>
            <w:pPr>
              <w:spacing w:after="60" w:before="60"/>
              <w:jc w:val="center"/>
            </w:pPr>
            <w:r>
              <w:rPr>
                <w:rFonts w:ascii="Calibri" w:cs="Calibri" w:eastAsia="Calibri" w:hAnsi="Calibri"/>
                <w:b w:val="false"/>
                <w:bCs w:val="false"/>
                <w:color w:val="0D1117"/>
                <w:sz w:val="18"/>
                <w:szCs w:val="18"/>
              </w:rPr>
              <w:t xml:space="preserve">$270K–$600K/yr</w:t>
            </w:r>
          </w:p>
        </w:tc>
        <w:tc>
          <w:tcPr>
            <w:shd w:fill="F4F6F8" w:val="clear"/>
          </w:tcPr>
          <w:p>
            <w:pPr>
              <w:spacing w:after="60" w:before="60"/>
              <w:jc w:val="center"/>
            </w:pPr>
            <w:r>
              <w:rPr>
                <w:rFonts w:ascii="Calibri" w:cs="Calibri" w:eastAsia="Calibri" w:hAnsi="Calibri"/>
                <w:b w:val="false"/>
                <w:bCs w:val="false"/>
                <w:color w:val="0D1117"/>
                <w:sz w:val="18"/>
                <w:szCs w:val="18"/>
              </w:rPr>
              <w:t xml:space="preserve">Up to 75</w:t>
            </w:r>
          </w:p>
        </w:tc>
        <w:tc>
          <w:tcPr>
            <w:shd w:fill="F4F6F8" w:val="clear"/>
          </w:tcPr>
          <w:p>
            <w:pPr>
              <w:spacing w:after="60" w:before="60"/>
              <w:jc w:val="center"/>
            </w:pPr>
            <w:r>
              <w:rPr>
                <w:rFonts w:ascii="Calibri" w:cs="Calibri" w:eastAsia="Calibri" w:hAnsi="Calibri"/>
                <w:b w:val="false"/>
                <w:bCs w:val="false"/>
                <w:color w:val="0D1117"/>
                <w:sz w:val="18"/>
                <w:szCs w:val="18"/>
              </w:rPr>
              <w:t xml:space="preserve">$75K–$150K</w:t>
            </w:r>
          </w:p>
        </w:tc>
      </w:tr>
      <w:tr>
        <w:tc>
          <w:tcPr>
            <w:shd w:fill="FFFFFF" w:val="clear"/>
          </w:tcPr>
          <w:p>
            <w:pPr>
              <w:spacing w:after="60" w:before="60"/>
              <w:jc w:val="left"/>
            </w:pPr>
            <w:r>
              <w:rPr>
                <w:rFonts w:ascii="Calibri" w:cs="Calibri" w:eastAsia="Calibri" w:hAnsi="Calibri"/>
                <w:b/>
                <w:bCs/>
                <w:color w:val="0B3D91"/>
                <w:sz w:val="18"/>
                <w:szCs w:val="18"/>
              </w:rPr>
              <w:t xml:space="preserve">Enterprise / Statewide</w:t>
            </w:r>
          </w:p>
        </w:tc>
        <w:tc>
          <w:tcPr>
            <w:shd w:fill="FFFFFF" w:val="clear"/>
          </w:tcPr>
          <w:p>
            <w:pPr>
              <w:spacing w:after="60" w:before="60"/>
              <w:jc w:val="center"/>
            </w:pPr>
            <w:r>
              <w:rPr>
                <w:rFonts w:ascii="Calibri" w:cs="Calibri" w:eastAsia="Calibri" w:hAnsi="Calibri"/>
                <w:b w:val="false"/>
                <w:bCs w:val="false"/>
                <w:color w:val="0D1117"/>
                <w:sz w:val="18"/>
                <w:szCs w:val="18"/>
              </w:rPr>
              <w:t xml:space="preserve">$60,000–$250,000+/mo</w:t>
            </w:r>
          </w:p>
        </w:tc>
        <w:tc>
          <w:tcPr>
            <w:shd w:fill="FFFFFF" w:val="clear"/>
          </w:tcPr>
          <w:p>
            <w:pPr>
              <w:spacing w:after="60" w:before="60"/>
              <w:jc w:val="center"/>
            </w:pPr>
            <w:r>
              <w:rPr>
                <w:rFonts w:ascii="Calibri" w:cs="Calibri" w:eastAsia="Calibri" w:hAnsi="Calibri"/>
                <w:b w:val="false"/>
                <w:bCs w:val="false"/>
                <w:color w:val="0D1117"/>
                <w:sz w:val="18"/>
                <w:szCs w:val="18"/>
              </w:rPr>
              <w:t xml:space="preserve">$720K–$3M+/yr</w:t>
            </w:r>
          </w:p>
        </w:tc>
        <w:tc>
          <w:tcPr>
            <w:shd w:fill="FFFFFF" w:val="clear"/>
          </w:tcPr>
          <w:p>
            <w:pPr>
              <w:spacing w:after="60" w:before="60"/>
              <w:jc w:val="center"/>
            </w:pPr>
            <w:r>
              <w:rPr>
                <w:rFonts w:ascii="Calibri" w:cs="Calibri" w:eastAsia="Calibri" w:hAnsi="Calibri"/>
                <w:b w:val="false"/>
                <w:bCs w:val="false"/>
                <w:color w:val="0D1117"/>
                <w:sz w:val="18"/>
                <w:szCs w:val="18"/>
              </w:rPr>
              <w:t xml:space="preserve">Custom</w:t>
            </w:r>
          </w:p>
        </w:tc>
        <w:tc>
          <w:tcPr>
            <w:shd w:fill="FFFFFF" w:val="clear"/>
          </w:tcPr>
          <w:p>
            <w:pPr>
              <w:spacing w:after="60" w:before="60"/>
              <w:jc w:val="center"/>
            </w:pPr>
            <w:r>
              <w:rPr>
                <w:rFonts w:ascii="Calibri" w:cs="Calibri" w:eastAsia="Calibri" w:hAnsi="Calibri"/>
                <w:b w:val="false"/>
                <w:bCs w:val="false"/>
                <w:color w:val="0D1117"/>
                <w:sz w:val="18"/>
                <w:szCs w:val="18"/>
              </w:rPr>
              <w:t xml:space="preserve">$150K–$750K+</w:t>
            </w:r>
          </w:p>
        </w:tc>
      </w:tr>
    </w:tbl>
    <w:p>
      <w:pPr>
        <w:spacing w:after="200"/>
      </w:pPr>
      <w:r>
        <w:t xml:space="preserve"/>
      </w:r>
    </w:p>
    <w:p>
      <w:pPr>
        <w:spacing w:after="80" w:before="280"/>
      </w:pPr>
      <w:r>
        <w:rPr>
          <w:rFonts w:ascii="Calibri" w:cs="Calibri" w:eastAsia="Calibri" w:hAnsi="Calibri"/>
          <w:b/>
          <w:bCs/>
          <w:color w:val="0D1117"/>
          <w:sz w:val="26"/>
          <w:szCs w:val="26"/>
        </w:rPr>
        <w:t xml:space="preserve">5.2  Competitive Pricing Benchmarks</w:t>
      </w:r>
    </w:p>
    <w:p>
      <w:pPr>
        <w:spacing w:after="100"/>
        <w:jc w:val="both"/>
      </w:pPr>
      <w:r>
        <w:rPr>
          <w:rFonts w:ascii="Calibri" w:cs="Calibri" w:eastAsia="Calibri" w:hAnsi="Calibri"/>
          <w:color w:val="0D1117"/>
          <w:sz w:val="20"/>
          <w:szCs w:val="20"/>
        </w:rPr>
        <w:t xml:space="preserve">The following represents the best available public and estimated pricing data for competitor products as of July 2026. All competitor pricing is estimated from public contracts, analyst reports, and procurement signals.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shd w:fill="0B3D91" w:val="clear"/>
          </w:tcPr>
          <w:p>
            <w:pPr>
              <w:spacing w:after="60" w:before="60"/>
            </w:pPr>
            <w:r>
              <w:rPr>
                <w:rFonts w:ascii="Calibri" w:cs="Calibri" w:eastAsia="Calibri" w:hAnsi="Calibri"/>
                <w:b/>
                <w:bCs/>
                <w:color w:val="FFFFFF"/>
                <w:sz w:val="18"/>
                <w:szCs w:val="18"/>
              </w:rPr>
              <w:t xml:space="preserve">Vendor / Product</w:t>
            </w:r>
          </w:p>
        </w:tc>
        <w:tc>
          <w:tcPr>
            <w:shd w:fill="0B3D91" w:val="clear"/>
          </w:tcPr>
          <w:p>
            <w:pPr>
              <w:spacing w:after="60" w:before="60"/>
              <w:jc w:val="center"/>
            </w:pPr>
            <w:r>
              <w:rPr>
                <w:rFonts w:ascii="Calibri" w:cs="Calibri" w:eastAsia="Calibri" w:hAnsi="Calibri"/>
                <w:b/>
                <w:bCs/>
                <w:color w:val="FFFFFF"/>
                <w:sz w:val="18"/>
                <w:szCs w:val="18"/>
              </w:rPr>
              <w:t xml:space="preserve">Estimated Annual Cost</w:t>
            </w:r>
          </w:p>
        </w:tc>
        <w:tc>
          <w:tcPr>
            <w:shd w:fill="0B3D91" w:val="clear"/>
          </w:tcPr>
          <w:p>
            <w:pPr>
              <w:spacing w:after="60" w:before="60"/>
              <w:jc w:val="center"/>
            </w:pPr>
            <w:r>
              <w:rPr>
                <w:rFonts w:ascii="Calibri" w:cs="Calibri" w:eastAsia="Calibri" w:hAnsi="Calibri"/>
                <w:b/>
                <w:bCs/>
                <w:color w:val="FFFFFF"/>
                <w:sz w:val="18"/>
                <w:szCs w:val="18"/>
              </w:rPr>
              <w:t xml:space="preserve">What You Get</w:t>
            </w:r>
          </w:p>
        </w:tc>
        <w:tc>
          <w:tcPr>
            <w:shd w:fill="0B3D91" w:val="clear"/>
          </w:tcPr>
          <w:p>
            <w:pPr>
              <w:spacing w:after="60" w:before="60"/>
              <w:jc w:val="center"/>
            </w:pPr>
            <w:r>
              <w:rPr>
                <w:rFonts w:ascii="Calibri" w:cs="Calibri" w:eastAsia="Calibri" w:hAnsi="Calibri"/>
                <w:b/>
                <w:bCs/>
                <w:color w:val="FFFFFF"/>
                <w:sz w:val="18"/>
                <w:szCs w:val="18"/>
              </w:rPr>
              <w:t xml:space="preserve">vs. RC</w:t>
            </w:r>
          </w:p>
        </w:tc>
      </w:tr>
      <w:tr>
        <w:tc>
          <w:tcPr>
            <w:shd w:fill="F4F6F8" w:val="clear"/>
          </w:tcPr>
          <w:p>
            <w:pPr>
              <w:spacing w:after="60" w:before="60"/>
              <w:jc w:val="left"/>
            </w:pPr>
            <w:r>
              <w:rPr>
                <w:rFonts w:ascii="Calibri" w:cs="Calibri" w:eastAsia="Calibri" w:hAnsi="Calibri"/>
                <w:b/>
                <w:bCs/>
                <w:color w:val="0B3D91"/>
                <w:sz w:val="18"/>
                <w:szCs w:val="18"/>
              </w:rPr>
              <w:t xml:space="preserve">GovWorx CommsCoach</w:t>
            </w:r>
          </w:p>
        </w:tc>
        <w:tc>
          <w:tcPr>
            <w:shd w:fill="F4F6F8" w:val="clear"/>
          </w:tcPr>
          <w:p>
            <w:pPr>
              <w:spacing w:after="60" w:before="60"/>
              <w:jc w:val="center"/>
            </w:pPr>
            <w:r>
              <w:rPr>
                <w:rFonts w:ascii="Calibri" w:cs="Calibri" w:eastAsia="Calibri" w:hAnsi="Calibri"/>
                <w:b w:val="false"/>
                <w:bCs w:val="false"/>
                <w:color w:val="0D1117"/>
                <w:sz w:val="18"/>
                <w:szCs w:val="18"/>
              </w:rPr>
              <w:t xml:space="preserve">$40K–$120K/yr</w:t>
            </w:r>
          </w:p>
        </w:tc>
        <w:tc>
          <w:tcPr>
            <w:shd w:fill="F4F6F8" w:val="clear"/>
          </w:tcPr>
          <w:p>
            <w:pPr>
              <w:spacing w:after="60" w:before="60"/>
              <w:jc w:val="center"/>
            </w:pPr>
            <w:r>
              <w:rPr>
                <w:rFonts w:ascii="Calibri" w:cs="Calibri" w:eastAsia="Calibri" w:hAnsi="Calibri"/>
                <w:b w:val="false"/>
                <w:bCs w:val="false"/>
                <w:color w:val="0D1117"/>
                <w:sz w:val="18"/>
                <w:szCs w:val="18"/>
              </w:rPr>
              <w:t xml:space="preserve">QA + training + coaching only</w:t>
            </w:r>
          </w:p>
        </w:tc>
        <w:tc>
          <w:tcPr>
            <w:shd w:fill="F4F6F8" w:val="clear"/>
          </w:tcPr>
          <w:p>
            <w:pPr>
              <w:spacing w:after="60" w:before="60"/>
              <w:jc w:val="center"/>
            </w:pPr>
            <w:r>
              <w:rPr>
                <w:rFonts w:ascii="Calibri" w:cs="Calibri" w:eastAsia="Calibri" w:hAnsi="Calibri"/>
                <w:b w:val="false"/>
                <w:bCs w:val="false"/>
                <w:color w:val="0D1117"/>
                <w:sz w:val="18"/>
                <w:szCs w:val="18"/>
              </w:rPr>
              <w:t xml:space="preserve">RC bundles QA plus full operational intelligence platform</w:t>
            </w:r>
          </w:p>
        </w:tc>
      </w:tr>
      <w:tr>
        <w:tc>
          <w:tcPr>
            <w:shd w:fill="FFFFFF" w:val="clear"/>
          </w:tcPr>
          <w:p>
            <w:pPr>
              <w:spacing w:after="60" w:before="60"/>
              <w:jc w:val="left"/>
            </w:pPr>
            <w:r>
              <w:rPr>
                <w:rFonts w:ascii="Calibri" w:cs="Calibri" w:eastAsia="Calibri" w:hAnsi="Calibri"/>
                <w:b/>
                <w:bCs/>
                <w:color w:val="0B3D91"/>
                <w:sz w:val="18"/>
                <w:szCs w:val="18"/>
              </w:rPr>
              <w:t xml:space="preserve">Axon Prepared (bundled)</w:t>
            </w:r>
          </w:p>
        </w:tc>
        <w:tc>
          <w:tcPr>
            <w:shd w:fill="FFFFFF" w:val="clear"/>
          </w:tcPr>
          <w:p>
            <w:pPr>
              <w:spacing w:after="60" w:before="60"/>
              <w:jc w:val="center"/>
            </w:pPr>
            <w:r>
              <w:rPr>
                <w:rFonts w:ascii="Calibri" w:cs="Calibri" w:eastAsia="Calibri" w:hAnsi="Calibri"/>
                <w:b w:val="false"/>
                <w:bCs w:val="false"/>
                <w:color w:val="0D1117"/>
                <w:sz w:val="18"/>
                <w:szCs w:val="18"/>
              </w:rPr>
              <w:t xml:space="preserve">Bundled w/ OSP plans — not standalone</w:t>
            </w:r>
          </w:p>
        </w:tc>
        <w:tc>
          <w:tcPr>
            <w:shd w:fill="FFFFFF" w:val="clear"/>
          </w:tcPr>
          <w:p>
            <w:pPr>
              <w:spacing w:after="60" w:before="60"/>
              <w:jc w:val="center"/>
            </w:pPr>
            <w:r>
              <w:rPr>
                <w:rFonts w:ascii="Calibri" w:cs="Calibri" w:eastAsia="Calibri" w:hAnsi="Calibri"/>
                <w:b w:val="false"/>
                <w:bCs w:val="false"/>
                <w:color w:val="0D1117"/>
                <w:sz w:val="18"/>
                <w:szCs w:val="18"/>
              </w:rPr>
              <w:t xml:space="preserve">AI transcription, triage, QA</w:t>
            </w:r>
          </w:p>
        </w:tc>
        <w:tc>
          <w:tcPr>
            <w:shd w:fill="FFFFFF" w:val="clear"/>
          </w:tcPr>
          <w:p>
            <w:pPr>
              <w:spacing w:after="60" w:before="60"/>
              <w:jc w:val="center"/>
            </w:pPr>
            <w:r>
              <w:rPr>
                <w:rFonts w:ascii="Calibri" w:cs="Calibri" w:eastAsia="Calibri" w:hAnsi="Calibri"/>
                <w:b w:val="false"/>
                <w:bCs w:val="false"/>
                <w:color w:val="0D1117"/>
                <w:sz w:val="18"/>
                <w:szCs w:val="18"/>
              </w:rPr>
              <w:t xml:space="preserve">RC is standalone; no Axon hardware required</w:t>
            </w:r>
          </w:p>
        </w:tc>
      </w:tr>
      <w:tr>
        <w:tc>
          <w:tcPr>
            <w:shd w:fill="F4F6F8" w:val="clear"/>
          </w:tcPr>
          <w:p>
            <w:pPr>
              <w:spacing w:after="60" w:before="60"/>
              <w:jc w:val="left"/>
            </w:pPr>
            <w:r>
              <w:rPr>
                <w:rFonts w:ascii="Calibri" w:cs="Calibri" w:eastAsia="Calibri" w:hAnsi="Calibri"/>
                <w:b/>
                <w:bCs/>
                <w:color w:val="0B3D91"/>
                <w:sz w:val="18"/>
                <w:szCs w:val="18"/>
              </w:rPr>
              <w:t xml:space="preserve">Axon Full Platform (mid-size dept.)</w:t>
            </w:r>
          </w:p>
        </w:tc>
        <w:tc>
          <w:tcPr>
            <w:shd w:fill="F4F6F8" w:val="clear"/>
          </w:tcPr>
          <w:p>
            <w:pPr>
              <w:spacing w:after="60" w:before="60"/>
              <w:jc w:val="center"/>
            </w:pPr>
            <w:r>
              <w:rPr>
                <w:rFonts w:ascii="Calibri" w:cs="Calibri" w:eastAsia="Calibri" w:hAnsi="Calibri"/>
                <w:b w:val="false"/>
                <w:bCs w:val="false"/>
                <w:color w:val="0D1117"/>
                <w:sz w:val="18"/>
                <w:szCs w:val="18"/>
              </w:rPr>
              <w:t xml:space="preserve">$200K–$250K/yr</w:t>
            </w:r>
          </w:p>
        </w:tc>
        <w:tc>
          <w:tcPr>
            <w:shd w:fill="F4F6F8" w:val="clear"/>
          </w:tcPr>
          <w:p>
            <w:pPr>
              <w:spacing w:after="60" w:before="60"/>
              <w:jc w:val="center"/>
            </w:pPr>
            <w:r>
              <w:rPr>
                <w:rFonts w:ascii="Calibri" w:cs="Calibri" w:eastAsia="Calibri" w:hAnsi="Calibri"/>
                <w:b w:val="false"/>
                <w:bCs w:val="false"/>
                <w:color w:val="0D1117"/>
                <w:sz w:val="18"/>
                <w:szCs w:val="18"/>
              </w:rPr>
              <w:t xml:space="preserve">Body cams + TASER + AI + evidence</w:t>
            </w:r>
          </w:p>
        </w:tc>
        <w:tc>
          <w:tcPr>
            <w:shd w:fill="F4F6F8" w:val="clear"/>
          </w:tcPr>
          <w:p>
            <w:pPr>
              <w:spacing w:after="60" w:before="60"/>
              <w:jc w:val="center"/>
            </w:pPr>
            <w:r>
              <w:rPr>
                <w:rFonts w:ascii="Calibri" w:cs="Calibri" w:eastAsia="Calibri" w:hAnsi="Calibri"/>
                <w:b w:val="false"/>
                <w:bCs w:val="false"/>
                <w:color w:val="0D1117"/>
                <w:sz w:val="18"/>
                <w:szCs w:val="18"/>
              </w:rPr>
              <w:t xml:space="preserve">RC is software-only; no hardware mandate</w:t>
            </w:r>
          </w:p>
        </w:tc>
      </w:tr>
      <w:tr>
        <w:tc>
          <w:tcPr>
            <w:shd w:fill="FFFFFF" w:val="clear"/>
          </w:tcPr>
          <w:p>
            <w:pPr>
              <w:spacing w:after="60" w:before="60"/>
              <w:jc w:val="left"/>
            </w:pPr>
            <w:r>
              <w:rPr>
                <w:rFonts w:ascii="Calibri" w:cs="Calibri" w:eastAsia="Calibri" w:hAnsi="Calibri"/>
                <w:b/>
                <w:bCs/>
                <w:color w:val="0B3D91"/>
                <w:sz w:val="18"/>
                <w:szCs w:val="18"/>
              </w:rPr>
              <w:t xml:space="preserve">RapidSOS Portal</w:t>
            </w:r>
          </w:p>
        </w:tc>
        <w:tc>
          <w:tcPr>
            <w:shd w:fill="FFFFFF" w:val="clear"/>
          </w:tcPr>
          <w:p>
            <w:pPr>
              <w:spacing w:after="60" w:before="60"/>
              <w:jc w:val="center"/>
            </w:pPr>
            <w:r>
              <w:rPr>
                <w:rFonts w:ascii="Calibri" w:cs="Calibri" w:eastAsia="Calibri" w:hAnsi="Calibri"/>
                <w:b w:val="false"/>
                <w:bCs w:val="false"/>
                <w:color w:val="0D1117"/>
                <w:sz w:val="18"/>
                <w:szCs w:val="18"/>
              </w:rPr>
              <w:t xml:space="preserve">Free (limited)</w:t>
            </w:r>
          </w:p>
        </w:tc>
        <w:tc>
          <w:tcPr>
            <w:shd w:fill="FFFFFF" w:val="clear"/>
          </w:tcPr>
          <w:p>
            <w:pPr>
              <w:spacing w:after="60" w:before="60"/>
              <w:jc w:val="center"/>
            </w:pPr>
            <w:r>
              <w:rPr>
                <w:rFonts w:ascii="Calibri" w:cs="Calibri" w:eastAsia="Calibri" w:hAnsi="Calibri"/>
                <w:b w:val="false"/>
                <w:bCs w:val="false"/>
                <w:color w:val="0D1117"/>
                <w:sz w:val="18"/>
                <w:szCs w:val="18"/>
              </w:rPr>
              <w:t xml:space="preserve">Real-time caller data overlay only</w:t>
            </w:r>
          </w:p>
        </w:tc>
        <w:tc>
          <w:tcPr>
            <w:shd w:fill="FFFFFF" w:val="clear"/>
          </w:tcPr>
          <w:p>
            <w:pPr>
              <w:spacing w:after="60" w:before="60"/>
              <w:jc w:val="center"/>
            </w:pPr>
            <w:r>
              <w:rPr>
                <w:rFonts w:ascii="Calibri" w:cs="Calibri" w:eastAsia="Calibri" w:hAnsi="Calibri"/>
                <w:b w:val="false"/>
                <w:bCs w:val="false"/>
                <w:color w:val="0D1117"/>
                <w:sz w:val="18"/>
                <w:szCs w:val="18"/>
              </w:rPr>
              <w:t xml:space="preserve">RC delivers operational intelligence, not just data overlay</w:t>
            </w:r>
          </w:p>
        </w:tc>
      </w:tr>
      <w:tr>
        <w:tc>
          <w:tcPr>
            <w:shd w:fill="F4F6F8" w:val="clear"/>
          </w:tcPr>
          <w:p>
            <w:pPr>
              <w:spacing w:after="60" w:before="60"/>
              <w:jc w:val="left"/>
            </w:pPr>
            <w:r>
              <w:rPr>
                <w:rFonts w:ascii="Calibri" w:cs="Calibri" w:eastAsia="Calibri" w:hAnsi="Calibri"/>
                <w:b/>
                <w:bCs/>
                <w:color w:val="0B3D91"/>
                <w:sz w:val="18"/>
                <w:szCs w:val="18"/>
              </w:rPr>
              <w:t xml:space="preserve">RapidSOS UNITE</w:t>
            </w:r>
          </w:p>
        </w:tc>
        <w:tc>
          <w:tcPr>
            <w:shd w:fill="F4F6F8" w:val="clear"/>
          </w:tcPr>
          <w:p>
            <w:pPr>
              <w:spacing w:after="60" w:before="60"/>
              <w:jc w:val="center"/>
            </w:pPr>
            <w:r>
              <w:rPr>
                <w:rFonts w:ascii="Calibri" w:cs="Calibri" w:eastAsia="Calibri" w:hAnsi="Calibri"/>
                <w:b w:val="false"/>
                <w:bCs w:val="false"/>
                <w:color w:val="0D1117"/>
                <w:sz w:val="18"/>
                <w:szCs w:val="18"/>
              </w:rPr>
              <w:t xml:space="preserve">Custom / agency-scaled</w:t>
            </w:r>
          </w:p>
        </w:tc>
        <w:tc>
          <w:tcPr>
            <w:shd w:fill="F4F6F8" w:val="clear"/>
          </w:tcPr>
          <w:p>
            <w:pPr>
              <w:spacing w:after="60" w:before="60"/>
              <w:jc w:val="center"/>
            </w:pPr>
            <w:r>
              <w:rPr>
                <w:rFonts w:ascii="Calibri" w:cs="Calibri" w:eastAsia="Calibri" w:hAnsi="Calibri"/>
                <w:b w:val="false"/>
                <w:bCs w:val="false"/>
                <w:color w:val="0D1117"/>
                <w:sz w:val="18"/>
                <w:szCs w:val="18"/>
              </w:rPr>
              <w:t xml:space="preserve">Full ECC AI platform</w:t>
            </w:r>
          </w:p>
        </w:tc>
        <w:tc>
          <w:tcPr>
            <w:shd w:fill="F4F6F8" w:val="clear"/>
          </w:tcPr>
          <w:p>
            <w:pPr>
              <w:spacing w:after="60" w:before="60"/>
              <w:jc w:val="center"/>
            </w:pPr>
            <w:r>
              <w:rPr>
                <w:rFonts w:ascii="Calibri" w:cs="Calibri" w:eastAsia="Calibri" w:hAnsi="Calibri"/>
                <w:b w:val="false"/>
                <w:bCs w:val="false"/>
                <w:color w:val="0D1117"/>
                <w:sz w:val="18"/>
                <w:szCs w:val="18"/>
              </w:rPr>
              <w:t xml:space="preserve">Comparable; RC adds command/war room depth, multi-vertical</w:t>
            </w:r>
          </w:p>
        </w:tc>
      </w:tr>
      <w:tr>
        <w:tc>
          <w:tcPr>
            <w:shd w:fill="FFFFFF" w:val="clear"/>
          </w:tcPr>
          <w:p>
            <w:pPr>
              <w:spacing w:after="60" w:before="60"/>
              <w:jc w:val="left"/>
            </w:pPr>
            <w:r>
              <w:rPr>
                <w:rFonts w:ascii="Calibri" w:cs="Calibri" w:eastAsia="Calibri" w:hAnsi="Calibri"/>
                <w:b/>
                <w:bCs/>
                <w:color w:val="0B3D91"/>
                <w:sz w:val="18"/>
                <w:szCs w:val="18"/>
              </w:rPr>
              <w:t xml:space="preserve">Motorola AI Layer (add-on)</w:t>
            </w:r>
          </w:p>
        </w:tc>
        <w:tc>
          <w:tcPr>
            <w:shd w:fill="FFFFFF" w:val="clear"/>
          </w:tcPr>
          <w:p>
            <w:pPr>
              <w:spacing w:after="60" w:before="60"/>
              <w:jc w:val="center"/>
            </w:pPr>
            <w:r>
              <w:rPr>
                <w:rFonts w:ascii="Calibri" w:cs="Calibri" w:eastAsia="Calibri" w:hAnsi="Calibri"/>
                <w:b w:val="false"/>
                <w:bCs w:val="false"/>
                <w:color w:val="0D1117"/>
                <w:sz w:val="18"/>
                <w:szCs w:val="18"/>
              </w:rPr>
              <w:t xml:space="preserve">$200K–$500K+/yr</w:t>
            </w:r>
          </w:p>
        </w:tc>
        <w:tc>
          <w:tcPr>
            <w:shd w:fill="FFFFFF" w:val="clear"/>
          </w:tcPr>
          <w:p>
            <w:pPr>
              <w:spacing w:after="60" w:before="60"/>
              <w:jc w:val="center"/>
            </w:pPr>
            <w:r>
              <w:rPr>
                <w:rFonts w:ascii="Calibri" w:cs="Calibri" w:eastAsia="Calibri" w:hAnsi="Calibri"/>
                <w:b w:val="false"/>
                <w:bCs w:val="false"/>
                <w:color w:val="0D1117"/>
                <w:sz w:val="18"/>
                <w:szCs w:val="18"/>
              </w:rPr>
              <w:t xml:space="preserve">CAD-native AI (transcript, triage)</w:t>
            </w:r>
          </w:p>
        </w:tc>
        <w:tc>
          <w:tcPr>
            <w:shd w:fill="FFFFFF" w:val="clear"/>
          </w:tcPr>
          <w:p>
            <w:pPr>
              <w:spacing w:after="60" w:before="60"/>
              <w:jc w:val="center"/>
            </w:pPr>
            <w:r>
              <w:rPr>
                <w:rFonts w:ascii="Calibri" w:cs="Calibri" w:eastAsia="Calibri" w:hAnsi="Calibri"/>
                <w:b w:val="false"/>
                <w:bCs w:val="false"/>
                <w:color w:val="0D1117"/>
                <w:sz w:val="18"/>
                <w:szCs w:val="18"/>
              </w:rPr>
              <w:t xml:space="preserve">RC is CAD-agnostic; Motorola requires Motorola CAD</w:t>
            </w:r>
          </w:p>
        </w:tc>
      </w:tr>
      <w:tr>
        <w:tc>
          <w:tcPr>
            <w:shd w:fill="F4F6F8" w:val="clear"/>
          </w:tcPr>
          <w:p>
            <w:pPr>
              <w:spacing w:after="60" w:before="60"/>
              <w:jc w:val="left"/>
            </w:pPr>
            <w:r>
              <w:rPr>
                <w:rFonts w:ascii="Calibri" w:cs="Calibri" w:eastAsia="Calibri" w:hAnsi="Calibri"/>
                <w:b/>
                <w:bCs/>
                <w:color w:val="0B3D91"/>
                <w:sz w:val="18"/>
                <w:szCs w:val="18"/>
              </w:rPr>
              <w:t xml:space="preserve">Tyler Tech CAD + AI</w:t>
            </w:r>
          </w:p>
        </w:tc>
        <w:tc>
          <w:tcPr>
            <w:shd w:fill="F4F6F8" w:val="clear"/>
          </w:tcPr>
          <w:p>
            <w:pPr>
              <w:spacing w:after="60" w:before="60"/>
              <w:jc w:val="center"/>
            </w:pPr>
            <w:r>
              <w:rPr>
                <w:rFonts w:ascii="Calibri" w:cs="Calibri" w:eastAsia="Calibri" w:hAnsi="Calibri"/>
                <w:b w:val="false"/>
                <w:bCs w:val="false"/>
                <w:color w:val="0D1117"/>
                <w:sz w:val="18"/>
                <w:szCs w:val="18"/>
              </w:rPr>
              <w:t xml:space="preserve">$150K–$400K/yr (7-yr SaaS)</w:t>
            </w:r>
          </w:p>
        </w:tc>
        <w:tc>
          <w:tcPr>
            <w:shd w:fill="F4F6F8" w:val="clear"/>
          </w:tcPr>
          <w:p>
            <w:pPr>
              <w:spacing w:after="60" w:before="60"/>
              <w:jc w:val="center"/>
            </w:pPr>
            <w:r>
              <w:rPr>
                <w:rFonts w:ascii="Calibri" w:cs="Calibri" w:eastAsia="Calibri" w:hAnsi="Calibri"/>
                <w:b w:val="false"/>
                <w:bCs w:val="false"/>
                <w:color w:val="0D1117"/>
                <w:sz w:val="18"/>
                <w:szCs w:val="18"/>
              </w:rPr>
              <w:t xml:space="preserve">CAD + RMS + AI dispatch assist</w:t>
            </w:r>
          </w:p>
        </w:tc>
        <w:tc>
          <w:tcPr>
            <w:shd w:fill="F4F6F8" w:val="clear"/>
          </w:tcPr>
          <w:p>
            <w:pPr>
              <w:spacing w:after="60" w:before="60"/>
              <w:jc w:val="center"/>
            </w:pPr>
            <w:r>
              <w:rPr>
                <w:rFonts w:ascii="Calibri" w:cs="Calibri" w:eastAsia="Calibri" w:hAnsi="Calibri"/>
                <w:b w:val="false"/>
                <w:bCs w:val="false"/>
                <w:color w:val="0D1117"/>
                <w:sz w:val="18"/>
                <w:szCs w:val="18"/>
              </w:rPr>
              <w:t xml:space="preserve">RC is AI augmentation layer; complements Tyler, not replaces</w:t>
            </w:r>
          </w:p>
        </w:tc>
      </w:tr>
      <w:tr>
        <w:tc>
          <w:tcPr>
            <w:shd w:fill="FFFFFF" w:val="clear"/>
          </w:tcPr>
          <w:p>
            <w:pPr>
              <w:spacing w:after="60" w:before="60"/>
              <w:jc w:val="left"/>
            </w:pPr>
            <w:r>
              <w:rPr>
                <w:rFonts w:ascii="Calibri" w:cs="Calibri" w:eastAsia="Calibri" w:hAnsi="Calibri"/>
                <w:b/>
                <w:bCs/>
                <w:color w:val="0B3D91"/>
                <w:sz w:val="18"/>
                <w:szCs w:val="18"/>
              </w:rPr>
              <w:t xml:space="preserve">CentralSquare AI</w:t>
            </w:r>
          </w:p>
        </w:tc>
        <w:tc>
          <w:tcPr>
            <w:shd w:fill="FFFFFF" w:val="clear"/>
          </w:tcPr>
          <w:p>
            <w:pPr>
              <w:spacing w:after="60" w:before="60"/>
              <w:jc w:val="center"/>
            </w:pPr>
            <w:r>
              <w:rPr>
                <w:rFonts w:ascii="Calibri" w:cs="Calibri" w:eastAsia="Calibri" w:hAnsi="Calibri"/>
                <w:b w:val="false"/>
                <w:bCs w:val="false"/>
                <w:color w:val="0D1117"/>
                <w:sz w:val="18"/>
                <w:szCs w:val="18"/>
              </w:rPr>
              <w:t xml:space="preserve">$100K–$300K/yr est.</w:t>
            </w:r>
          </w:p>
        </w:tc>
        <w:tc>
          <w:tcPr>
            <w:shd w:fill="FFFFFF" w:val="clear"/>
          </w:tcPr>
          <w:p>
            <w:pPr>
              <w:spacing w:after="60" w:before="60"/>
              <w:jc w:val="center"/>
            </w:pPr>
            <w:r>
              <w:rPr>
                <w:rFonts w:ascii="Calibri" w:cs="Calibri" w:eastAsia="Calibri" w:hAnsi="Calibri"/>
                <w:b w:val="false"/>
                <w:bCs w:val="false"/>
                <w:color w:val="0D1117"/>
                <w:sz w:val="18"/>
                <w:szCs w:val="18"/>
              </w:rPr>
              <w:t xml:space="preserve">Centerline AI agents in CAD workflow</w:t>
            </w:r>
          </w:p>
        </w:tc>
        <w:tc>
          <w:tcPr>
            <w:shd w:fill="FFFFFF" w:val="clear"/>
          </w:tcPr>
          <w:p>
            <w:pPr>
              <w:spacing w:after="60" w:before="60"/>
              <w:jc w:val="center"/>
            </w:pPr>
            <w:r>
              <w:rPr>
                <w:rFonts w:ascii="Calibri" w:cs="Calibri" w:eastAsia="Calibri" w:hAnsi="Calibri"/>
                <w:b w:val="false"/>
                <w:bCs w:val="false"/>
                <w:color w:val="0D1117"/>
                <w:sz w:val="18"/>
                <w:szCs w:val="18"/>
              </w:rPr>
              <w:t xml:space="preserve">RC is standalone; can serve agencies moving off CentralSquare</w:t>
            </w:r>
          </w:p>
        </w:tc>
      </w:tr>
      <w:tr>
        <w:tc>
          <w:tcPr>
            <w:shd w:fill="F4F6F8" w:val="clear"/>
          </w:tcPr>
          <w:p>
            <w:pPr>
              <w:spacing w:after="60" w:before="60"/>
              <w:jc w:val="left"/>
            </w:pPr>
            <w:r>
              <w:rPr>
                <w:rFonts w:ascii="Calibri" w:cs="Calibri" w:eastAsia="Calibri" w:hAnsi="Calibri"/>
                <w:b/>
                <w:bCs/>
                <w:color w:val="0B3D91"/>
                <w:sz w:val="18"/>
                <w:szCs w:val="18"/>
              </w:rPr>
              <w:t xml:space="preserve">NICE Public Safety</w:t>
            </w:r>
          </w:p>
        </w:tc>
        <w:tc>
          <w:tcPr>
            <w:shd w:fill="F4F6F8" w:val="clear"/>
          </w:tcPr>
          <w:p>
            <w:pPr>
              <w:spacing w:after="60" w:before="60"/>
              <w:jc w:val="center"/>
            </w:pPr>
            <w:r>
              <w:rPr>
                <w:rFonts w:ascii="Calibri" w:cs="Calibri" w:eastAsia="Calibri" w:hAnsi="Calibri"/>
                <w:b w:val="false"/>
                <w:bCs w:val="false"/>
                <w:color w:val="0D1117"/>
                <w:sz w:val="18"/>
                <w:szCs w:val="18"/>
              </w:rPr>
              <w:t xml:space="preserve">$500K–$2M+/yr</w:t>
            </w:r>
          </w:p>
        </w:tc>
        <w:tc>
          <w:tcPr>
            <w:shd w:fill="F4F6F8" w:val="clear"/>
          </w:tcPr>
          <w:p>
            <w:pPr>
              <w:spacing w:after="60" w:before="60"/>
              <w:jc w:val="center"/>
            </w:pPr>
            <w:r>
              <w:rPr>
                <w:rFonts w:ascii="Calibri" w:cs="Calibri" w:eastAsia="Calibri" w:hAnsi="Calibri"/>
                <w:b w:val="false"/>
                <w:bCs w:val="false"/>
                <w:color w:val="0D1117"/>
                <w:sz w:val="18"/>
                <w:szCs w:val="18"/>
              </w:rPr>
              <w:t xml:space="preserve">Enterprise QA, evidence mgmt</w:t>
            </w:r>
          </w:p>
        </w:tc>
        <w:tc>
          <w:tcPr>
            <w:shd w:fill="F4F6F8" w:val="clear"/>
          </w:tcPr>
          <w:p>
            <w:pPr>
              <w:spacing w:after="60" w:before="60"/>
              <w:jc w:val="center"/>
            </w:pPr>
            <w:r>
              <w:rPr>
                <w:rFonts w:ascii="Calibri" w:cs="Calibri" w:eastAsia="Calibri" w:hAnsi="Calibri"/>
                <w:b w:val="false"/>
                <w:bCs w:val="false"/>
                <w:color w:val="0D1117"/>
                <w:sz w:val="18"/>
                <w:szCs w:val="18"/>
              </w:rPr>
              <w:t xml:space="preserve">RC enters at a fraction of NICE cost with mission-specific design</w:t>
            </w:r>
          </w:p>
        </w:tc>
      </w:tr>
    </w:tbl>
    <w:p>
      <w:pPr>
        <w:spacing w:after="200"/>
      </w:pPr>
      <w:r>
        <w:t xml:space="preserve"/>
      </w:r>
    </w:p>
    <w:p>
      <w:pPr>
        <w:spacing w:after="80" w:before="280"/>
      </w:pPr>
      <w:r>
        <w:rPr>
          <w:rFonts w:ascii="Calibri" w:cs="Calibri" w:eastAsia="Calibri" w:hAnsi="Calibri"/>
          <w:b/>
          <w:bCs/>
          <w:color w:val="0D1117"/>
          <w:sz w:val="26"/>
          <w:szCs w:val="26"/>
        </w:rPr>
        <w:t xml:space="preserve">5.3  Where RC Sits in the Pricing Landscape</w:t>
      </w:r>
    </w:p>
    <w:p>
      <w:pPr>
        <w:spacing w:after="120"/>
      </w:pPr>
      <w:r>
        <w:t xml:space="preserve"/>
      </w:r>
    </w:p>
    <w:p>
      <w:pPr>
        <w:spacing w:after="100"/>
        <w:jc w:val="both"/>
      </w:pPr>
      <w:r>
        <w:rPr>
          <w:rFonts w:ascii="Calibri" w:cs="Calibri" w:eastAsia="Calibri" w:hAnsi="Calibri"/>
          <w:color w:val="0D1117"/>
          <w:sz w:val="20"/>
          <w:szCs w:val="20"/>
        </w:rPr>
        <w:t xml:space="preserve">NexCort iQ occupies a deliberate pricing position: premium relative to single-point QA tools, competitive relative to full AI platforms, and significantly below the total cost of enterprise CAD replacements or hardware-bundled solutions.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000"/>
            <w:shd w:fill="C8102E" w:val="clear"/>
            <w:vAlign w:val="center"/>
          </w:tcPr>
          <w:p>
            <w:pPr>
              <w:spacing w:after="80" w:before="80"/>
              <w:jc w:val="center"/>
            </w:pPr>
            <w:r>
              <w:rPr>
                <w:rFonts w:ascii="Calibri" w:cs="Calibri" w:eastAsia="Calibri" w:hAnsi="Calibri"/>
                <w:b/>
                <w:bCs/>
                <w:color w:val="FFFFFF"/>
                <w:sz w:val="18"/>
                <w:szCs w:val="18"/>
              </w:rPr>
              <w:t xml:space="preserve">ENTRY TIER</w:t>
            </w:r>
          </w:p>
        </w:tc>
        <w:tc>
          <w:tcPr>
            <w:tcW w:type="dxa" w:w="8360"/>
            <w:shd w:fill="F4F6F8" w:val="clear"/>
          </w:tcPr>
          <w:p>
            <w:pPr>
              <w:spacing w:after="80" w:before="80"/>
            </w:pPr>
            <w:r>
              <w:rPr>
                <w:rFonts w:ascii="Calibri" w:cs="Calibri" w:eastAsia="Calibri" w:hAnsi="Calibri"/>
                <w:i/>
                <w:iCs/>
                <w:color w:val="0D1117"/>
                <w:sz w:val="19"/>
                <w:szCs w:val="19"/>
              </w:rPr>
              <w:t xml:space="preserve">RC Essential at $42K–$90K/year positions above GovWorx's QA-only contracts (~$68K) but delivers 80+ features vs. a point solution. Agencies paying $68K for QA automation alone should see RC as a platform upgrade at comparable total cost.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000"/>
            <w:shd w:fill="C8102E" w:val="clear"/>
            <w:vAlign w:val="center"/>
          </w:tcPr>
          <w:p>
            <w:pPr>
              <w:spacing w:after="80" w:before="80"/>
              <w:jc w:val="center"/>
            </w:pPr>
            <w:r>
              <w:rPr>
                <w:rFonts w:ascii="Calibri" w:cs="Calibri" w:eastAsia="Calibri" w:hAnsi="Calibri"/>
                <w:b/>
                <w:bCs/>
                <w:color w:val="FFFFFF"/>
                <w:sz w:val="18"/>
                <w:szCs w:val="18"/>
              </w:rPr>
              <w:t xml:space="preserve">MID MARKET</w:t>
            </w:r>
          </w:p>
        </w:tc>
        <w:tc>
          <w:tcPr>
            <w:tcW w:type="dxa" w:w="8360"/>
            <w:shd w:fill="F4F6F8" w:val="clear"/>
          </w:tcPr>
          <w:p>
            <w:pPr>
              <w:spacing w:after="80" w:before="80"/>
            </w:pPr>
            <w:r>
              <w:rPr>
                <w:rFonts w:ascii="Calibri" w:cs="Calibri" w:eastAsia="Calibri" w:hAnsi="Calibri"/>
                <w:i/>
                <w:iCs/>
                <w:color w:val="0D1117"/>
                <w:sz w:val="19"/>
                <w:szCs w:val="19"/>
              </w:rPr>
              <w:t xml:space="preserve">RC Professional and Command tiers ($102K–$600K/year) are competitive with RapidSOS UNITE and Axon 911 — but RC is standalone software, not a bundled hardware play. For agencies not in the Axon ecosystem, RC is the most capable standalone option at this price band.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000"/>
            <w:shd w:fill="C8102E" w:val="clear"/>
            <w:vAlign w:val="center"/>
          </w:tcPr>
          <w:p>
            <w:pPr>
              <w:spacing w:after="80" w:before="80"/>
              <w:jc w:val="center"/>
            </w:pPr>
            <w:r>
              <w:rPr>
                <w:rFonts w:ascii="Calibri" w:cs="Calibri" w:eastAsia="Calibri" w:hAnsi="Calibri"/>
                <w:b/>
                <w:bCs/>
                <w:color w:val="FFFFFF"/>
                <w:sz w:val="18"/>
                <w:szCs w:val="18"/>
              </w:rPr>
              <w:t xml:space="preserve">ENTERPRISE</w:t>
            </w:r>
          </w:p>
        </w:tc>
        <w:tc>
          <w:tcPr>
            <w:tcW w:type="dxa" w:w="8360"/>
            <w:shd w:fill="F4F6F8" w:val="clear"/>
          </w:tcPr>
          <w:p>
            <w:pPr>
              <w:spacing w:after="80" w:before="80"/>
            </w:pPr>
            <w:r>
              <w:rPr>
                <w:rFonts w:ascii="Calibri" w:cs="Calibri" w:eastAsia="Calibri" w:hAnsi="Calibri"/>
                <w:i/>
                <w:iCs/>
                <w:color w:val="0D1117"/>
                <w:sz w:val="19"/>
                <w:szCs w:val="19"/>
              </w:rPr>
              <w:t xml:space="preserve">RC Enterprise ($720K–$3M+/year) is significantly below NICE ($500K–$2M+ for just QA) when considered as a full platform. At comparable feature depth for multi-site deployments, RC delivers superior value per dollar.</w:t>
            </w:r>
          </w:p>
        </w:tc>
      </w:tr>
    </w:tbl>
    <w:p>
      <w:pPr>
        <w:spacing w:after="200"/>
      </w:pPr>
      <w:r>
        <w:t xml:space="preserve"/>
      </w:r>
    </w:p>
    <w:p>
      <w:pPr>
        <w:spacing w:after="80" w:before="280"/>
      </w:pPr>
      <w:r>
        <w:rPr>
          <w:rFonts w:ascii="Calibri" w:cs="Calibri" w:eastAsia="Calibri" w:hAnsi="Calibri"/>
          <w:b/>
          <w:bCs/>
          <w:color w:val="0D1117"/>
          <w:sz w:val="26"/>
          <w:szCs w:val="26"/>
        </w:rPr>
        <w:t xml:space="preserve">5.4  Pilot Package Benchmarking</w:t>
      </w:r>
    </w:p>
    <w:p>
      <w:pPr>
        <w:spacing w:after="100"/>
        <w:jc w:val="both"/>
      </w:pPr>
      <w:r>
        <w:rPr>
          <w:rFonts w:ascii="Calibri" w:cs="Calibri" w:eastAsia="Calibri" w:hAnsi="Calibri"/>
          <w:color w:val="0D1117"/>
          <w:sz w:val="20"/>
          <w:szCs w:val="20"/>
        </w:rPr>
        <w:t xml:space="preserve">NexCort iQ pilot packages are priced to align with agency grant award sizes, providing a low-risk entry point that mirrors the market standard: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60"/>
        <w:gridCol w:w="2200"/>
      </w:tblGrid>
      <w:tr>
        <w:tc>
          <w:tcPr>
            <w:shd w:fill="0D1117" w:val="clear"/>
          </w:tcPr>
          <w:p>
            <w:pPr>
              <w:spacing w:after="60" w:before="60"/>
            </w:pPr>
            <w:r>
              <w:rPr>
                <w:rFonts w:ascii="Calibri" w:cs="Calibri" w:eastAsia="Calibri" w:hAnsi="Calibri"/>
                <w:b/>
                <w:bCs/>
                <w:color w:val="FFFFFF"/>
                <w:sz w:val="18"/>
                <w:szCs w:val="18"/>
              </w:rPr>
              <w:t xml:space="preserve">Pilot Package</w:t>
            </w:r>
          </w:p>
        </w:tc>
        <w:tc>
          <w:tcPr>
            <w:shd w:fill="0D1117" w:val="clear"/>
          </w:tcPr>
          <w:p>
            <w:pPr>
              <w:spacing w:after="60" w:before="60"/>
              <w:jc w:val="center"/>
            </w:pPr>
            <w:r>
              <w:rPr>
                <w:rFonts w:ascii="Calibri" w:cs="Calibri" w:eastAsia="Calibri" w:hAnsi="Calibri"/>
                <w:b/>
                <w:bCs/>
                <w:color w:val="FFFFFF"/>
                <w:sz w:val="18"/>
                <w:szCs w:val="18"/>
              </w:rPr>
              <w:t xml:space="preserve">RC Total</w:t>
            </w:r>
          </w:p>
        </w:tc>
        <w:tc>
          <w:tcPr>
            <w:shd w:fill="0D1117" w:val="clear"/>
          </w:tcPr>
          <w:p>
            <w:pPr>
              <w:spacing w:after="60" w:before="60"/>
              <w:jc w:val="center"/>
            </w:pPr>
            <w:r>
              <w:rPr>
                <w:rFonts w:ascii="Calibri" w:cs="Calibri" w:eastAsia="Calibri" w:hAnsi="Calibri"/>
                <w:b/>
                <w:bCs/>
                <w:color w:val="FFFFFF"/>
                <w:sz w:val="18"/>
                <w:szCs w:val="18"/>
              </w:rPr>
              <w:t xml:space="preserve">Duration</w:t>
            </w:r>
          </w:p>
        </w:tc>
        <w:tc>
          <w:tcPr>
            <w:shd w:fill="0D1117" w:val="clear"/>
          </w:tcPr>
          <w:p>
            <w:pPr>
              <w:spacing w:after="60" w:before="60"/>
              <w:jc w:val="center"/>
            </w:pPr>
            <w:r>
              <w:rPr>
                <w:rFonts w:ascii="Calibri" w:cs="Calibri" w:eastAsia="Calibri" w:hAnsi="Calibri"/>
                <w:b/>
                <w:bCs/>
                <w:color w:val="FFFFFF"/>
                <w:sz w:val="18"/>
                <w:szCs w:val="18"/>
              </w:rPr>
              <w:t xml:space="preserve">Grant Alignment</w:t>
            </w:r>
          </w:p>
        </w:tc>
      </w:tr>
      <w:tr>
        <w:tc>
          <w:tcPr>
            <w:shd w:fill="F4F6F8" w:val="clear"/>
          </w:tcPr>
          <w:p>
            <w:pPr>
              <w:spacing w:after="60" w:before="60"/>
              <w:jc w:val="left"/>
            </w:pPr>
            <w:r>
              <w:rPr>
                <w:rFonts w:ascii="Calibri" w:cs="Calibri" w:eastAsia="Calibri" w:hAnsi="Calibri"/>
                <w:b/>
                <w:bCs/>
                <w:color w:val="0B3D91"/>
                <w:sz w:val="18"/>
                <w:szCs w:val="18"/>
              </w:rPr>
              <w:t xml:space="preserve">Small City Pilot (Essential)</w:t>
            </w:r>
          </w:p>
        </w:tc>
        <w:tc>
          <w:tcPr>
            <w:shd w:fill="F4F6F8" w:val="clear"/>
          </w:tcPr>
          <w:p>
            <w:pPr>
              <w:spacing w:after="60" w:before="60"/>
              <w:jc w:val="center"/>
            </w:pPr>
            <w:r>
              <w:rPr>
                <w:rFonts w:ascii="Calibri" w:cs="Calibri" w:eastAsia="Calibri" w:hAnsi="Calibri"/>
                <w:b w:val="false"/>
                <w:bCs w:val="false"/>
                <w:color w:val="0D1117"/>
                <w:sz w:val="18"/>
                <w:szCs w:val="18"/>
              </w:rPr>
              <w:t xml:space="preserve">$65,000</w:t>
            </w:r>
          </w:p>
        </w:tc>
        <w:tc>
          <w:tcPr>
            <w:shd w:fill="F4F6F8" w:val="clear"/>
          </w:tcPr>
          <w:p>
            <w:pPr>
              <w:spacing w:after="60" w:before="60"/>
              <w:jc w:val="center"/>
            </w:pPr>
            <w:r>
              <w:rPr>
                <w:rFonts w:ascii="Calibri" w:cs="Calibri" w:eastAsia="Calibri" w:hAnsi="Calibri"/>
                <w:b w:val="false"/>
                <w:bCs w:val="false"/>
                <w:color w:val="0D1117"/>
                <w:sz w:val="18"/>
                <w:szCs w:val="18"/>
              </w:rPr>
              <w:t xml:space="preserve">90 days</w:t>
            </w:r>
          </w:p>
        </w:tc>
        <w:tc>
          <w:tcPr>
            <w:shd w:fill="F4F6F8" w:val="clear"/>
          </w:tcPr>
          <w:p>
            <w:pPr>
              <w:spacing w:after="60" w:before="60"/>
              <w:jc w:val="center"/>
            </w:pPr>
            <w:r>
              <w:rPr>
                <w:rFonts w:ascii="Calibri" w:cs="Calibri" w:eastAsia="Calibri" w:hAnsi="Calibri"/>
                <w:b w:val="false"/>
                <w:bCs w:val="false"/>
                <w:color w:val="0D1117"/>
                <w:sz w:val="18"/>
                <w:szCs w:val="18"/>
              </w:rPr>
              <w:t xml:space="preserve">COPS Tech / CDS Grants</w:t>
            </w:r>
          </w:p>
        </w:tc>
      </w:tr>
      <w:tr>
        <w:tc>
          <w:tcPr>
            <w:shd w:fill="FFFFFF" w:val="clear"/>
          </w:tcPr>
          <w:p>
            <w:pPr>
              <w:spacing w:after="60" w:before="60"/>
              <w:jc w:val="left"/>
            </w:pPr>
            <w:r>
              <w:rPr>
                <w:rFonts w:ascii="Calibri" w:cs="Calibri" w:eastAsia="Calibri" w:hAnsi="Calibri"/>
                <w:b/>
                <w:bCs/>
                <w:color w:val="0B3D91"/>
                <w:sz w:val="18"/>
                <w:szCs w:val="18"/>
              </w:rPr>
              <w:t xml:space="preserve">County Professional Pilot</w:t>
            </w:r>
          </w:p>
        </w:tc>
        <w:tc>
          <w:tcPr>
            <w:shd w:fill="FFFFFF" w:val="clear"/>
          </w:tcPr>
          <w:p>
            <w:pPr>
              <w:spacing w:after="60" w:before="60"/>
              <w:jc w:val="center"/>
            </w:pPr>
            <w:r>
              <w:rPr>
                <w:rFonts w:ascii="Calibri" w:cs="Calibri" w:eastAsia="Calibri" w:hAnsi="Calibri"/>
                <w:b w:val="false"/>
                <w:bCs w:val="false"/>
                <w:color w:val="0D1117"/>
                <w:sz w:val="18"/>
                <w:szCs w:val="18"/>
              </w:rPr>
              <w:t xml:space="preserve">$170,000</w:t>
            </w:r>
          </w:p>
        </w:tc>
        <w:tc>
          <w:tcPr>
            <w:shd w:fill="FFFFFF" w:val="clear"/>
          </w:tcPr>
          <w:p>
            <w:pPr>
              <w:spacing w:after="60" w:before="60"/>
              <w:jc w:val="center"/>
            </w:pPr>
            <w:r>
              <w:rPr>
                <w:rFonts w:ascii="Calibri" w:cs="Calibri" w:eastAsia="Calibri" w:hAnsi="Calibri"/>
                <w:b w:val="false"/>
                <w:bCs w:val="false"/>
                <w:color w:val="0D1117"/>
                <w:sz w:val="18"/>
                <w:szCs w:val="18"/>
              </w:rPr>
              <w:t xml:space="preserve">90 days</w:t>
            </w:r>
          </w:p>
        </w:tc>
        <w:tc>
          <w:tcPr>
            <w:shd w:fill="FFFFFF" w:val="clear"/>
          </w:tcPr>
          <w:p>
            <w:pPr>
              <w:spacing w:after="60" w:before="60"/>
              <w:jc w:val="center"/>
            </w:pPr>
            <w:r>
              <w:rPr>
                <w:rFonts w:ascii="Calibri" w:cs="Calibri" w:eastAsia="Calibri" w:hAnsi="Calibri"/>
                <w:b w:val="false"/>
                <w:bCs w:val="false"/>
                <w:color w:val="0D1117"/>
                <w:sz w:val="18"/>
                <w:szCs w:val="18"/>
              </w:rPr>
              <w:t xml:space="preserve">State CJ + Federal Grants</w:t>
            </w:r>
          </w:p>
        </w:tc>
      </w:tr>
      <w:tr>
        <w:tc>
          <w:tcPr>
            <w:shd w:fill="F4F6F8" w:val="clear"/>
          </w:tcPr>
          <w:p>
            <w:pPr>
              <w:spacing w:after="60" w:before="60"/>
              <w:jc w:val="left"/>
            </w:pPr>
            <w:r>
              <w:rPr>
                <w:rFonts w:ascii="Calibri" w:cs="Calibri" w:eastAsia="Calibri" w:hAnsi="Calibri"/>
                <w:b/>
                <w:bCs/>
                <w:color w:val="0B3D91"/>
                <w:sz w:val="18"/>
                <w:szCs w:val="18"/>
              </w:rPr>
              <w:t xml:space="preserve">Command Center Pilot</w:t>
            </w:r>
          </w:p>
        </w:tc>
        <w:tc>
          <w:tcPr>
            <w:shd w:fill="F4F6F8" w:val="clear"/>
          </w:tcPr>
          <w:p>
            <w:pPr>
              <w:spacing w:after="60" w:before="60"/>
              <w:jc w:val="center"/>
            </w:pPr>
            <w:r>
              <w:rPr>
                <w:rFonts w:ascii="Calibri" w:cs="Calibri" w:eastAsia="Calibri" w:hAnsi="Calibri"/>
                <w:b w:val="false"/>
                <w:bCs w:val="false"/>
                <w:color w:val="0D1117"/>
                <w:sz w:val="18"/>
                <w:szCs w:val="18"/>
              </w:rPr>
              <w:t xml:space="preserve">$390,000</w:t>
            </w:r>
          </w:p>
        </w:tc>
        <w:tc>
          <w:tcPr>
            <w:shd w:fill="F4F6F8" w:val="clear"/>
          </w:tcPr>
          <w:p>
            <w:pPr>
              <w:spacing w:after="60" w:before="60"/>
              <w:jc w:val="center"/>
            </w:pPr>
            <w:r>
              <w:rPr>
                <w:rFonts w:ascii="Calibri" w:cs="Calibri" w:eastAsia="Calibri" w:hAnsi="Calibri"/>
                <w:b w:val="false"/>
                <w:bCs w:val="false"/>
                <w:color w:val="0D1117"/>
                <w:sz w:val="18"/>
                <w:szCs w:val="18"/>
              </w:rPr>
              <w:t xml:space="preserve">180 days</w:t>
            </w:r>
          </w:p>
        </w:tc>
        <w:tc>
          <w:tcPr>
            <w:shd w:fill="F4F6F8" w:val="clear"/>
          </w:tcPr>
          <w:p>
            <w:pPr>
              <w:spacing w:after="60" w:before="60"/>
              <w:jc w:val="center"/>
            </w:pPr>
            <w:r>
              <w:rPr>
                <w:rFonts w:ascii="Calibri" w:cs="Calibri" w:eastAsia="Calibri" w:hAnsi="Calibri"/>
                <w:b w:val="false"/>
                <w:bCs w:val="false"/>
                <w:color w:val="0D1117"/>
                <w:sz w:val="18"/>
                <w:szCs w:val="18"/>
              </w:rPr>
              <w:t xml:space="preserve">PSAP Tech + State Grants</w:t>
            </w:r>
          </w:p>
        </w:tc>
      </w:tr>
      <w:tr>
        <w:tc>
          <w:tcPr>
            <w:shd w:fill="FFFFFF" w:val="clear"/>
          </w:tcPr>
          <w:p>
            <w:pPr>
              <w:spacing w:after="60" w:before="60"/>
              <w:jc w:val="left"/>
            </w:pPr>
            <w:r>
              <w:rPr>
                <w:rFonts w:ascii="Calibri" w:cs="Calibri" w:eastAsia="Calibri" w:hAnsi="Calibri"/>
                <w:b/>
                <w:bCs/>
                <w:color w:val="0B3D91"/>
                <w:sz w:val="18"/>
                <w:szCs w:val="18"/>
              </w:rPr>
              <w:t xml:space="preserve">Enterprise / Statewide</w:t>
            </w:r>
          </w:p>
        </w:tc>
        <w:tc>
          <w:tcPr>
            <w:shd w:fill="FFFFFF" w:val="clear"/>
          </w:tcPr>
          <w:p>
            <w:pPr>
              <w:spacing w:after="60" w:before="60"/>
              <w:jc w:val="center"/>
            </w:pPr>
            <w:r>
              <w:rPr>
                <w:rFonts w:ascii="Calibri" w:cs="Calibri" w:eastAsia="Calibri" w:hAnsi="Calibri"/>
                <w:b w:val="false"/>
                <w:bCs w:val="false"/>
                <w:color w:val="0D1117"/>
                <w:sz w:val="18"/>
                <w:szCs w:val="18"/>
              </w:rPr>
              <w:t xml:space="preserve">$2M–$6M+/yr</w:t>
            </w:r>
          </w:p>
        </w:tc>
        <w:tc>
          <w:tcPr>
            <w:shd w:fill="FFFFFF" w:val="clear"/>
          </w:tcPr>
          <w:p>
            <w:pPr>
              <w:spacing w:after="60" w:before="60"/>
              <w:jc w:val="center"/>
            </w:pPr>
            <w:r>
              <w:rPr>
                <w:rFonts w:ascii="Calibri" w:cs="Calibri" w:eastAsia="Calibri" w:hAnsi="Calibri"/>
                <w:b w:val="false"/>
                <w:bCs w:val="false"/>
                <w:color w:val="0D1117"/>
                <w:sz w:val="18"/>
                <w:szCs w:val="18"/>
              </w:rPr>
              <w:t xml:space="preserve">Annual program</w:t>
            </w:r>
          </w:p>
        </w:tc>
        <w:tc>
          <w:tcPr>
            <w:shd w:fill="FFFFFF" w:val="clear"/>
          </w:tcPr>
          <w:p>
            <w:pPr>
              <w:spacing w:after="60" w:before="60"/>
              <w:jc w:val="center"/>
            </w:pPr>
            <w:r>
              <w:rPr>
                <w:rFonts w:ascii="Calibri" w:cs="Calibri" w:eastAsia="Calibri" w:hAnsi="Calibri"/>
                <w:b w:val="false"/>
                <w:bCs w:val="false"/>
                <w:color w:val="0D1117"/>
                <w:sz w:val="18"/>
                <w:szCs w:val="18"/>
              </w:rPr>
              <w:t xml:space="preserve">Statewide PSAP Programs</w:t>
            </w:r>
          </w:p>
        </w:tc>
      </w:tr>
    </w:tbl>
    <w:p>
      <w:pPr>
        <w:spacing w:after="200"/>
      </w:pPr>
      <w:r>
        <w:t xml:space="preserve"/>
      </w:r>
    </w:p>
    <w:p>
      <w:r>
        <w:br w:type="page"/>
      </w:r>
    </w:p>
    <w:p>
      <w:pPr>
        <w:pBdr>
          <w:bottom w:val="single" w:color="C8102E" w:sz="8"/>
        </w:pBdr>
        <w:spacing w:after="120" w:before="360"/>
      </w:pPr>
      <w:r>
        <w:rPr>
          <w:rFonts w:ascii="Calibri" w:cs="Calibri" w:eastAsia="Calibri" w:hAnsi="Calibri"/>
          <w:b/>
          <w:bCs/>
          <w:color w:val="0B3D91"/>
          <w:sz w:val="36"/>
          <w:szCs w:val="36"/>
        </w:rPr>
        <w:t xml:space="preserve">6. NexCort iQ Strategic Positioning</w:t>
      </w:r>
    </w:p>
    <w:p>
      <w:pPr>
        <w:spacing w:after="120"/>
      </w:pPr>
      <w:r>
        <w:t xml:space="preserve"/>
      </w:r>
    </w:p>
    <w:p>
      <w:pPr>
        <w:spacing w:after="80" w:before="280"/>
      </w:pPr>
      <w:r>
        <w:rPr>
          <w:rFonts w:ascii="Calibri" w:cs="Calibri" w:eastAsia="Calibri" w:hAnsi="Calibri"/>
          <w:b/>
          <w:bCs/>
          <w:color w:val="0D1117"/>
          <w:sz w:val="26"/>
          <w:szCs w:val="26"/>
        </w:rPr>
        <w:t xml:space="preserve">6.1  Where We Win</w:t>
      </w:r>
    </w:p>
    <w:p>
      <w:pPr>
        <w:spacing w:after="120"/>
      </w:pPr>
      <w:r>
        <w:t xml:space="preserve"/>
      </w:r>
    </w:p>
    <w:p>
      <w:pPr>
        <w:pStyle w:val="ListParagraph"/>
        <w:numPr>
          <w:ilvl w:val="0"/>
          <w:numId w:val="1"/>
        </w:numPr>
        <w:spacing w:after="80"/>
      </w:pPr>
      <w:r>
        <w:rPr>
          <w:rFonts w:ascii="Calibri" w:cs="Calibri" w:eastAsia="Calibri" w:hAnsi="Calibri"/>
          <w:color w:val="0D1117"/>
          <w:sz w:val="20"/>
          <w:szCs w:val="20"/>
        </w:rPr>
        <w:t xml:space="preserve">Agencies NOT in the Axon ecosystem — Axon has locked in hardware agencies. The remaining non-Axon agencies (on Motorola, Tyler, Hexagon, or no platform) have no bundled path to AI. RC fills that gap.</w:t>
      </w:r>
    </w:p>
    <w:p>
      <w:pPr>
        <w:pStyle w:val="ListParagraph"/>
        <w:numPr>
          <w:ilvl w:val="0"/>
          <w:numId w:val="1"/>
        </w:numPr>
        <w:spacing w:after="80"/>
      </w:pPr>
      <w:r>
        <w:rPr>
          <w:rFonts w:ascii="Calibri" w:cs="Calibri" w:eastAsia="Calibri" w:hAnsi="Calibri"/>
          <w:color w:val="0D1117"/>
          <w:sz w:val="20"/>
          <w:szCs w:val="20"/>
        </w:rPr>
        <w:t xml:space="preserve">Agencies wanting operational depth, not just transcription — Prepared/Axon 911 focuses on first 120 seconds of call transcription and triage. RC adds command dashboards, war rooms, post-incident review, QA, multilingual intake, and operational analytics — a broader operational platform.</w:t>
      </w:r>
    </w:p>
    <w:p>
      <w:pPr>
        <w:pStyle w:val="ListParagraph"/>
        <w:numPr>
          <w:ilvl w:val="0"/>
          <w:numId w:val="1"/>
        </w:numPr>
        <w:spacing w:after="80"/>
      </w:pPr>
      <w:r>
        <w:rPr>
          <w:rFonts w:ascii="Calibri" w:cs="Calibri" w:eastAsia="Calibri" w:hAnsi="Calibri"/>
          <w:color w:val="0D1117"/>
          <w:sz w:val="20"/>
          <w:szCs w:val="20"/>
        </w:rPr>
        <w:t xml:space="preserve">Multi-vertical deployments — RC's Campus, Venue, and Connect product lines have no direct competitor. GovWorx, RapidSOS, and Axon are all single-vertical (public safety). RC can cross-sell across campus safety, venue security, and hospital operations.</w:t>
      </w:r>
    </w:p>
    <w:p>
      <w:pPr>
        <w:pStyle w:val="ListParagraph"/>
        <w:numPr>
          <w:ilvl w:val="0"/>
          <w:numId w:val="1"/>
        </w:numPr>
        <w:spacing w:after="80"/>
      </w:pPr>
      <w:r>
        <w:rPr>
          <w:rFonts w:ascii="Calibri" w:cs="Calibri" w:eastAsia="Calibri" w:hAnsi="Calibri"/>
          <w:color w:val="0D1117"/>
          <w:sz w:val="20"/>
          <w:szCs w:val="20"/>
        </w:rPr>
        <w:t xml:space="preserve">Agencies paying for point solutions — Any agency currently running GovWorx for QA + a separate transcription vendor + manual translation services is paying more than RC Essential while getting less capability.</w:t>
      </w:r>
    </w:p>
    <w:p>
      <w:pPr>
        <w:pStyle w:val="ListParagraph"/>
        <w:numPr>
          <w:ilvl w:val="0"/>
          <w:numId w:val="1"/>
        </w:numPr>
        <w:spacing w:after="80"/>
      </w:pPr>
      <w:r>
        <w:rPr>
          <w:rFonts w:ascii="Calibri" w:cs="Calibri" w:eastAsia="Calibri" w:hAnsi="Calibri"/>
          <w:color w:val="0D1117"/>
          <w:sz w:val="20"/>
          <w:szCs w:val="20"/>
        </w:rPr>
        <w:t xml:space="preserve">Agencies in grant funding cycles — RC pilot packages are calibrated to align with COPS, CDS, and state PSAP grant award sizes, making RC fundable without general fund budget impact.</w:t>
      </w:r>
    </w:p>
    <w:p>
      <w:pPr>
        <w:pStyle w:val="ListParagraph"/>
        <w:numPr>
          <w:ilvl w:val="0"/>
          <w:numId w:val="1"/>
        </w:numPr>
        <w:spacing w:after="80"/>
      </w:pPr>
      <w:r>
        <w:rPr>
          <w:rFonts w:ascii="Calibri" w:cs="Calibri" w:eastAsia="Calibri" w:hAnsi="Calibri"/>
          <w:color w:val="0D1117"/>
          <w:sz w:val="20"/>
          <w:szCs w:val="20"/>
        </w:rPr>
        <w:t xml:space="preserve">Early adopter reference customers — Agencies that sign with RC now get first-reference status, pricing protections, and direct input into the roadmap. The same dynamic that drove Prepared's 1,000-agency reach in its first years.</w:t>
      </w:r>
    </w:p>
    <w:p>
      <w:pPr>
        <w:spacing w:after="200"/>
      </w:pPr>
      <w:r>
        <w:t xml:space="preserve"/>
      </w:r>
    </w:p>
    <w:p>
      <w:pPr>
        <w:spacing w:after="80" w:before="280"/>
      </w:pPr>
      <w:r>
        <w:rPr>
          <w:rFonts w:ascii="Calibri" w:cs="Calibri" w:eastAsia="Calibri" w:hAnsi="Calibri"/>
          <w:b/>
          <w:bCs/>
          <w:color w:val="0D1117"/>
          <w:sz w:val="26"/>
          <w:szCs w:val="26"/>
        </w:rPr>
        <w:t xml:space="preserve">6.2  Where We Face Headwinds</w:t>
      </w:r>
    </w:p>
    <w:p>
      <w:pPr>
        <w:spacing w:after="120"/>
      </w:pPr>
      <w:r>
        <w:t xml:space="preserve"/>
      </w:r>
    </w:p>
    <w:p>
      <w:pPr>
        <w:pStyle w:val="ListParagraph"/>
        <w:numPr>
          <w:ilvl w:val="0"/>
          <w:numId w:val="1"/>
        </w:numPr>
        <w:spacing w:after="80"/>
      </w:pPr>
      <w:r>
        <w:rPr>
          <w:rFonts w:ascii="Calibri" w:cs="Calibri" w:eastAsia="Calibri" w:hAnsi="Calibri"/>
          <w:color w:val="0D1117"/>
          <w:sz w:val="20"/>
          <w:szCs w:val="20"/>
        </w:rPr>
        <w:t xml:space="preserve">Axon bundling — Agencies in full Axon OSP deals may receive AI as a line-item add-on within an existing contract. RC's competitive response is superiority in operational depth and independence from hardware lock-in.</w:t>
      </w:r>
    </w:p>
    <w:p>
      <w:pPr>
        <w:pStyle w:val="ListParagraph"/>
        <w:numPr>
          <w:ilvl w:val="0"/>
          <w:numId w:val="1"/>
        </w:numPr>
        <w:spacing w:after="80"/>
      </w:pPr>
      <w:r>
        <w:rPr>
          <w:rFonts w:ascii="Calibri" w:cs="Calibri" w:eastAsia="Calibri" w:hAnsi="Calibri"/>
          <w:color w:val="0D1117"/>
          <w:sz w:val="20"/>
          <w:szCs w:val="20"/>
        </w:rPr>
        <w:t xml:space="preserve">RapidSOS free tier — The free Portal creates adoption inertia. RC's response is to demonstrate the value gap between a data overlay and a full operational platform.</w:t>
      </w:r>
    </w:p>
    <w:p>
      <w:pPr>
        <w:pStyle w:val="ListParagraph"/>
        <w:numPr>
          <w:ilvl w:val="0"/>
          <w:numId w:val="1"/>
        </w:numPr>
        <w:spacing w:after="80"/>
      </w:pPr>
      <w:r>
        <w:rPr>
          <w:rFonts w:ascii="Calibri" w:cs="Calibri" w:eastAsia="Calibri" w:hAnsi="Calibri"/>
          <w:color w:val="0D1117"/>
          <w:sz w:val="20"/>
          <w:szCs w:val="20"/>
        </w:rPr>
        <w:t xml:space="preserve">Brand recognition — Prepared reached 1,000 agencies; Carbyne processed 250M data points. RC is newer and must build credibility through pilots, references, and operations-focused messaging.</w:t>
      </w:r>
    </w:p>
    <w:p>
      <w:pPr>
        <w:pStyle w:val="ListParagraph"/>
        <w:numPr>
          <w:ilvl w:val="0"/>
          <w:numId w:val="1"/>
        </w:numPr>
        <w:spacing w:after="80"/>
      </w:pPr>
      <w:r>
        <w:rPr>
          <w:rFonts w:ascii="Calibri" w:cs="Calibri" w:eastAsia="Calibri" w:hAnsi="Calibri"/>
          <w:color w:val="0D1117"/>
          <w:sz w:val="20"/>
          <w:szCs w:val="20"/>
        </w:rPr>
        <w:t xml:space="preserve">Procurement timelines — Government procurement cycles run 9–18 months. RC must maintain pilot momentum while building the reference base that unlocks larger deals.</w:t>
      </w:r>
    </w:p>
    <w:p>
      <w:pPr>
        <w:spacing w:after="200"/>
      </w:pPr>
      <w:r>
        <w:t xml:space="preserve"/>
      </w:r>
    </w:p>
    <w:p>
      <w:pPr>
        <w:spacing w:after="80" w:before="280"/>
      </w:pPr>
      <w:r>
        <w:rPr>
          <w:rFonts w:ascii="Calibri" w:cs="Calibri" w:eastAsia="Calibri" w:hAnsi="Calibri"/>
          <w:b/>
          <w:bCs/>
          <w:color w:val="0D1117"/>
          <w:sz w:val="26"/>
          <w:szCs w:val="26"/>
        </w:rPr>
        <w:t xml:space="preserve">6.3  Differentiation Narrative</w:t>
      </w:r>
    </w:p>
    <w:p>
      <w:pPr>
        <w:spacing w:after="120"/>
      </w:pPr>
      <w:r>
        <w:t xml:space="preserve"/>
      </w:r>
    </w:p>
    <w:p>
      <w:pPr>
        <w:spacing w:after="100"/>
        <w:jc w:val="both"/>
      </w:pPr>
      <w:r>
        <w:rPr>
          <w:rFonts w:ascii="Calibri" w:cs="Calibri" w:eastAsia="Calibri" w:hAnsi="Calibri"/>
          <w:color w:val="0D1117"/>
          <w:sz w:val="20"/>
          <w:szCs w:val="20"/>
        </w:rPr>
        <w:t xml:space="preserve">The market message for NexCort iQ should be built on three pillars: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8102E" w:val="clear"/>
          </w:tcPr>
          <w:p>
            <w:pPr>
              <w:spacing w:after="60" w:before="60"/>
              <w:jc w:val="left"/>
            </w:pPr>
            <w:r>
              <w:rPr>
                <w:rFonts w:ascii="Calibri" w:cs="Calibri" w:eastAsia="Calibri" w:hAnsi="Calibri"/>
                <w:b/>
                <w:bCs/>
                <w:color w:val="FFFFFF"/>
                <w:sz w:val="18"/>
                <w:szCs w:val="18"/>
              </w:rPr>
              <w:t xml:space="preserve">Pillar</w:t>
            </w:r>
          </w:p>
        </w:tc>
        <w:tc>
          <w:tcPr>
            <w:shd w:fill="C8102E" w:val="clear"/>
          </w:tcPr>
          <w:p>
            <w:pPr>
              <w:spacing w:after="60" w:before="60"/>
              <w:jc w:val="center"/>
            </w:pPr>
            <w:r>
              <w:rPr>
                <w:rFonts w:ascii="Calibri" w:cs="Calibri" w:eastAsia="Calibri" w:hAnsi="Calibri"/>
                <w:b/>
                <w:bCs/>
                <w:color w:val="FFFFFF"/>
                <w:sz w:val="18"/>
                <w:szCs w:val="18"/>
              </w:rPr>
              <w:t xml:space="preserve">Message</w:t>
            </w:r>
          </w:p>
        </w:tc>
        <w:tc>
          <w:tcPr>
            <w:shd w:fill="C8102E" w:val="clear"/>
          </w:tcPr>
          <w:p>
            <w:pPr>
              <w:spacing w:after="60" w:before="60"/>
              <w:jc w:val="center"/>
            </w:pPr>
            <w:r>
              <w:rPr>
                <w:rFonts w:ascii="Calibri" w:cs="Calibri" w:eastAsia="Calibri" w:hAnsi="Calibri"/>
                <w:b/>
                <w:bCs/>
                <w:color w:val="FFFFFF"/>
                <w:sz w:val="18"/>
                <w:szCs w:val="18"/>
              </w:rPr>
              <w:t xml:space="preserve">Against</w:t>
            </w:r>
          </w:p>
        </w:tc>
      </w:tr>
      <w:tr>
        <w:tc>
          <w:tcPr>
            <w:shd w:fill="F4F6F8" w:val="clear"/>
          </w:tcPr>
          <w:p>
            <w:pPr>
              <w:spacing w:after="60" w:before="60"/>
              <w:jc w:val="left"/>
            </w:pPr>
            <w:r>
              <w:rPr>
                <w:rFonts w:ascii="Calibri" w:cs="Calibri" w:eastAsia="Calibri" w:hAnsi="Calibri"/>
                <w:color w:val="0D1117"/>
                <w:sz w:val="18"/>
                <w:szCs w:val="18"/>
              </w:rPr>
              <w:t xml:space="preserve">INDEPENDENCE</w:t>
            </w:r>
          </w:p>
        </w:tc>
        <w:tc>
          <w:tcPr>
            <w:shd w:fill="F4F6F8" w:val="clear"/>
          </w:tcPr>
          <w:p>
            <w:pPr>
              <w:spacing w:after="60" w:before="60"/>
              <w:jc w:val="center"/>
            </w:pPr>
            <w:r>
              <w:rPr>
                <w:rFonts w:ascii="Calibri" w:cs="Calibri" w:eastAsia="Calibri" w:hAnsi="Calibri"/>
                <w:color w:val="0D1117"/>
                <w:sz w:val="18"/>
                <w:szCs w:val="18"/>
              </w:rPr>
              <w:t xml:space="preserve">RC works with your CAD, your telephony, your staff. No hardware required. No vendor lock-in.</w:t>
            </w:r>
          </w:p>
        </w:tc>
        <w:tc>
          <w:tcPr>
            <w:shd w:fill="F4F6F8" w:val="clear"/>
          </w:tcPr>
          <w:p>
            <w:pPr>
              <w:spacing w:after="60" w:before="60"/>
              <w:jc w:val="center"/>
            </w:pPr>
            <w:r>
              <w:rPr>
                <w:rFonts w:ascii="Calibri" w:cs="Calibri" w:eastAsia="Calibri" w:hAnsi="Calibri"/>
                <w:color w:val="0D1117"/>
                <w:sz w:val="18"/>
                <w:szCs w:val="18"/>
              </w:rPr>
              <w:t xml:space="preserve">vs. Axon's bundling strategy</w:t>
            </w:r>
          </w:p>
        </w:tc>
      </w:tr>
      <w:tr>
        <w:tc>
          <w:tcPr>
            <w:shd w:fill="FFFFFF" w:val="clear"/>
          </w:tcPr>
          <w:p>
            <w:pPr>
              <w:spacing w:after="60" w:before="60"/>
              <w:jc w:val="left"/>
            </w:pPr>
            <w:r>
              <w:rPr>
                <w:rFonts w:ascii="Calibri" w:cs="Calibri" w:eastAsia="Calibri" w:hAnsi="Calibri"/>
                <w:color w:val="0D1117"/>
                <w:sz w:val="18"/>
                <w:szCs w:val="18"/>
              </w:rPr>
              <w:t xml:space="preserve">DEPTH</w:t>
            </w:r>
          </w:p>
        </w:tc>
        <w:tc>
          <w:tcPr>
            <w:shd w:fill="FFFFFF" w:val="clear"/>
          </w:tcPr>
          <w:p>
            <w:pPr>
              <w:spacing w:after="60" w:before="60"/>
              <w:jc w:val="center"/>
            </w:pPr>
            <w:r>
              <w:rPr>
                <w:rFonts w:ascii="Calibri" w:cs="Calibri" w:eastAsia="Calibri" w:hAnsi="Calibri"/>
                <w:color w:val="0D1117"/>
                <w:sz w:val="18"/>
                <w:szCs w:val="18"/>
              </w:rPr>
              <w:t xml:space="preserve">From the first call to the command center. RC delivers intelligence at every operational layer, not just the first 120 seconds.</w:t>
            </w:r>
          </w:p>
        </w:tc>
        <w:tc>
          <w:tcPr>
            <w:shd w:fill="FFFFFF" w:val="clear"/>
          </w:tcPr>
          <w:p>
            <w:pPr>
              <w:spacing w:after="60" w:before="60"/>
              <w:jc w:val="center"/>
            </w:pPr>
            <w:r>
              <w:rPr>
                <w:rFonts w:ascii="Calibri" w:cs="Calibri" w:eastAsia="Calibri" w:hAnsi="Calibri"/>
                <w:color w:val="0D1117"/>
                <w:sz w:val="18"/>
                <w:szCs w:val="18"/>
              </w:rPr>
              <w:t xml:space="preserve">vs. single-feature competitors</w:t>
            </w:r>
          </w:p>
        </w:tc>
      </w:tr>
      <w:tr>
        <w:tc>
          <w:tcPr>
            <w:shd w:fill="F4F6F8" w:val="clear"/>
          </w:tcPr>
          <w:p>
            <w:pPr>
              <w:spacing w:after="60" w:before="60"/>
              <w:jc w:val="left"/>
            </w:pPr>
            <w:r>
              <w:rPr>
                <w:rFonts w:ascii="Calibri" w:cs="Calibri" w:eastAsia="Calibri" w:hAnsi="Calibri"/>
                <w:color w:val="0D1117"/>
                <w:sz w:val="18"/>
                <w:szCs w:val="18"/>
              </w:rPr>
              <w:t xml:space="preserve">MISSION ALIGNMENT</w:t>
            </w:r>
          </w:p>
        </w:tc>
        <w:tc>
          <w:tcPr>
            <w:shd w:fill="F4F6F8" w:val="clear"/>
          </w:tcPr>
          <w:p>
            <w:pPr>
              <w:spacing w:after="60" w:before="60"/>
              <w:jc w:val="center"/>
            </w:pPr>
            <w:r>
              <w:rPr>
                <w:rFonts w:ascii="Calibri" w:cs="Calibri" w:eastAsia="Calibri" w:hAnsi="Calibri"/>
                <w:color w:val="0D1117"/>
                <w:sz w:val="18"/>
                <w:szCs w:val="18"/>
              </w:rPr>
              <w:t xml:space="preserve">Built for 911, not adapted from call center software. CJIS-aware. Dispatcher-first design. Command visibility by design.</w:t>
            </w:r>
          </w:p>
        </w:tc>
        <w:tc>
          <w:tcPr>
            <w:shd w:fill="F4F6F8" w:val="clear"/>
          </w:tcPr>
          <w:p>
            <w:pPr>
              <w:spacing w:after="60" w:before="60"/>
              <w:jc w:val="center"/>
            </w:pPr>
            <w:r>
              <w:rPr>
                <w:rFonts w:ascii="Calibri" w:cs="Calibri" w:eastAsia="Calibri" w:hAnsi="Calibri"/>
                <w:color w:val="0D1117"/>
                <w:sz w:val="18"/>
                <w:szCs w:val="18"/>
              </w:rPr>
              <w:t xml:space="preserve">vs. NICE, CentralSquare</w:t>
            </w:r>
          </w:p>
        </w:tc>
      </w:tr>
    </w:tbl>
    <w:p>
      <w:pPr>
        <w:spacing w:after="200"/>
      </w:pPr>
      <w:r>
        <w:t xml:space="preserve"/>
      </w:r>
    </w:p>
    <w:p>
      <w:pPr>
        <w:pBdr>
          <w:bottom w:val="single" w:color="C8102E" w:sz="8"/>
        </w:pBdr>
        <w:spacing w:after="120" w:before="360"/>
      </w:pPr>
      <w:r>
        <w:rPr>
          <w:rFonts w:ascii="Calibri" w:cs="Calibri" w:eastAsia="Calibri" w:hAnsi="Calibri"/>
          <w:b/>
          <w:bCs/>
          <w:color w:val="0B3D91"/>
          <w:sz w:val="36"/>
          <w:szCs w:val="36"/>
        </w:rPr>
        <w:t xml:space="preserve">7. M&amp;A Signals &amp; Strategic Implications</w:t>
      </w:r>
    </w:p>
    <w:p>
      <w:pPr>
        <w:spacing w:after="120"/>
      </w:pPr>
      <w:r>
        <w:t xml:space="preserve"/>
      </w:r>
    </w:p>
    <w:p>
      <w:pPr>
        <w:spacing w:after="100"/>
        <w:jc w:val="both"/>
      </w:pPr>
      <w:r>
        <w:rPr>
          <w:rFonts w:ascii="Calibri" w:cs="Calibri" w:eastAsia="Calibri" w:hAnsi="Calibri"/>
          <w:color w:val="0D1117"/>
          <w:sz w:val="20"/>
          <w:szCs w:val="20"/>
        </w:rPr>
        <w:t xml:space="preserve">The M&amp;A activity of 2025–2026 sends clear signals about where the market is going and what NexCort iQ should do now:</w:t>
      </w:r>
    </w:p>
    <w:p>
      <w:pPr>
        <w:spacing w:after="120"/>
      </w:pPr>
      <w:r>
        <w:t xml:space="preserve"/>
      </w:r>
    </w:p>
    <w:p>
      <w:pPr>
        <w:pStyle w:val="ListParagraph"/>
        <w:numPr>
          <w:ilvl w:val="0"/>
          <w:numId w:val="1"/>
        </w:numPr>
        <w:spacing w:after="80"/>
      </w:pPr>
      <w:r>
        <w:rPr>
          <w:rFonts w:ascii="Calibri" w:cs="Calibri" w:eastAsia="Calibri" w:hAnsi="Calibri"/>
          <w:color w:val="0D1117"/>
          <w:sz w:val="20"/>
          <w:szCs w:val="20"/>
        </w:rPr>
        <w:t xml:space="preserve">Axon's acquisition of Prepared validated that 911 AI transcription and triage platforms are worth acquisition at scale. Prepared reached 1,000+ agencies before exit. RC is building toward the same market with a deeper feature set.</w:t>
      </w:r>
    </w:p>
    <w:p>
      <w:pPr>
        <w:pStyle w:val="ListParagraph"/>
        <w:numPr>
          <w:ilvl w:val="0"/>
          <w:numId w:val="1"/>
        </w:numPr>
        <w:spacing w:after="80"/>
      </w:pPr>
      <w:r>
        <w:rPr>
          <w:rFonts w:ascii="Calibri" w:cs="Calibri" w:eastAsia="Calibri" w:hAnsi="Calibri"/>
          <w:color w:val="0D1117"/>
          <w:sz w:val="20"/>
          <w:szCs w:val="20"/>
        </w:rPr>
        <w:t xml:space="preserve">Axon's acquisition of Carbyne ($625M) for cloud-native call handling shows that full-stack 911 ownership is the strategic end state for the platform companies. This consolidation leaves a window for best-of-breed standalone solutions.</w:t>
      </w:r>
    </w:p>
    <w:p>
      <w:pPr>
        <w:pStyle w:val="ListParagraph"/>
        <w:numPr>
          <w:ilvl w:val="0"/>
          <w:numId w:val="1"/>
        </w:numPr>
        <w:spacing w:after="80"/>
      </w:pPr>
      <w:r>
        <w:rPr>
          <w:rFonts w:ascii="Calibri" w:cs="Calibri" w:eastAsia="Calibri" w:hAnsi="Calibri"/>
          <w:color w:val="0D1117"/>
          <w:sz w:val="20"/>
          <w:szCs w:val="20"/>
        </w:rPr>
        <w:t xml:space="preserve">RapidSOS's $100M raise (Nov 2025) at $450M+ total funding signals continued investor confidence in the safety AI network model. RC is not competing for the same investor narrative — we are an operational intelligence platform, not a device network.</w:t>
      </w:r>
    </w:p>
    <w:p>
      <w:pPr>
        <w:pStyle w:val="ListParagraph"/>
        <w:numPr>
          <w:ilvl w:val="0"/>
          <w:numId w:val="1"/>
        </w:numPr>
        <w:spacing w:after="80"/>
      </w:pPr>
      <w:r>
        <w:rPr>
          <w:rFonts w:ascii="Calibri" w:cs="Calibri" w:eastAsia="Calibri" w:hAnsi="Calibri"/>
          <w:color w:val="0D1117"/>
          <w:sz w:val="20"/>
          <w:szCs w:val="20"/>
        </w:rPr>
        <w:t xml:space="preserve">GovWorx's APCO partnership (Jul 2026) shows that QA-focused tools are being legitimized by standards bodies. RC should pursue similar validations (APCO, NENA, CALEA) to build credibility.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000"/>
            <w:shd w:fill="C8102E" w:val="clear"/>
            <w:vAlign w:val="center"/>
          </w:tcPr>
          <w:p>
            <w:pPr>
              <w:spacing w:after="80" w:before="80"/>
              <w:jc w:val="center"/>
            </w:pPr>
            <w:r>
              <w:rPr>
                <w:rFonts w:ascii="Calibri" w:cs="Calibri" w:eastAsia="Calibri" w:hAnsi="Calibri"/>
                <w:b/>
                <w:bCs/>
                <w:color w:val="FFFFFF"/>
                <w:sz w:val="18"/>
                <w:szCs w:val="18"/>
              </w:rPr>
              <w:t xml:space="preserve">STRATEGIC SIGNAL</w:t>
            </w:r>
          </w:p>
        </w:tc>
        <w:tc>
          <w:tcPr>
            <w:tcW w:type="dxa" w:w="8360"/>
            <w:shd w:fill="F4F6F8" w:val="clear"/>
          </w:tcPr>
          <w:p>
            <w:pPr>
              <w:spacing w:after="80" w:before="80"/>
            </w:pPr>
            <w:r>
              <w:rPr>
                <w:rFonts w:ascii="Calibri" w:cs="Calibri" w:eastAsia="Calibri" w:hAnsi="Calibri"/>
                <w:i/>
                <w:iCs/>
                <w:color w:val="0D1117"/>
                <w:sz w:val="19"/>
                <w:szCs w:val="19"/>
              </w:rPr>
              <w:t xml:space="preserve">The window to build an independent 911 AI platform with genuine scale potential is open now — and actively closing. Prepared's trajectory to 1,000 agencies took 2–3 years from launch to acquisition. NexCort iQ is at the same starting line today, with a deeper product and cleaner data architecture than Prepared had at this stage.</w:t>
            </w:r>
          </w:p>
        </w:tc>
      </w:tr>
    </w:tbl>
    <w:p>
      <w:pPr>
        <w:spacing w:after="200"/>
      </w:pPr>
      <w:r>
        <w:t xml:space="preserve"/>
      </w:r>
    </w:p>
    <w:p>
      <w:r>
        <w:br w:type="page"/>
      </w:r>
    </w:p>
    <w:p>
      <w:pPr>
        <w:pBdr>
          <w:bottom w:val="single" w:color="C8102E" w:sz="8"/>
        </w:pBdr>
        <w:spacing w:after="120" w:before="360"/>
      </w:pPr>
      <w:r>
        <w:rPr>
          <w:rFonts w:ascii="Calibri" w:cs="Calibri" w:eastAsia="Calibri" w:hAnsi="Calibri"/>
          <w:b/>
          <w:bCs/>
          <w:color w:val="0B3D91"/>
          <w:sz w:val="36"/>
          <w:szCs w:val="36"/>
        </w:rPr>
        <w:t xml:space="preserve">8. Strategic Recommendations</w:t>
      </w:r>
    </w:p>
    <w:p>
      <w:pPr>
        <w:spacing w:after="120"/>
      </w:pPr>
      <w:r>
        <w:t xml:space="preserve"/>
      </w:r>
    </w:p>
    <w:p>
      <w:pPr>
        <w:spacing w:after="80" w:before="280"/>
      </w:pPr>
      <w:r>
        <w:rPr>
          <w:rFonts w:ascii="Calibri" w:cs="Calibri" w:eastAsia="Calibri" w:hAnsi="Calibri"/>
          <w:b/>
          <w:bCs/>
          <w:color w:val="0D1117"/>
          <w:sz w:val="26"/>
          <w:szCs w:val="26"/>
        </w:rPr>
        <w:t xml:space="preserve">8.1  Pricing Strategy</w:t>
      </w:r>
    </w:p>
    <w:p>
      <w:pPr>
        <w:pStyle w:val="ListParagraph"/>
        <w:numPr>
          <w:ilvl w:val="0"/>
          <w:numId w:val="1"/>
        </w:numPr>
        <w:spacing w:after="80"/>
      </w:pPr>
      <w:r>
        <w:rPr>
          <w:rFonts w:ascii="Calibri" w:cs="Calibri" w:eastAsia="Calibri" w:hAnsi="Calibri"/>
          <w:color w:val="0D1117"/>
          <w:sz w:val="20"/>
          <w:szCs w:val="20"/>
        </w:rPr>
        <w:t xml:space="preserve">Hold the Essential tier at $42K–$90K/year. This is the right anchor against GovWorx's validated $68K contracts. Agencies can see the value delta clearly.</w:t>
      </w:r>
    </w:p>
    <w:p>
      <w:pPr>
        <w:pStyle w:val="ListParagraph"/>
        <w:numPr>
          <w:ilvl w:val="0"/>
          <w:numId w:val="1"/>
        </w:numPr>
        <w:spacing w:after="80"/>
      </w:pPr>
      <w:r>
        <w:rPr>
          <w:rFonts w:ascii="Calibri" w:cs="Calibri" w:eastAsia="Calibri" w:hAnsi="Calibri"/>
          <w:color w:val="0D1117"/>
          <w:sz w:val="20"/>
          <w:szCs w:val="20"/>
        </w:rPr>
        <w:t xml:space="preserve">Aggressively push 90-day paid pilots. Every reference customer who goes from pilot to production is worth 10x its pilot value in referrals and grant language. Price pilots to win, not to maximize.</w:t>
      </w:r>
    </w:p>
    <w:p>
      <w:pPr>
        <w:pStyle w:val="ListParagraph"/>
        <w:numPr>
          <w:ilvl w:val="0"/>
          <w:numId w:val="1"/>
        </w:numPr>
        <w:spacing w:after="80"/>
      </w:pPr>
      <w:r>
        <w:rPr>
          <w:rFonts w:ascii="Calibri" w:cs="Calibri" w:eastAsia="Calibri" w:hAnsi="Calibri"/>
          <w:color w:val="0D1117"/>
          <w:sz w:val="20"/>
          <w:szCs w:val="20"/>
        </w:rPr>
        <w:t xml:space="preserve">Do not discount CAD integration work. Custom CAD connectors are labor-intensive and vendor-specific. Hold that pricing floor firm.</w:t>
      </w:r>
    </w:p>
    <w:p>
      <w:pPr>
        <w:pStyle w:val="ListParagraph"/>
        <w:numPr>
          <w:ilvl w:val="0"/>
          <w:numId w:val="1"/>
        </w:numPr>
        <w:spacing w:after="80"/>
      </w:pPr>
      <w:r>
        <w:rPr>
          <w:rFonts w:ascii="Calibri" w:cs="Calibri" w:eastAsia="Calibri" w:hAnsi="Calibri"/>
          <w:color w:val="0D1117"/>
          <w:sz w:val="20"/>
          <w:szCs w:val="20"/>
        </w:rPr>
        <w:t xml:space="preserve">Publish grant application language for each pilot tier. Align package pricing to specific federal program award limits ($65K → COPS, $170K → state grants, etc.).</w:t>
      </w:r>
    </w:p>
    <w:p>
      <w:pPr>
        <w:spacing w:after="200"/>
      </w:pPr>
      <w:r>
        <w:t xml:space="preserve"/>
      </w:r>
    </w:p>
    <w:p>
      <w:pPr>
        <w:spacing w:after="80" w:before="280"/>
      </w:pPr>
      <w:r>
        <w:rPr>
          <w:rFonts w:ascii="Calibri" w:cs="Calibri" w:eastAsia="Calibri" w:hAnsi="Calibri"/>
          <w:b/>
          <w:bCs/>
          <w:color w:val="0D1117"/>
          <w:sz w:val="26"/>
          <w:szCs w:val="26"/>
        </w:rPr>
        <w:t xml:space="preserve">8.2  Competitive Moves</w:t>
      </w:r>
    </w:p>
    <w:p>
      <w:pPr>
        <w:pStyle w:val="ListParagraph"/>
        <w:numPr>
          <w:ilvl w:val="0"/>
          <w:numId w:val="1"/>
        </w:numPr>
        <w:spacing w:after="80"/>
      </w:pPr>
      <w:r>
        <w:rPr>
          <w:rFonts w:ascii="Calibri" w:cs="Calibri" w:eastAsia="Calibri" w:hAnsi="Calibri"/>
          <w:color w:val="0D1117"/>
          <w:sz w:val="20"/>
          <w:szCs w:val="20"/>
        </w:rPr>
        <w:t xml:space="preserve">Target agencies on CentralSquare legacy sunsetting products. They are being forced to change vendors now. RC can be their AI layer with their new CAD.</w:t>
      </w:r>
    </w:p>
    <w:p>
      <w:pPr>
        <w:pStyle w:val="ListParagraph"/>
        <w:numPr>
          <w:ilvl w:val="0"/>
          <w:numId w:val="1"/>
        </w:numPr>
        <w:spacing w:after="80"/>
      </w:pPr>
      <w:r>
        <w:rPr>
          <w:rFonts w:ascii="Calibri" w:cs="Calibri" w:eastAsia="Calibri" w:hAnsi="Calibri"/>
          <w:color w:val="0D1117"/>
          <w:sz w:val="20"/>
          <w:szCs w:val="20"/>
        </w:rPr>
        <w:t xml:space="preserve">Build explicit 'Not Axon' messaging for agencies that value procurement independence. This is a growing concern in public safety as agencies watch Axon's aggressive acquisition pace.</w:t>
      </w:r>
    </w:p>
    <w:p>
      <w:pPr>
        <w:pStyle w:val="ListParagraph"/>
        <w:numPr>
          <w:ilvl w:val="0"/>
          <w:numId w:val="1"/>
        </w:numPr>
        <w:spacing w:after="80"/>
      </w:pPr>
      <w:r>
        <w:rPr>
          <w:rFonts w:ascii="Calibri" w:cs="Calibri" w:eastAsia="Calibri" w:hAnsi="Calibri"/>
          <w:color w:val="0D1117"/>
          <w:sz w:val="20"/>
          <w:szCs w:val="20"/>
        </w:rPr>
        <w:t xml:space="preserve">Partner with Tyler Technologies and Hexagon as an AI augmentation layer. These CAD vendors have no native AI play. RC as a complementary module extends our reach to their installed base without competing head-on.</w:t>
      </w:r>
    </w:p>
    <w:p>
      <w:pPr>
        <w:pStyle w:val="ListParagraph"/>
        <w:numPr>
          <w:ilvl w:val="0"/>
          <w:numId w:val="1"/>
        </w:numPr>
        <w:spacing w:after="80"/>
      </w:pPr>
      <w:r>
        <w:rPr>
          <w:rFonts w:ascii="Calibri" w:cs="Calibri" w:eastAsia="Calibri" w:hAnsi="Calibri"/>
          <w:color w:val="0D1117"/>
          <w:sz w:val="20"/>
          <w:szCs w:val="20"/>
        </w:rPr>
        <w:t xml:space="preserve">Develop a GovWorx displacement play. Pitch RC Essential directly to GovWorx customers: 'You're paying $68K for QA. RC gives you QA plus 80+ operational features for comparable cost.'</w:t>
      </w:r>
    </w:p>
    <w:p>
      <w:pPr>
        <w:spacing w:after="200"/>
      </w:pPr>
      <w:r>
        <w:t xml:space="preserve"/>
      </w:r>
    </w:p>
    <w:p>
      <w:pPr>
        <w:spacing w:after="80" w:before="280"/>
      </w:pPr>
      <w:r>
        <w:rPr>
          <w:rFonts w:ascii="Calibri" w:cs="Calibri" w:eastAsia="Calibri" w:hAnsi="Calibri"/>
          <w:b/>
          <w:bCs/>
          <w:color w:val="0D1117"/>
          <w:sz w:val="26"/>
          <w:szCs w:val="26"/>
        </w:rPr>
        <w:t xml:space="preserve">8.3  Market Timing</w:t>
      </w:r>
    </w:p>
    <w:p>
      <w:pPr>
        <w:pStyle w:val="ListParagraph"/>
        <w:numPr>
          <w:ilvl w:val="0"/>
          <w:numId w:val="1"/>
        </w:numPr>
        <w:spacing w:after="80"/>
      </w:pPr>
      <w:r>
        <w:rPr>
          <w:rFonts w:ascii="Calibri" w:cs="Calibri" w:eastAsia="Calibri" w:hAnsi="Calibri"/>
          <w:color w:val="0D1117"/>
          <w:sz w:val="20"/>
          <w:szCs w:val="20"/>
        </w:rPr>
        <w:t xml:space="preserve">NENA 2026 (Columbus, OH, July 2026) — Every major competitor is presenting at NENA. RC should have a presence or at minimum a targeted outreach campaign to agencies attending.</w:t>
      </w:r>
    </w:p>
    <w:p>
      <w:pPr>
        <w:pStyle w:val="ListParagraph"/>
        <w:numPr>
          <w:ilvl w:val="0"/>
          <w:numId w:val="1"/>
        </w:numPr>
        <w:spacing w:after="80"/>
      </w:pPr>
      <w:r>
        <w:rPr>
          <w:rFonts w:ascii="Calibri" w:cs="Calibri" w:eastAsia="Calibri" w:hAnsi="Calibri"/>
          <w:color w:val="0D1117"/>
          <w:sz w:val="20"/>
          <w:szCs w:val="20"/>
        </w:rPr>
        <w:t xml:space="preserve">APCO 2026 (San Antonio, TX, August 2026) — GovWorx and RapidSOS will both be at APCO. This is the tier-1 industry conference for public safety communications. Priority target.</w:t>
      </w:r>
    </w:p>
    <w:p>
      <w:pPr>
        <w:pStyle w:val="ListParagraph"/>
        <w:numPr>
          <w:ilvl w:val="0"/>
          <w:numId w:val="1"/>
        </w:numPr>
        <w:spacing w:after="80"/>
      </w:pPr>
      <w:r>
        <w:rPr>
          <w:rFonts w:ascii="Calibri" w:cs="Calibri" w:eastAsia="Calibri" w:hAnsi="Calibri"/>
          <w:color w:val="0D1117"/>
          <w:sz w:val="20"/>
          <w:szCs w:val="20"/>
        </w:rPr>
        <w:t xml:space="preserve">The NG911 buildout window (2025–2030) is the defining procurement cycle. Agencies upgrading their network infrastructure are also evaluating AI layers simultaneously. RC should be in every NG911 procurement conversation.</w:t>
      </w:r>
    </w:p>
    <w:p>
      <w:pPr>
        <w:spacing w:after="200"/>
      </w:pPr>
      <w:r>
        <w:t xml:space="preserve"/>
      </w:r>
    </w:p>
    <w:p>
      <w:pPr>
        <w:pBdr>
          <w:bottom w:val="single" w:color="C8102E" w:sz="8"/>
        </w:pBdr>
        <w:spacing w:after="120" w:before="360"/>
      </w:pPr>
      <w:r>
        <w:rPr>
          <w:rFonts w:ascii="Calibri" w:cs="Calibri" w:eastAsia="Calibri" w:hAnsi="Calibri"/>
          <w:b/>
          <w:bCs/>
          <w:color w:val="0B3D91"/>
          <w:sz w:val="36"/>
          <w:szCs w:val="36"/>
        </w:rPr>
        <w:t xml:space="preserve">9. Conclusion</w:t>
      </w:r>
    </w:p>
    <w:p>
      <w:pPr>
        <w:spacing w:after="120"/>
      </w:pPr>
      <w:r>
        <w:t xml:space="preserve"/>
      </w:r>
    </w:p>
    <w:p>
      <w:pPr>
        <w:spacing w:after="100"/>
        <w:jc w:val="both"/>
      </w:pPr>
      <w:r>
        <w:rPr>
          <w:rFonts w:ascii="Calibri" w:cs="Calibri" w:eastAsia="Calibri" w:hAnsi="Calibri"/>
          <w:color w:val="0D1117"/>
          <w:sz w:val="20"/>
          <w:szCs w:val="20"/>
        </w:rPr>
        <w:t xml:space="preserve">NexCort iQ is entering the public safety AI market at the precise moment when the market has been validated by $1B+ in M&amp;A activity, agency urgency is at its highest point due to staffing crises, and the competitive landscape has not yet consolidated at the agency level.</w:t>
      </w:r>
    </w:p>
    <w:p>
      <w:pPr>
        <w:spacing w:after="120"/>
      </w:pPr>
      <w:r>
        <w:t xml:space="preserve"/>
      </w:r>
    </w:p>
    <w:p>
      <w:pPr>
        <w:spacing w:after="100"/>
        <w:jc w:val="both"/>
      </w:pPr>
      <w:r>
        <w:rPr>
          <w:rFonts w:ascii="Calibri" w:cs="Calibri" w:eastAsia="Calibri" w:hAnsi="Calibri"/>
          <w:color w:val="0D1117"/>
          <w:sz w:val="20"/>
          <w:szCs w:val="20"/>
        </w:rPr>
        <w:t xml:space="preserve">Our pricing is strategically placed: above single-point solution pricing (GovWorx at $68K), competitive with the best AI platforms (Prepared, RapidSOS UNITE), and well below the total cost of enterprise hardware-bundled solutions (Axon, Motorola). We are not the cheapest option in any tier — we are priced to signal quality, deliver value, and sustain the operational support that public safety agencies require.</w:t>
      </w:r>
    </w:p>
    <w:p>
      <w:pPr>
        <w:spacing w:after="120"/>
      </w:pPr>
      <w:r>
        <w:t xml:space="preserve"/>
      </w:r>
    </w:p>
    <w:p>
      <w:pPr>
        <w:spacing w:after="100"/>
        <w:jc w:val="both"/>
      </w:pPr>
      <w:r>
        <w:rPr>
          <w:rFonts w:ascii="Calibri" w:cs="Calibri" w:eastAsia="Calibri" w:hAnsi="Calibri"/>
          <w:color w:val="0D1117"/>
          <w:sz w:val="20"/>
          <w:szCs w:val="20"/>
        </w:rPr>
        <w:t xml:space="preserve">The primary risk is speed. The agencies that piloted Prepared in its first two years became Axon's installed base through acquisition. NexCort iQ has the same window. The next 18–24 months are the defining period for building the reference base, proving ROI, and establishing RC as the independent standard for 911 AI intelligence.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D1117" w:val="clear"/>
          </w:tcPr>
          <w:p>
            <w:pPr>
              <w:spacing w:after="60" w:before="120"/>
              <w:jc w:val="center"/>
            </w:pPr>
            <w:r>
              <w:rPr>
                <w:rFonts w:ascii="Calibri" w:cs="Calibri" w:eastAsia="Calibri" w:hAnsi="Calibri"/>
                <w:b/>
                <w:bCs/>
                <w:color w:val="C8102E"/>
                <w:sz w:val="22"/>
                <w:szCs w:val="22"/>
              </w:rPr>
              <w:t xml:space="preserve">NexCort iQ — Intelligence at the Speed of Response</w:t>
            </w:r>
          </w:p>
          <w:p>
            <w:pPr>
              <w:spacing w:after="120"/>
              <w:jc w:val="center"/>
            </w:pPr>
            <w:r>
              <w:rPr>
                <w:rFonts w:ascii="Calibri" w:cs="Calibri" w:eastAsia="Calibri" w:hAnsi="Calibri"/>
                <w:color w:val="B0BEC5"/>
                <w:sz w:val="18"/>
                <w:szCs w:val="18"/>
              </w:rPr>
              <w:t xml:space="preserve">Confidential — Internal Strategy Document — July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2026-07-10T02:30:55.598Z</dcterms:created>
  <dcterms:modified xsi:type="dcterms:W3CDTF">2026-07-10T02:30:55.610Z</dcterms:modified>
</cp:coreProperties>
</file>

<file path=docProps/custom.xml><?xml version="1.0" encoding="utf-8"?>
<Properties xmlns="http://schemas.openxmlformats.org/officeDocument/2006/custom-properties" xmlns:vt="http://schemas.openxmlformats.org/officeDocument/2006/docPropsVTypes"/>
</file>