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color="0A1628" w:val="clear"/>
        <w:spacing w:after="0" w:before="1800"/>
        <w:jc w:val="center"/>
      </w:pPr>
      <w:r>
        <w:rPr>
          <w:rFonts w:ascii="Calibri" w:cs="Calibri" w:eastAsia="Calibri" w:hAnsi="Calibri"/>
          <w:b/>
          <w:bCs/>
          <w:color w:val="FFFFFF"/>
          <w:sz w:val="60"/>
          <w:szCs w:val="60"/>
        </w:rPr>
        <w:t xml:space="preserve">NEXCORT IQ</w:t>
      </w:r>
    </w:p>
    <w:p>
      <w:pPr>
        <w:shd w:fill="0A1628" w:color="0A1628" w:val="clear"/>
        <w:spacing w:after="0" w:before="0"/>
        <w:jc w:val="center"/>
      </w:pPr>
      <w:r>
        <w:rPr>
          <w:rFonts w:ascii="Calibri" w:cs="Calibri" w:eastAsia="Calibri" w:hAnsi="Calibri"/>
          <w:b w:val="false"/>
          <w:bCs w:val="false"/>
          <w:color w:val="7DD3FC"/>
          <w:sz w:val="28"/>
          <w:szCs w:val="28"/>
        </w:rPr>
        <w:t xml:space="preserve">Intelligence at the Speed of Response</w:t>
      </w:r>
    </w:p>
    <w:p>
      <w:pPr>
        <w:shd w:fill="BF1C2E" w:color="BF1C2E" w:val="clear"/>
        <w:spacing w:after="0" w:before="0"/>
        <w:jc w:val="center"/>
      </w:pPr>
      <w:r>
        <w:rPr>
          <w:rFonts w:ascii="Calibri" w:cs="Calibri" w:eastAsia="Calibri" w:hAnsi="Calibri"/>
          <w:b w:val="false"/>
          <w:bCs w:val="false"/>
          <w:color w:val="0F172A"/>
          <w:sz w:val="18"/>
          <w:szCs w:val="18"/>
        </w:rPr>
        <w:t xml:space="preserve"> </w:t>
      </w:r>
    </w:p>
    <w:p>
      <w:pPr>
        <w:shd w:fill="0A1628" w:color="0A1628" w:val="clear"/>
        <w:spacing w:after="0" w:before="120"/>
        <w:jc w:val="center"/>
      </w:pPr>
      <w:r>
        <w:rPr>
          <w:rFonts w:ascii="Calibri" w:cs="Calibri" w:eastAsia="Calibri" w:hAnsi="Calibri"/>
          <w:b/>
          <w:bCs/>
          <w:color w:val="FFFFFF"/>
          <w:sz w:val="38"/>
          <w:szCs w:val="38"/>
        </w:rPr>
        <w:t xml:space="preserve">12-Month Market Penetration Strategy</w:t>
      </w:r>
    </w:p>
    <w:p>
      <w:pPr>
        <w:shd w:fill="0A1628" w:color="0A1628" w:val="clear"/>
        <w:spacing w:after="0" w:before="80"/>
        <w:jc w:val="center"/>
      </w:pPr>
      <w:r>
        <w:rPr>
          <w:rFonts w:ascii="Calibri" w:cs="Calibri" w:eastAsia="Calibri" w:hAnsi="Calibri"/>
          <w:b w:val="false"/>
          <w:bCs w:val="false"/>
          <w:color w:val="CBD5E1"/>
          <w:sz w:val="24"/>
          <w:szCs w:val="24"/>
        </w:rPr>
        <w:t xml:space="preserve">August 2026 – July 2027</w:t>
      </w:r>
    </w:p>
    <w:p>
      <w:pPr>
        <w:shd w:fill="0A1628" w:color="0A1628" w:val="clear"/>
        <w:spacing w:after="0" w:before="80"/>
        <w:jc w:val="center"/>
      </w:pPr>
      <w:r>
        <w:rPr>
          <w:rFonts w:ascii="Calibri" w:cs="Calibri" w:eastAsia="Calibri" w:hAnsi="Calibri"/>
          <w:b w:val="false"/>
          <w:bCs w:val="false"/>
          <w:color w:val="64748B"/>
          <w:sz w:val="17"/>
          <w:szCs w:val="17"/>
        </w:rPr>
        <w:t xml:space="preserve">Coverage period: August 2026 – July 2027  ·  Prepared by: Strategy &amp; Product  ·  July 2026</w:t>
      </w:r>
    </w:p>
    <w:p>
      <w:pPr>
        <w:shd w:fill="162848" w:color="162848" w:val="clear"/>
        <w:spacing w:after="0" w:before="360"/>
        <w:ind w:left="240" w:right="240"/>
      </w:pPr>
      <w:r>
        <w:rPr>
          <w:rFonts w:ascii="Calibri" w:cs="Calibri" w:eastAsia="Calibri" w:hAnsi="Calibri"/>
          <w:b/>
          <w:bCs/>
          <w:color w:val="7DD3FC"/>
          <w:sz w:val="21"/>
          <w:szCs w:val="21"/>
        </w:rPr>
        <w:t xml:space="preserve">Executive Read-Out</w:t>
      </w:r>
    </w:p>
    <w:p>
      <w:pPr>
        <w:shd w:fill="162848" w:color="162848" w:val="clear"/>
        <w:spacing w:after="0" w:before="0"/>
        <w:ind w:left="240" w:right="240"/>
      </w:pPr>
      <w:r>
        <w:rPr>
          <w:rFonts w:ascii="Calibri" w:cs="Calibri" w:eastAsia="Calibri" w:hAnsi="Calibri"/>
          <w:b w:val="false"/>
          <w:bCs w:val="false"/>
          <w:color w:val="CBD5E1"/>
          <w:sz w:val="19"/>
          <w:szCs w:val="19"/>
        </w:rPr>
        <w:t xml:space="preserve">The core thesis: NexCort iQ enters the market at the same position Prepared was in when it grew to 1,000+ agencies. The window is open — and actively closing as Axon consolidates. Every action in the next 12 months is about building the reference base before that window narrows.</w:t>
      </w:r>
    </w:p>
    <w:p>
      <w:pPr>
        <w:shd w:fill="162848" w:color="162848" w:val="clear"/>
        <w:spacing w:after="0" w:before="120"/>
        <w:ind w:left="240" w:right="240"/>
      </w:pPr>
      <w:r>
        <w:rPr>
          <w:rFonts w:ascii="Calibri" w:cs="Calibri" w:eastAsia="Calibri" w:hAnsi="Calibri"/>
          <w:b/>
          <w:bCs/>
          <w:color w:val="FFFFFF"/>
          <w:sz w:val="19"/>
          <w:szCs w:val="19"/>
        </w:rPr>
        <w:t xml:space="preserve">Four phases of attack:</w:t>
      </w:r>
    </w:p>
    <w:p>
      <w:pPr>
        <w:pStyle w:val="ListParagraph"/>
        <w:numPr>
          <w:ilvl w:val="0"/>
          <w:numId w:val="1"/>
        </w:numPr>
        <w:shd w:fill="162848" w:color="162848" w:val="clear"/>
        <w:spacing w:after="40" w:before="40"/>
        <w:ind w:left="360" w:right="240"/>
      </w:pPr>
      <w:r>
        <w:rPr>
          <w:rFonts w:ascii="Calibri" w:cs="Calibri" w:eastAsia="Calibri" w:hAnsi="Calibri"/>
          <w:b w:val="false"/>
          <w:bCs w:val="false"/>
          <w:color w:val="CBD5E1"/>
          <w:sz w:val="18"/>
          <w:szCs w:val="18"/>
        </w:rPr>
        <w:t xml:space="preserve">Phase 1 (Aug–Oct): APCO 2026 is the launch event. Get 3–5 pilots signed fast.</w:t>
      </w:r>
    </w:p>
    <w:p>
      <w:pPr>
        <w:pStyle w:val="ListParagraph"/>
        <w:numPr>
          <w:ilvl w:val="0"/>
          <w:numId w:val="1"/>
        </w:numPr>
        <w:shd w:fill="162848" w:color="162848" w:val="clear"/>
        <w:spacing w:after="40" w:before="40"/>
        <w:ind w:left="360" w:right="240"/>
      </w:pPr>
      <w:r>
        <w:rPr>
          <w:rFonts w:ascii="Calibri" w:cs="Calibri" w:eastAsia="Calibri" w:hAnsi="Calibri"/>
          <w:b w:val="false"/>
          <w:bCs w:val="false"/>
          <w:color w:val="CBD5E1"/>
          <w:sz w:val="18"/>
          <w:szCs w:val="18"/>
        </w:rPr>
        <w:t xml:space="preserve">Phase 2 (Nov–Jan): Convert pilots to production. Launch GovWorx displacement. Open Tyler Technologies.</w:t>
      </w:r>
    </w:p>
    <w:p>
      <w:pPr>
        <w:pStyle w:val="ListParagraph"/>
        <w:numPr>
          <w:ilvl w:val="0"/>
          <w:numId w:val="1"/>
        </w:numPr>
        <w:shd w:fill="162848" w:color="162848" w:val="clear"/>
        <w:spacing w:after="40" w:before="40"/>
        <w:ind w:left="360" w:right="240"/>
      </w:pPr>
      <w:r>
        <w:rPr>
          <w:rFonts w:ascii="Calibri" w:cs="Calibri" w:eastAsia="Calibri" w:hAnsi="Calibri"/>
          <w:b w:val="false"/>
          <w:bCs w:val="false"/>
          <w:color w:val="CBD5E1"/>
          <w:sz w:val="18"/>
          <w:szCs w:val="18"/>
        </w:rPr>
        <w:t xml:space="preserve">Phase 3 (Feb–Apr): Scale to 12–15 agencies. Lock in partnership MOUs. Build enterprise pipeline.</w:t>
      </w:r>
    </w:p>
    <w:p>
      <w:pPr>
        <w:pStyle w:val="ListParagraph"/>
        <w:numPr>
          <w:ilvl w:val="0"/>
          <w:numId w:val="1"/>
        </w:numPr>
        <w:shd w:fill="162848" w:color="162848" w:val="clear"/>
        <w:spacing w:after="40" w:before="40"/>
        <w:ind w:left="360" w:right="240"/>
      </w:pPr>
      <w:r>
        <w:rPr>
          <w:rFonts w:ascii="Calibri" w:cs="Calibri" w:eastAsia="Calibri" w:hAnsi="Calibri"/>
          <w:b w:val="false"/>
          <w:bCs w:val="false"/>
          <w:color w:val="CBD5E1"/>
          <w:sz w:val="18"/>
          <w:szCs w:val="18"/>
        </w:rPr>
        <w:t xml:space="preserve">Phase 4 (May–Jul): Close first Command or Enterprise deal. Enter NENA 2027 with deployments behind you.</w:t>
      </w:r>
    </w:p>
    <w:p>
      <w:pPr>
        <w:shd w:fill="162848" w:color="162848" w:val="clear"/>
        <w:spacing w:after="0" w:before="120"/>
        <w:ind w:left="240" w:right="240"/>
      </w:pPr>
      <w:r>
        <w:rPr>
          <w:rFonts w:ascii="Calibri" w:cs="Calibri" w:eastAsia="Calibri" w:hAnsi="Calibri"/>
          <w:b/>
          <w:bCs/>
          <w:color w:val="FFFFFF"/>
          <w:sz w:val="19"/>
          <w:szCs w:val="19"/>
        </w:rPr>
        <w:t xml:space="preserve">Three structural advantages to weaponize: </w:t>
      </w:r>
      <w:r>
        <w:rPr>
          <w:rFonts w:ascii="Calibri" w:cs="Calibri" w:eastAsia="Calibri" w:hAnsi="Calibri"/>
          <w:b w:val="false"/>
          <w:bCs w:val="false"/>
          <w:color w:val="CBD5E1"/>
          <w:sz w:val="19"/>
          <w:szCs w:val="19"/>
        </w:rPr>
        <w:t xml:space="preserve">CAD independence (vs. Axon's bundling), operational depth (vs. GovWorx's single feature), and grant alignment (RC pilot packages are designed to match every major federal and state grant tier).</w:t>
      </w:r>
    </w:p>
    <w:p>
      <w:pPr>
        <w:shd w:fill="162848" w:color="162848" w:val="clear"/>
        <w:spacing w:after="0" w:before="120"/>
        <w:ind w:left="240" w:right="240"/>
      </w:pPr>
      <w:r>
        <w:rPr>
          <w:rFonts w:ascii="Calibri" w:cs="Calibri" w:eastAsia="Calibri" w:hAnsi="Calibri"/>
          <w:b/>
          <w:bCs/>
          <w:color w:val="FFFFFF"/>
          <w:sz w:val="19"/>
          <w:szCs w:val="19"/>
        </w:rPr>
        <w:t xml:space="preserve">The hardest constraint: </w:t>
      </w:r>
      <w:r>
        <w:rPr>
          <w:rFonts w:ascii="Calibri" w:cs="Calibri" w:eastAsia="Calibri" w:hAnsi="Calibri"/>
          <w:b w:val="false"/>
          <w:bCs w:val="false"/>
          <w:color w:val="CBD5E1"/>
          <w:sz w:val="19"/>
          <w:szCs w:val="19"/>
        </w:rPr>
        <w:t xml:space="preserve">Government procurement cycles. Every sales conversation should start by identifying the grant or budget path to production before the pilot agreement is signed — not after.</w:t>
      </w:r>
    </w:p>
    <w:p>
      <w:pPr>
        <w:shd w:fill="0A1628" w:color="0A1628" w:val="clear"/>
        <w:spacing w:after="0" w:before="280"/>
        <w:jc w:val="center"/>
      </w:pPr>
      <w:r>
        <w:rPr>
          <w:rFonts w:ascii="Calibri" w:cs="Calibri" w:eastAsia="Calibri" w:hAnsi="Calibri"/>
          <w:b/>
          <w:bCs/>
          <w:color w:val="64748B"/>
          <w:sz w:val="18"/>
          <w:szCs w:val="18"/>
        </w:rPr>
        <w:t xml:space="preserve">CONFIDENTIAL — Internal Strategy Document</w:t>
      </w:r>
    </w:p>
    <w:p>
      <w:pPr>
        <w:shd w:fill="0A1628" w:color="0A1628" w:val="clear"/>
        <w:spacing w:after="0" w:before="60"/>
        <w:jc w:val="center"/>
      </w:pPr>
      <w:r>
        <w:rPr>
          <w:rFonts w:ascii="Calibri" w:cs="Calibri" w:eastAsia="Calibri" w:hAnsi="Calibri"/>
          <w:b w:val="false"/>
          <w:bCs w:val="false"/>
          <w:color w:val="64748B"/>
          <w:sz w:val="17"/>
          <w:szCs w:val="17"/>
        </w:rPr>
        <w:t xml:space="preserve">rapidcortex.us  ·  sales@rapidcortex.us</w:t>
      </w:r>
    </w:p>
    <w:p>
      <w:r>
        <w:br w:type="page"/>
      </w:r>
    </w:p>
    <w:p>
      <w:pPr>
        <w:pStyle w:val="Heading1"/>
        <w:spacing w:after="120" w:before="360"/>
      </w:pPr>
      <w:r>
        <w:rPr>
          <w:rFonts w:ascii="Calibri" w:cs="Calibri" w:eastAsia="Calibri" w:hAnsi="Calibri"/>
          <w:b/>
          <w:bCs/>
          <w:color w:val="0A1628"/>
          <w:sz w:val="32"/>
          <w:szCs w:val="32"/>
        </w:rPr>
        <w:t xml:space="preserve">1. Executive Summary</w:t>
      </w:r>
    </w:p>
    <w:p>
      <w:pPr>
        <w:pBdr>
          <w:bottom w:val="single" w:color="1A3050" w:sz="6" w:space="1"/>
        </w:pBdr>
        <w:spacing w:after="120" w:before="120"/>
      </w:pPr>
    </w:p>
    <w:p>
      <w:pPr>
        <w:shd w:fill="DBEAFE" w:color="DBEAFE" w:val="clear"/>
        <w:spacing w:after="0" w:before="160"/>
        <w:ind w:left="180" w:right="180"/>
      </w:pPr>
      <w:r>
        <w:rPr>
          <w:rFonts w:ascii="Calibri" w:cs="Calibri" w:eastAsia="Calibri" w:hAnsi="Calibri"/>
          <w:b/>
          <w:bCs/>
          <w:color w:val="1E3A8A"/>
          <w:sz w:val="19"/>
          <w:szCs w:val="19"/>
        </w:rPr>
        <w:t xml:space="preserve">Strategic window:</w:t>
      </w:r>
    </w:p>
    <w:p>
      <w:pPr>
        <w:shd w:fill="DBEAFE" w:color="DBEAFE" w:val="clear"/>
        <w:spacing w:after="200" w:before="0"/>
        <w:ind w:left="180" w:right="180"/>
      </w:pPr>
      <w:r>
        <w:rPr>
          <w:rFonts w:ascii="Calibri" w:cs="Calibri" w:eastAsia="Calibri" w:hAnsi="Calibri"/>
          <w:b w:val="false"/>
          <w:bCs w:val="false"/>
          <w:color w:val="0F172A"/>
          <w:sz w:val="18"/>
          <w:szCs w:val="18"/>
        </w:rPr>
        <w:t xml:space="preserve">Axon's acquisition of Prepared and Carbyne in late 2025 validated the 911 AI market at $1B+ in M&amp;A activity. NexCort iQ enters this market post-validation but pre-consolidation at the agency level — the same starting position Prepared had when it grew to 1,000+ agencies in 2–3 years. The next 18–24 months are the defining window to build the reference base, prove ROI, and establish RC as the independent standard for 911 AI intelligence.</w:t>
      </w:r>
    </w:p>
    <w:p>
      <w:pPr>
        <w:spacing w:after="0" w:before="200"/>
      </w:pPr>
    </w:p>
    <w:p>
      <w:pPr>
        <w:spacing w:after="80" w:before="200"/>
      </w:pPr>
      <w:r>
        <w:rPr>
          <w:rFonts w:ascii="Calibri" w:cs="Calibri" w:eastAsia="Calibri" w:hAnsi="Calibri"/>
          <w:b/>
          <w:bCs/>
          <w:color w:val="0A1628"/>
          <w:sz w:val="22"/>
          <w:szCs w:val="22"/>
        </w:rPr>
        <w:t xml:space="preserve">Key 12-Month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80"/>
        <w:gridCol w:w="3680"/>
      </w:tblGrid>
      <w:tr>
        <w:tc>
          <w:tcPr>
            <w:tcW w:type="dxa" w:w="36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Metric</w:t>
            </w:r>
          </w:p>
        </w:tc>
        <w:tc>
          <w:tcPr>
            <w:tcW w:type="dxa" w:w="20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Target</w:t>
            </w:r>
          </w:p>
        </w:tc>
        <w:tc>
          <w:tcPr>
            <w:tcW w:type="dxa" w:w="3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Description</w:t>
            </w:r>
          </w:p>
        </w:tc>
      </w:tr>
      <w:tr>
        <w:tc>
          <w:tcPr>
            <w:tcW w:type="dxa" w:w="36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Target agencies (month 12)</w:t>
            </w:r>
          </w:p>
        </w:tc>
        <w:tc>
          <w:tcPr>
            <w:tcW w:type="dxa" w:w="20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15–20</w:t>
            </w:r>
          </w:p>
        </w:tc>
        <w:tc>
          <w:tcPr>
            <w:tcW w:type="dxa" w:w="3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Active contracts</w:t>
            </w:r>
          </w:p>
        </w:tc>
      </w:tr>
      <w:tr>
        <w:tc>
          <w:tcPr>
            <w:tcW w:type="dxa" w:w="36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ARR target (month 12)</w:t>
            </w:r>
          </w:p>
        </w:tc>
        <w:tc>
          <w:tcPr>
            <w:tcW w:type="dxa" w:w="20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$1.5M</w:t>
            </w:r>
          </w:p>
        </w:tc>
        <w:tc>
          <w:tcPr>
            <w:tcW w:type="dxa" w:w="36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Conservative path</w:t>
            </w:r>
          </w:p>
        </w:tc>
      </w:tr>
      <w:tr>
        <w:tc>
          <w:tcPr>
            <w:tcW w:type="dxa" w:w="36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Pilot conversion rate</w:t>
            </w:r>
          </w:p>
        </w:tc>
        <w:tc>
          <w:tcPr>
            <w:tcW w:type="dxa" w:w="20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60%</w:t>
            </w:r>
          </w:p>
        </w:tc>
        <w:tc>
          <w:tcPr>
            <w:tcW w:type="dxa" w:w="3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Pilot → production</w:t>
            </w:r>
          </w:p>
        </w:tc>
      </w:tr>
      <w:tr>
        <w:tc>
          <w:tcPr>
            <w:tcW w:type="dxa" w:w="36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Reference customers (M12)</w:t>
            </w:r>
          </w:p>
        </w:tc>
        <w:tc>
          <w:tcPr>
            <w:tcW w:type="dxa" w:w="20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5–8</w:t>
            </w:r>
          </w:p>
        </w:tc>
        <w:tc>
          <w:tcPr>
            <w:tcW w:type="dxa" w:w="36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Public reference</w:t>
            </w:r>
          </w:p>
        </w:tc>
      </w:tr>
      <w:tr>
        <w:tc>
          <w:tcPr>
            <w:tcW w:type="dxa" w:w="36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Primary vertical</w:t>
            </w:r>
          </w:p>
        </w:tc>
        <w:tc>
          <w:tcPr>
            <w:tcW w:type="dxa" w:w="20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Core</w:t>
            </w:r>
          </w:p>
        </w:tc>
        <w:tc>
          <w:tcPr>
            <w:tcW w:type="dxa" w:w="3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911 / PSAP</w:t>
            </w:r>
          </w:p>
        </w:tc>
      </w:tr>
      <w:tr>
        <w:tc>
          <w:tcPr>
            <w:tcW w:type="dxa" w:w="36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Entry market size</w:t>
            </w:r>
          </w:p>
        </w:tc>
        <w:tc>
          <w:tcPr>
            <w:tcW w:type="dxa" w:w="20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$7.7B</w:t>
            </w:r>
          </w:p>
        </w:tc>
        <w:tc>
          <w:tcPr>
            <w:tcW w:type="dxa" w:w="36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North America (2025)</w:t>
            </w:r>
          </w:p>
        </w:tc>
      </w:tr>
    </w:tbl>
    <w:p>
      <w:pPr>
        <w:spacing w:after="0" w:before="200"/>
      </w:pPr>
    </w:p>
    <w:p>
      <w:pPr>
        <w:spacing w:after="80" w:before="200"/>
      </w:pPr>
      <w:r>
        <w:rPr>
          <w:rFonts w:ascii="Calibri" w:cs="Calibri" w:eastAsia="Calibri" w:hAnsi="Calibri"/>
          <w:b/>
          <w:bCs/>
          <w:color w:val="0A1628"/>
          <w:sz w:val="22"/>
          <w:szCs w:val="22"/>
        </w:rPr>
        <w:t xml:space="preserve">Tailwinds &amp; Headwinds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Tailwinds (favoring RC)</w:t>
            </w:r>
          </w:p>
        </w:tc>
        <w:tc>
          <w:tcPr>
            <w:tcW w:type="dxa" w:w="4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Headwinds (risks to manage)</w:t>
            </w:r>
          </w:p>
        </w:tc>
      </w:tr>
      <w:tr>
        <w:tc>
          <w:tcPr>
            <w:tcW w:type="dxa" w:w="4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pStyle w:val="ListParagraph"/>
              <w:numPr>
                <w:ilvl w:val="0"/>
                <w:numId w:val="1"/>
              </w:numPr>
              <w:spacing w:after="40" w:before="20"/>
            </w:pPr>
            <w:r>
              <w:rPr>
                <w:rFonts w:ascii="Calibri" w:cs="Calibri" w:eastAsia="Calibri" w:hAnsi="Calibri"/>
                <w:b w:val="false"/>
                <w:bCs w:val="false"/>
                <w:color w:val="334155"/>
                <w:sz w:val="17"/>
                <w:szCs w:val="17"/>
              </w:rPr>
              <w:t xml:space="preserve">Market validated by $1B+ M&amp;A — agencies know AI is real</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25%+ dispatcher vacancy rates driving AI urgency</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NG911 infrastructure buildout (76% → 98% by 2030) opens AI overlay market</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Federal COPS, CDS, and state grants actively funding tech adoption</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Axon bundling creating anti-monopoly procurement sentiment</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RC priced to align with every major grant award tier</w:t>
            </w:r>
          </w:p>
        </w:tc>
        <w:tc>
          <w:tcPr>
            <w:tcW w:type="dxa" w:w="4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pStyle w:val="ListParagraph"/>
              <w:numPr>
                <w:ilvl w:val="0"/>
                <w:numId w:val="1"/>
              </w:numPr>
              <w:spacing w:after="40" w:before="20"/>
            </w:pPr>
            <w:r>
              <w:rPr>
                <w:rFonts w:ascii="Calibri" w:cs="Calibri" w:eastAsia="Calibri" w:hAnsi="Calibri"/>
                <w:b w:val="false"/>
                <w:bCs w:val="false"/>
                <w:color w:val="334155"/>
                <w:sz w:val="17"/>
                <w:szCs w:val="17"/>
              </w:rPr>
              <w:t xml:space="preserve">Government procurement cycles run 9–18 months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RapidSOS free portal creates inertia in small agencies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Brand recognition gap vs. Axon/Motorola/Tyler incumbents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CJIS compliance reviews add time to procurement</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Axon bundling AI into existing hardware contracts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Sales team in early build phase — limited bandwidth</w:t>
            </w:r>
          </w:p>
        </w:tc>
      </w:tr>
    </w:tbl>
    <w:p>
      <w:r>
        <w:br w:type="page"/>
      </w:r>
    </w:p>
    <w:p>
      <w:pPr>
        <w:pStyle w:val="Heading1"/>
        <w:spacing w:after="120" w:before="360"/>
      </w:pPr>
      <w:r>
        <w:rPr>
          <w:rFonts w:ascii="Calibri" w:cs="Calibri" w:eastAsia="Calibri" w:hAnsi="Calibri"/>
          <w:b/>
          <w:bCs/>
          <w:color w:val="0A1628"/>
          <w:sz w:val="32"/>
          <w:szCs w:val="32"/>
        </w:rPr>
        <w:t xml:space="preserve">2. Market Window — July 2026 Snapshot</w:t>
      </w:r>
    </w:p>
    <w:p>
      <w:pPr>
        <w:pBdr>
          <w:bottom w:val="single" w:color="1A3050" w:sz="6" w:space="1"/>
        </w:pBdr>
        <w:spacing w:after="120" w:before="120"/>
      </w:pPr>
    </w:p>
    <w:p>
      <w:pPr>
        <w:shd w:fill="FEF3C7" w:color="FEF3C7" w:val="clear"/>
        <w:spacing w:after="0" w:before="160"/>
        <w:ind w:left="180" w:right="180"/>
      </w:pPr>
      <w:r>
        <w:rPr>
          <w:rFonts w:ascii="Calibri" w:cs="Calibri" w:eastAsia="Calibri" w:hAnsi="Calibri"/>
          <w:b/>
          <w:bCs/>
          <w:color w:val="78350F"/>
          <w:sz w:val="19"/>
          <w:szCs w:val="19"/>
        </w:rPr>
        <w:t xml:space="preserve">The window is open — and actively closing:</w:t>
      </w:r>
    </w:p>
    <w:p>
      <w:pPr>
        <w:shd w:fill="FEF3C7" w:color="FEF3C7" w:val="clear"/>
        <w:spacing w:after="200" w:before="0"/>
        <w:ind w:left="180" w:right="180"/>
      </w:pPr>
      <w:r>
        <w:rPr>
          <w:rFonts w:ascii="Calibri" w:cs="Calibri" w:eastAsia="Calibri" w:hAnsi="Calibri"/>
          <w:b w:val="false"/>
          <w:bCs w:val="false"/>
          <w:color w:val="0F172A"/>
          <w:sz w:val="18"/>
          <w:szCs w:val="18"/>
        </w:rPr>
        <w:t xml:space="preserve">Prepared took 2–3 years from launch to 1,000+ agencies and acquisition. NexCort iQ is at the same starting line today with a deeper product, cleaner data architecture, and a clearer competitive narrative. The agencies that sign now become the reference base that unlocks everything else.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60"/>
        <w:gridCol w:w="4200"/>
      </w:tblGrid>
      <w:tr>
        <w:tc>
          <w:tcPr>
            <w:tcW w:type="dxa" w:w="32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Metric</w:t>
            </w:r>
          </w:p>
        </w:tc>
        <w:tc>
          <w:tcPr>
            <w:tcW w:type="dxa" w:w="19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Value</w:t>
            </w:r>
          </w:p>
        </w:tc>
        <w:tc>
          <w:tcPr>
            <w:tcW w:type="dxa" w:w="42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Implication for RC</w:t>
            </w:r>
          </w:p>
        </w:tc>
      </w:tr>
      <w:tr>
        <w:tc>
          <w:tcPr>
            <w:tcW w:type="dxa" w:w="3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Global public safety software market (2025)</w:t>
            </w:r>
          </w:p>
        </w:tc>
        <w:tc>
          <w:tcPr>
            <w:tcW w:type="dxa" w:w="19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$18.2B</w:t>
            </w:r>
          </w:p>
        </w:tc>
        <w:tc>
          <w:tcPr>
            <w:tcW w:type="dxa" w:w="4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Large addressable market with proven spend</w:t>
            </w:r>
          </w:p>
        </w:tc>
      </w:tr>
      <w:tr>
        <w:tc>
          <w:tcPr>
            <w:tcW w:type="dxa" w:w="3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Market CAGR through 2034</w:t>
            </w:r>
          </w:p>
        </w:tc>
        <w:tc>
          <w:tcPr>
            <w:tcW w:type="dxa" w:w="19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11.3%</w:t>
            </w:r>
          </w:p>
        </w:tc>
        <w:tc>
          <w:tcPr>
            <w:tcW w:type="dxa" w:w="4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Growing fast enough to support multiple winners</w:t>
            </w:r>
          </w:p>
        </w:tc>
      </w:tr>
      <w:tr>
        <w:tc>
          <w:tcPr>
            <w:tcW w:type="dxa" w:w="3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North America share</w:t>
            </w:r>
          </w:p>
        </w:tc>
        <w:tc>
          <w:tcPr>
            <w:tcW w:type="dxa" w:w="19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$7.7B (42.3%)</w:t>
            </w:r>
          </w:p>
        </w:tc>
        <w:tc>
          <w:tcPr>
            <w:tcW w:type="dxa" w:w="4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Primary RC territory — concentrated, English-speaking</w:t>
            </w:r>
          </w:p>
        </w:tc>
      </w:tr>
      <w:tr>
        <w:tc>
          <w:tcPr>
            <w:tcW w:type="dxa" w:w="3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AI-in-dispatch segment growth</w:t>
            </w:r>
          </w:p>
        </w:tc>
        <w:tc>
          <w:tcPr>
            <w:tcW w:type="dxa" w:w="19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15–20% faster than overall</w:t>
            </w:r>
          </w:p>
        </w:tc>
        <w:tc>
          <w:tcPr>
            <w:tcW w:type="dxa" w:w="4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RC's exact sub-segment is the hottest part of the market</w:t>
            </w:r>
          </w:p>
        </w:tc>
      </w:tr>
      <w:tr>
        <w:tc>
          <w:tcPr>
            <w:tcW w:type="dxa" w:w="3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US law enforcement agencies</w:t>
            </w:r>
          </w:p>
        </w:tc>
        <w:tc>
          <w:tcPr>
            <w:tcW w:type="dxa" w:w="19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18,000+</w:t>
            </w:r>
          </w:p>
        </w:tc>
        <w:tc>
          <w:tcPr>
            <w:tcW w:type="dxa" w:w="4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Massive SAM even at very low penetration</w:t>
            </w:r>
          </w:p>
        </w:tc>
      </w:tr>
      <w:tr>
        <w:tc>
          <w:tcPr>
            <w:tcW w:type="dxa" w:w="3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US 911 dispatch centers</w:t>
            </w:r>
          </w:p>
        </w:tc>
        <w:tc>
          <w:tcPr>
            <w:tcW w:type="dxa" w:w="19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5,800+ PSAPs</w:t>
            </w:r>
          </w:p>
        </w:tc>
        <w:tc>
          <w:tcPr>
            <w:tcW w:type="dxa" w:w="4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Core primary target pool</w:t>
            </w:r>
          </w:p>
        </w:tc>
      </w:tr>
      <w:tr>
        <w:tc>
          <w:tcPr>
            <w:tcW w:type="dxa" w:w="3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NG911 IP buildout completion by 2030</w:t>
            </w:r>
          </w:p>
        </w:tc>
        <w:tc>
          <w:tcPr>
            <w:tcW w:type="dxa" w:w="19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98.4%</w:t>
            </w:r>
          </w:p>
        </w:tc>
        <w:tc>
          <w:tcPr>
            <w:tcW w:type="dxa" w:w="4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Every upgrading agency needs an AI layer</w:t>
            </w:r>
          </w:p>
        </w:tc>
      </w:tr>
      <w:tr>
        <w:tc>
          <w:tcPr>
            <w:tcW w:type="dxa" w:w="3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Dispatcher vacancy rates (major metros)</w:t>
            </w:r>
          </w:p>
        </w:tc>
        <w:tc>
          <w:tcPr>
            <w:tcW w:type="dxa" w:w="19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&gt;25%</w:t>
            </w:r>
          </w:p>
        </w:tc>
        <w:tc>
          <w:tcPr>
            <w:tcW w:type="dxa" w:w="4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Staffing crisis = urgent AI adoption need</w:t>
            </w:r>
          </w:p>
        </w:tc>
      </w:tr>
      <w:tr>
        <w:tc>
          <w:tcPr>
            <w:tcW w:type="dxa" w:w="3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Non-emergency share of 911 call volume</w:t>
            </w:r>
          </w:p>
        </w:tc>
        <w:tc>
          <w:tcPr>
            <w:tcW w:type="dxa" w:w="19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60–75%</w:t>
            </w:r>
          </w:p>
        </w:tc>
        <w:tc>
          <w:tcPr>
            <w:tcW w:type="dxa" w:w="4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Strong ROI story for AI triage</w:t>
            </w:r>
          </w:p>
        </w:tc>
      </w:tr>
      <w:tr>
        <w:tc>
          <w:tcPr>
            <w:tcW w:type="dxa" w:w="3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Documented response time improvement (AI triage)</w:t>
            </w:r>
          </w:p>
        </w:tc>
        <w:tc>
          <w:tcPr>
            <w:tcW w:type="dxa" w:w="19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15–20%</w:t>
            </w:r>
          </w:p>
        </w:tc>
        <w:tc>
          <w:tcPr>
            <w:tcW w:type="dxa" w:w="4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Fundable ROI narrative for grant applications</w:t>
            </w:r>
          </w:p>
        </w:tc>
      </w:tr>
    </w:tbl>
    <w:p>
      <w:pPr>
        <w:spacing w:after="0" w:before="200"/>
      </w:pPr>
    </w:p>
    <w:p>
      <w:pPr>
        <w:spacing w:after="80" w:before="200"/>
      </w:pPr>
      <w:r>
        <w:rPr>
          <w:rFonts w:ascii="Calibri" w:cs="Calibri" w:eastAsia="Calibri" w:hAnsi="Calibri"/>
          <w:b/>
          <w:bCs/>
          <w:color w:val="0A1628"/>
          <w:sz w:val="22"/>
          <w:szCs w:val="22"/>
        </w:rPr>
        <w:t xml:space="preserve">Where RC Competes in the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Layer</w:t>
            </w:r>
          </w:p>
        </w:tc>
        <w:tc>
          <w:tcPr>
            <w:tcW w:type="dxa" w:w="32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Who</w:t>
            </w:r>
          </w:p>
        </w:tc>
        <w:tc>
          <w:tcPr>
            <w:tcW w:type="dxa" w:w="37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RC Role</w:t>
            </w:r>
          </w:p>
        </w:tc>
      </w:tr>
      <w:tr>
        <w:tc>
          <w:tcPr>
            <w:tcW w:type="dxa" w:w="2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64748B"/>
                <w:sz w:val="18"/>
                <w:szCs w:val="18"/>
              </w:rPr>
              <w:t xml:space="preserve">Layer 1  Infrastructure / network</w:t>
            </w:r>
          </w:p>
        </w:tc>
        <w:tc>
          <w:tcPr>
            <w:tcW w:type="dxa" w:w="3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AT&amp;T, Comcast, RapidSOS data network</w:t>
            </w:r>
          </w:p>
        </w:tc>
        <w:tc>
          <w:tcPr>
            <w:tcW w:type="dxa" w:w="37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Partner / complement — not competing</w:t>
            </w:r>
          </w:p>
        </w:tc>
      </w:tr>
      <w:tr>
        <w:tc>
          <w:tcPr>
            <w:tcW w:type="dxa" w:w="2400"/>
            <w:tcBorders>
              <w:top w:val="single" w:color="C8D4E8" w:sz="4"/>
              <w:left w:val="single" w:color="C8D4E8" w:sz="4"/>
              <w:bottom w:val="single" w:color="C8D4E8" w:sz="4"/>
              <w:right w:val="single" w:color="C8D4E8" w:sz="4"/>
            </w:tcBorders>
            <w:shd w:fill="DBEAFE" w:color="DBEAFE"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Layer 2  AI intelligence (RC)</w:t>
            </w:r>
          </w:p>
        </w:tc>
        <w:tc>
          <w:tcPr>
            <w:tcW w:type="dxa" w:w="3200"/>
            <w:tcBorders>
              <w:top w:val="single" w:color="C8D4E8" w:sz="4"/>
              <w:left w:val="single" w:color="C8D4E8" w:sz="4"/>
              <w:bottom w:val="single" w:color="C8D4E8" w:sz="4"/>
              <w:right w:val="single" w:color="C8D4E8" w:sz="4"/>
            </w:tcBorders>
            <w:shd w:fill="DBEAFE" w:color="DBEAFE"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RC, Axon 911, GovWorx, RapidSOS UNITE</w:t>
            </w:r>
          </w:p>
        </w:tc>
        <w:tc>
          <w:tcPr>
            <w:tcW w:type="dxa" w:w="3760"/>
            <w:tcBorders>
              <w:top w:val="single" w:color="C8D4E8" w:sz="4"/>
              <w:left w:val="single" w:color="C8D4E8" w:sz="4"/>
              <w:bottom w:val="single" w:color="C8D4E8" w:sz="4"/>
              <w:right w:val="single" w:color="C8D4E8" w:sz="4"/>
            </w:tcBorders>
            <w:shd w:fill="DBEAFE" w:color="DBEAFE"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Direct competition — RC wins on depth &amp; independence</w:t>
            </w:r>
          </w:p>
        </w:tc>
      </w:tr>
      <w:tr>
        <w:tc>
          <w:tcPr>
            <w:tcW w:type="dxa" w:w="2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64748B"/>
                <w:sz w:val="18"/>
                <w:szCs w:val="18"/>
              </w:rPr>
              <w:t xml:space="preserve">Layer 3  CAD / RMS / records</w:t>
            </w:r>
          </w:p>
        </w:tc>
        <w:tc>
          <w:tcPr>
            <w:tcW w:type="dxa" w:w="3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Motorola, Tyler, CentralSquare, Hexagon</w:t>
            </w:r>
          </w:p>
        </w:tc>
        <w:tc>
          <w:tcPr>
            <w:tcW w:type="dxa" w:w="37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Integration target — RC augments, never replaces</w:t>
            </w:r>
          </w:p>
        </w:tc>
      </w:tr>
    </w:tbl>
    <w:p>
      <w:r>
        <w:br w:type="page"/>
      </w:r>
    </w:p>
    <w:p>
      <w:pPr>
        <w:pStyle w:val="Heading1"/>
        <w:spacing w:after="120" w:before="360"/>
      </w:pPr>
      <w:r>
        <w:rPr>
          <w:rFonts w:ascii="Calibri" w:cs="Calibri" w:eastAsia="Calibri" w:hAnsi="Calibri"/>
          <w:b/>
          <w:bCs/>
          <w:color w:val="0A1628"/>
          <w:sz w:val="32"/>
          <w:szCs w:val="32"/>
        </w:rPr>
        <w:t xml:space="preserve">3. 12-Month Strategic Objectives</w:t>
      </w:r>
    </w:p>
    <w:p>
      <w:pPr>
        <w:pBdr>
          <w:bottom w:val="single" w:color="1A3050" w:sz="6" w:space="1"/>
        </w:pBdr>
        <w:spacing w:after="120" w:before="120"/>
      </w:pPr>
    </w:p>
    <w:p>
      <w:pPr>
        <w:pStyle w:val="Heading2"/>
        <w:spacing w:after="100" w:before="280"/>
      </w:pPr>
      <w:r>
        <w:rPr>
          <w:rFonts w:ascii="Calibri" w:cs="Calibri" w:eastAsia="Calibri" w:hAnsi="Calibri"/>
          <w:b/>
          <w:bCs/>
          <w:color w:val="1A3050"/>
          <w:sz w:val="26"/>
          <w:szCs w:val="26"/>
        </w:rPr>
        <w:t xml:space="preserve">Reference Base  ·  Primary objective</w:t>
      </w:r>
    </w:p>
    <w:p>
      <w:pPr>
        <w:spacing w:after="140" w:before="0"/>
      </w:pPr>
      <w:r>
        <w:rPr>
          <w:rFonts w:ascii="Calibri" w:cs="Calibri" w:eastAsia="Calibri" w:hAnsi="Calibri"/>
          <w:b w:val="false"/>
          <w:bCs w:val="false"/>
          <w:color w:val="334155"/>
          <w:sz w:val="20"/>
          <w:szCs w:val="20"/>
        </w:rPr>
        <w:t xml:space="preserve">Build 5–8 publicly referenceable agency customers. Reference customers are worth 10× their contract value in downstream deals, grant language, and conference credibility.</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5+ paid pilots contracted by month 6</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60%+ pilot → production conversion</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Reference customer case study per agency</w:t>
      </w:r>
    </w:p>
    <w:p>
      <w:pPr>
        <w:spacing w:after="0" w:before="160"/>
      </w:pPr>
    </w:p>
    <w:p>
      <w:pPr>
        <w:pStyle w:val="Heading2"/>
        <w:spacing w:after="100" w:before="280"/>
      </w:pPr>
      <w:r>
        <w:rPr>
          <w:rFonts w:ascii="Calibri" w:cs="Calibri" w:eastAsia="Calibri" w:hAnsi="Calibri"/>
          <w:b/>
          <w:bCs/>
          <w:color w:val="1A3050"/>
          <w:sz w:val="26"/>
          <w:szCs w:val="26"/>
        </w:rPr>
        <w:t xml:space="preserve">Revenue Foundation  ·  Financial objective</w:t>
      </w:r>
    </w:p>
    <w:p>
      <w:pPr>
        <w:spacing w:after="140" w:before="0"/>
      </w:pPr>
      <w:r>
        <w:rPr>
          <w:rFonts w:ascii="Calibri" w:cs="Calibri" w:eastAsia="Calibri" w:hAnsi="Calibri"/>
          <w:b w:val="false"/>
          <w:bCs w:val="false"/>
          <w:color w:val="334155"/>
          <w:sz w:val="20"/>
          <w:szCs w:val="20"/>
        </w:rPr>
        <w:t xml:space="preserve">Reach $1.2–1.5M ARR by month 12. This validates unit economics, funds sales team expansion, and supports a credible Series A narrative for 2027.</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$200K ARR by month 3</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$600K ARR by month 6</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$1.5M ARR by month 12</w:t>
      </w:r>
    </w:p>
    <w:p>
      <w:pPr>
        <w:spacing w:after="0" w:before="160"/>
      </w:pPr>
    </w:p>
    <w:p>
      <w:pPr>
        <w:pStyle w:val="Heading2"/>
        <w:spacing w:after="100" w:before="280"/>
      </w:pPr>
      <w:r>
        <w:rPr>
          <w:rFonts w:ascii="Calibri" w:cs="Calibri" w:eastAsia="Calibri" w:hAnsi="Calibri"/>
          <w:b/>
          <w:bCs/>
          <w:color w:val="1A3050"/>
          <w:sz w:val="26"/>
          <w:szCs w:val="26"/>
        </w:rPr>
        <w:t xml:space="preserve">Market Presence  ·  Brand objective</w:t>
      </w:r>
    </w:p>
    <w:p>
      <w:pPr>
        <w:spacing w:after="140" w:before="0"/>
      </w:pPr>
      <w:r>
        <w:rPr>
          <w:rFonts w:ascii="Calibri" w:cs="Calibri" w:eastAsia="Calibri" w:hAnsi="Calibri"/>
          <w:b w:val="false"/>
          <w:bCs w:val="false"/>
          <w:color w:val="334155"/>
          <w:sz w:val="20"/>
          <w:szCs w:val="20"/>
        </w:rPr>
        <w:t xml:space="preserve">Establish RC as a recognized name in the 911 AI conversation at APCO, NENA, and in state 911 committee circles before end of year.</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APCO 2026 presence (August)</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NENA state chapter outreach (Q4)</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APCO &amp; NENA member speaking slot by M12</w:t>
      </w:r>
    </w:p>
    <w:p>
      <w:pPr>
        <w:spacing w:after="0" w:before="160"/>
      </w:pPr>
    </w:p>
    <w:p>
      <w:pPr>
        <w:pStyle w:val="Heading2"/>
        <w:spacing w:after="100" w:before="280"/>
      </w:pPr>
      <w:r>
        <w:rPr>
          <w:rFonts w:ascii="Calibri" w:cs="Calibri" w:eastAsia="Calibri" w:hAnsi="Calibri"/>
          <w:b/>
          <w:bCs/>
          <w:color w:val="1A3050"/>
          <w:sz w:val="26"/>
          <w:szCs w:val="26"/>
        </w:rPr>
        <w:t xml:space="preserve">Partner Ecosystem  ·  GTM objective</w:t>
      </w:r>
    </w:p>
    <w:p>
      <w:pPr>
        <w:spacing w:after="140" w:before="0"/>
      </w:pPr>
      <w:r>
        <w:rPr>
          <w:rFonts w:ascii="Calibri" w:cs="Calibri" w:eastAsia="Calibri" w:hAnsi="Calibri"/>
          <w:b w:val="false"/>
          <w:bCs w:val="false"/>
          <w:color w:val="334155"/>
          <w:sz w:val="20"/>
          <w:szCs w:val="20"/>
        </w:rPr>
        <w:t xml:space="preserve">Secure 1–2 formal technology partnerships with non-competing CAD vendors (Tyler, Hexagon) to access their installed agency bases as a complementary AI layer.</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Tyler Technologies conversation by M4</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Hexagon partnership MOU by M9</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First partner-sourced deal by M12</w:t>
      </w:r>
    </w:p>
    <w:p>
      <w:r>
        <w:br w:type="page"/>
      </w:r>
    </w:p>
    <w:p>
      <w:pPr>
        <w:pStyle w:val="Heading1"/>
        <w:spacing w:after="120" w:before="360"/>
      </w:pPr>
      <w:r>
        <w:rPr>
          <w:rFonts w:ascii="Calibri" w:cs="Calibri" w:eastAsia="Calibri" w:hAnsi="Calibri"/>
          <w:b/>
          <w:bCs/>
          <w:color w:val="0A1628"/>
          <w:sz w:val="32"/>
          <w:szCs w:val="32"/>
        </w:rPr>
        <w:t xml:space="preserve">4. Go-to-Market Phase Plan</w:t>
      </w:r>
    </w:p>
    <w:p>
      <w:pPr>
        <w:pBdr>
          <w:bottom w:val="single" w:color="1A3050" w:sz="6" w:space="1"/>
        </w:pBdr>
        <w:spacing w:after="120" w:before="120"/>
      </w:pPr>
    </w:p>
    <w:p>
      <w:pPr>
        <w:pStyle w:val="Heading2"/>
        <w:spacing w:after="100" w:before="280"/>
      </w:pPr>
      <w:r>
        <w:rPr>
          <w:rFonts w:ascii="Calibri" w:cs="Calibri" w:eastAsia="Calibri" w:hAnsi="Calibri"/>
          <w:b/>
          <w:bCs/>
          <w:color w:val="0A1628"/>
          <w:sz w:val="26"/>
          <w:szCs w:val="26"/>
        </w:rPr>
        <w:t xml:space="preserve">Phase 1 — Foundation &amp; First Pilots</w:t>
      </w:r>
    </w:p>
    <w:p>
      <w:pPr>
        <w:spacing w:after="120" w:before="0"/>
        <w:jc w:val="left"/>
      </w:pPr>
      <w:r>
        <w:rPr>
          <w:rFonts w:ascii="Calibri" w:cs="Calibri" w:eastAsia="Calibri" w:hAnsi="Calibri"/>
          <w:b/>
          <w:bCs/>
          <w:color w:val="64748B"/>
          <w:sz w:val="19"/>
          <w:szCs w:val="19"/>
        </w:rPr>
        <w:t xml:space="preserve">Months 1–3  ·  Aug – Oct 2026</w:t>
      </w:r>
    </w:p>
    <w:p>
      <w:pPr>
        <w:spacing w:after="140" w:before="0"/>
      </w:pPr>
      <w:r>
        <w:rPr>
          <w:rFonts w:ascii="Calibri" w:cs="Calibri" w:eastAsia="Calibri" w:hAnsi="Calibri"/>
          <w:b w:val="false"/>
          <w:bCs w:val="false"/>
          <w:color w:val="334155"/>
          <w:sz w:val="20"/>
          <w:szCs w:val="20"/>
        </w:rPr>
        <w:t xml:space="preserve">The primary objective is speed: land the first 3–5 paid pilot agencies and begin building the reference foundation. Every pilot signed now becomes a case study, a grant template, and a conference reference within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Priority Actions</w:t>
            </w:r>
          </w:p>
        </w:tc>
        <w:tc>
          <w:tcPr>
            <w:tcW w:type="dxa" w:w="4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Phase 1 Targets</w:t>
            </w:r>
          </w:p>
        </w:tc>
      </w:tr>
      <w:tr>
        <w:tc>
          <w:tcPr>
            <w:tcW w:type="dxa" w:w="4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pStyle w:val="ListParagraph"/>
              <w:numPr>
                <w:ilvl w:val="0"/>
                <w:numId w:val="1"/>
              </w:numPr>
              <w:spacing w:after="40" w:before="20"/>
            </w:pPr>
            <w:r>
              <w:rPr>
                <w:rFonts w:ascii="Calibri" w:cs="Calibri" w:eastAsia="Calibri" w:hAnsi="Calibri"/>
                <w:b w:val="false"/>
                <w:bCs w:val="false"/>
                <w:color w:val="334155"/>
                <w:sz w:val="17"/>
                <w:szCs w:val="17"/>
              </w:rPr>
              <w:t xml:space="preserve">Activate CRO (Teri Andrews) — 90-day revenue plan due Week 3</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APCO 2026 presence — San Antonio, August (priority event)</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Activate advisory board outreach — Tamara Bell (APCO network) day 1</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Publish grant language templates for all 4 pilot tiers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Launch ICP outreach — 50 target agencies in first 30 days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Target GovWorx customers ($68K/yr QA-only spend)</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Target CentralSquare legacy sunsetting agencies</w:t>
            </w:r>
          </w:p>
        </w:tc>
        <w:tc>
          <w:tcPr>
            <w:tcW w:type="dxa" w:w="4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pStyle w:val="ListParagraph"/>
              <w:numPr>
                <w:ilvl w:val="0"/>
                <w:numId w:val="1"/>
              </w:numPr>
              <w:spacing w:after="40" w:before="20"/>
            </w:pPr>
            <w:r>
              <w:rPr>
                <w:rFonts w:ascii="Calibri" w:cs="Calibri" w:eastAsia="Calibri" w:hAnsi="Calibri"/>
                <w:b w:val="false"/>
                <w:bCs w:val="false"/>
                <w:color w:val="334155"/>
                <w:sz w:val="17"/>
                <w:szCs w:val="17"/>
              </w:rPr>
              <w:t xml:space="preserve">3–5 pilot agencies contracted</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$150–200K pilot revenue</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50+ demos scheduled via APCO outreach</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CRM pipeline: 100+ qualified leads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Grant language templates published on site</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Reference customer agreement template ready</w:t>
            </w:r>
          </w:p>
        </w:tc>
      </w:tr>
    </w:tbl>
    <w:p>
      <w:pPr>
        <w:spacing w:after="0" w:before="240"/>
      </w:pPr>
    </w:p>
    <w:p>
      <w:pPr>
        <w:pStyle w:val="Heading2"/>
        <w:spacing w:after="100" w:before="280"/>
      </w:pPr>
      <w:r>
        <w:rPr>
          <w:rFonts w:ascii="Calibri" w:cs="Calibri" w:eastAsia="Calibri" w:hAnsi="Calibri"/>
          <w:b/>
          <w:bCs/>
          <w:color w:val="0A1628"/>
          <w:sz w:val="26"/>
          <w:szCs w:val="26"/>
        </w:rPr>
        <w:t xml:space="preserve">Phase 2 — Conversion &amp; Displacement</w:t>
      </w:r>
    </w:p>
    <w:p>
      <w:pPr>
        <w:spacing w:after="120" w:before="0"/>
        <w:jc w:val="left"/>
      </w:pPr>
      <w:r>
        <w:rPr>
          <w:rFonts w:ascii="Calibri" w:cs="Calibri" w:eastAsia="Calibri" w:hAnsi="Calibri"/>
          <w:b/>
          <w:bCs/>
          <w:color w:val="64748B"/>
          <w:sz w:val="19"/>
          <w:szCs w:val="19"/>
        </w:rPr>
        <w:t xml:space="preserve">Months 4–6  ·  Nov 2026 – Jan 2027</w:t>
      </w:r>
    </w:p>
    <w:p>
      <w:pPr>
        <w:spacing w:after="140" w:before="0"/>
      </w:pPr>
      <w:r>
        <w:rPr>
          <w:rFonts w:ascii="Calibri" w:cs="Calibri" w:eastAsia="Calibri" w:hAnsi="Calibri"/>
          <w:b w:val="false"/>
          <w:bCs w:val="false"/>
          <w:color w:val="334155"/>
          <w:sz w:val="20"/>
          <w:szCs w:val="20"/>
        </w:rPr>
        <w:t xml:space="preserve">Convert Phase 1 pilots to production, accelerate targeted displacement of point-solution vendors (GovWorx, legacy QA tools), and open first partnership conversations with CAD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Priority Actions</w:t>
            </w:r>
          </w:p>
        </w:tc>
        <w:tc>
          <w:tcPr>
            <w:tcW w:type="dxa" w:w="4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Phase 2 Targets</w:t>
            </w:r>
          </w:p>
        </w:tc>
      </w:tr>
      <w:tr>
        <w:tc>
          <w:tcPr>
            <w:tcW w:type="dxa" w:w="4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pStyle w:val="ListParagraph"/>
              <w:numPr>
                <w:ilvl w:val="0"/>
                <w:numId w:val="1"/>
              </w:numPr>
              <w:spacing w:after="40" w:before="20"/>
            </w:pPr>
            <w:r>
              <w:rPr>
                <w:rFonts w:ascii="Calibri" w:cs="Calibri" w:eastAsia="Calibri" w:hAnsi="Calibri"/>
                <w:b w:val="false"/>
                <w:bCs w:val="false"/>
                <w:color w:val="334155"/>
                <w:sz w:val="17"/>
                <w:szCs w:val="17"/>
              </w:rPr>
              <w:t xml:space="preserve">Convert 60%+ of Phase 1 pilots to production MSA</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Launch GovWorx displacement campaign</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Begin Tyler Technologies partnership conversation</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Publish first 2 agency case studies publicly</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Activate IACP 2026 outreach (October)</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Begin Campus vertical — 2–3 university pilots</w:t>
            </w:r>
          </w:p>
        </w:tc>
        <w:tc>
          <w:tcPr>
            <w:tcW w:type="dxa" w:w="4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pStyle w:val="ListParagraph"/>
              <w:numPr>
                <w:ilvl w:val="0"/>
                <w:numId w:val="1"/>
              </w:numPr>
              <w:spacing w:after="40" w:before="20"/>
            </w:pPr>
            <w:r>
              <w:rPr>
                <w:rFonts w:ascii="Calibri" w:cs="Calibri" w:eastAsia="Calibri" w:hAnsi="Calibri"/>
                <w:b w:val="false"/>
                <w:bCs w:val="false"/>
                <w:color w:val="334155"/>
                <w:sz w:val="17"/>
                <w:szCs w:val="17"/>
              </w:rPr>
              <w:t xml:space="preserve">8–10 total active agencies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$500–700K ARR</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2+ published agency case studies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Tyler Technologies NDA executed</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First Campus vertical pilot signed</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IACP presence — Chicago, October 2026</w:t>
            </w:r>
          </w:p>
        </w:tc>
      </w:tr>
    </w:tbl>
    <w:p>
      <w:pPr>
        <w:spacing w:after="0" w:before="240"/>
      </w:pPr>
    </w:p>
    <w:p>
      <w:pPr>
        <w:pStyle w:val="Heading2"/>
        <w:spacing w:after="100" w:before="280"/>
      </w:pPr>
      <w:r>
        <w:rPr>
          <w:rFonts w:ascii="Calibri" w:cs="Calibri" w:eastAsia="Calibri" w:hAnsi="Calibri"/>
          <w:b/>
          <w:bCs/>
          <w:color w:val="0A1628"/>
          <w:sz w:val="26"/>
          <w:szCs w:val="26"/>
        </w:rPr>
        <w:t xml:space="preserve">Phase 3 — Reference Base &amp; Ecosystem</w:t>
      </w:r>
    </w:p>
    <w:p>
      <w:pPr>
        <w:spacing w:after="120" w:before="0"/>
        <w:jc w:val="left"/>
      </w:pPr>
      <w:r>
        <w:rPr>
          <w:rFonts w:ascii="Calibri" w:cs="Calibri" w:eastAsia="Calibri" w:hAnsi="Calibri"/>
          <w:b/>
          <w:bCs/>
          <w:color w:val="64748B"/>
          <w:sz w:val="19"/>
          <w:szCs w:val="19"/>
        </w:rPr>
        <w:t xml:space="preserve">Months 7–9  ·  Feb – Apr 2027</w:t>
      </w:r>
    </w:p>
    <w:p>
      <w:pPr>
        <w:spacing w:after="140" w:before="0"/>
      </w:pPr>
      <w:r>
        <w:rPr>
          <w:rFonts w:ascii="Calibri" w:cs="Calibri" w:eastAsia="Calibri" w:hAnsi="Calibri"/>
          <w:b w:val="false"/>
          <w:bCs w:val="false"/>
          <w:color w:val="334155"/>
          <w:sz w:val="20"/>
          <w:szCs w:val="20"/>
        </w:rPr>
        <w:t xml:space="preserve">Scale to 12–15 active agencies, activate partner-sourced pipeline, pursue APCO/NENA/CALEA validation relationships, and begin enterprise-tier pipeline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Priority Actions</w:t>
            </w:r>
          </w:p>
        </w:tc>
        <w:tc>
          <w:tcPr>
            <w:tcW w:type="dxa" w:w="4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Phase 3 Targets</w:t>
            </w:r>
          </w:p>
        </w:tc>
      </w:tr>
      <w:tr>
        <w:tc>
          <w:tcPr>
            <w:tcW w:type="dxa" w:w="4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pStyle w:val="ListParagraph"/>
              <w:numPr>
                <w:ilvl w:val="0"/>
                <w:numId w:val="1"/>
              </w:numPr>
              <w:spacing w:after="40" w:before="20"/>
            </w:pPr>
            <w:r>
              <w:rPr>
                <w:rFonts w:ascii="Calibri" w:cs="Calibri" w:eastAsia="Calibri" w:hAnsi="Calibri"/>
                <w:b w:val="false"/>
                <w:bCs w:val="false"/>
                <w:color w:val="334155"/>
                <w:sz w:val="17"/>
                <w:szCs w:val="17"/>
              </w:rPr>
              <w:t xml:space="preserve">Hexagon Safety partnership MOU signed</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Pursue APCO Innovation Partner designation</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Begin NENA state chapter speaking series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Open first county/regional enterprise conversations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Publish ROI calculator / grant application toolkit</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CALEA accreditation integration discussion</w:t>
            </w:r>
          </w:p>
        </w:tc>
        <w:tc>
          <w:tcPr>
            <w:tcW w:type="dxa" w:w="4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pStyle w:val="ListParagraph"/>
              <w:numPr>
                <w:ilvl w:val="0"/>
                <w:numId w:val="1"/>
              </w:numPr>
              <w:spacing w:after="40" w:before="20"/>
            </w:pPr>
            <w:r>
              <w:rPr>
                <w:rFonts w:ascii="Calibri" w:cs="Calibri" w:eastAsia="Calibri" w:hAnsi="Calibri"/>
                <w:b w:val="false"/>
                <w:bCs w:val="false"/>
                <w:color w:val="334155"/>
                <w:sz w:val="17"/>
                <w:szCs w:val="17"/>
              </w:rPr>
              <w:t xml:space="preserve">12–15 active agency contracts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$900K–1.1M ARR</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5+ public reference customers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First partner-sourced lead in pipeline</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APCO Innovation Partner application submitted</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Enterprise pipeline: 3+ qualified opportunities</w:t>
            </w:r>
          </w:p>
        </w:tc>
      </w:tr>
    </w:tbl>
    <w:p>
      <w:pPr>
        <w:spacing w:after="0" w:before="240"/>
      </w:pPr>
    </w:p>
    <w:p>
      <w:pPr>
        <w:pStyle w:val="Heading2"/>
        <w:spacing w:after="100" w:before="280"/>
      </w:pPr>
      <w:r>
        <w:rPr>
          <w:rFonts w:ascii="Calibri" w:cs="Calibri" w:eastAsia="Calibri" w:hAnsi="Calibri"/>
          <w:b/>
          <w:bCs/>
          <w:color w:val="0A1628"/>
          <w:sz w:val="26"/>
          <w:szCs w:val="26"/>
        </w:rPr>
        <w:t xml:space="preserve">Phase 4 — Enterprise &amp; Series A Positioning</w:t>
      </w:r>
    </w:p>
    <w:p>
      <w:pPr>
        <w:spacing w:after="120" w:before="0"/>
        <w:jc w:val="left"/>
      </w:pPr>
      <w:r>
        <w:rPr>
          <w:rFonts w:ascii="Calibri" w:cs="Calibri" w:eastAsia="Calibri" w:hAnsi="Calibri"/>
          <w:b/>
          <w:bCs/>
          <w:color w:val="64748B"/>
          <w:sz w:val="19"/>
          <w:szCs w:val="19"/>
        </w:rPr>
        <w:t xml:space="preserve">Months 10–12  ·  May – Jul 2027</w:t>
      </w:r>
    </w:p>
    <w:p>
      <w:pPr>
        <w:spacing w:after="140" w:before="0"/>
      </w:pPr>
      <w:r>
        <w:rPr>
          <w:rFonts w:ascii="Calibri" w:cs="Calibri" w:eastAsia="Calibri" w:hAnsi="Calibri"/>
          <w:b w:val="false"/>
          <w:bCs w:val="false"/>
          <w:color w:val="334155"/>
          <w:sz w:val="20"/>
          <w:szCs w:val="20"/>
        </w:rPr>
        <w:t xml:space="preserve">Close first enterprise/statewide deals, generate Series A-quality ARR and reference metrics, and prepare for NENA 2027 as a named sponsor with proven agency deployments behind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Priority Actions</w:t>
            </w:r>
          </w:p>
        </w:tc>
        <w:tc>
          <w:tcPr>
            <w:tcW w:type="dxa" w:w="4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Phase 4 Targets</w:t>
            </w:r>
          </w:p>
        </w:tc>
      </w:tr>
      <w:tr>
        <w:tc>
          <w:tcPr>
            <w:tcW w:type="dxa" w:w="4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pStyle w:val="ListParagraph"/>
              <w:numPr>
                <w:ilvl w:val="0"/>
                <w:numId w:val="1"/>
              </w:numPr>
              <w:spacing w:after="40" w:before="20"/>
            </w:pPr>
            <w:r>
              <w:rPr>
                <w:rFonts w:ascii="Calibri" w:cs="Calibri" w:eastAsia="Calibri" w:hAnsi="Calibri"/>
                <w:b w:val="false"/>
                <w:bCs w:val="false"/>
                <w:color w:val="334155"/>
                <w:sz w:val="17"/>
                <w:szCs w:val="17"/>
              </w:rPr>
              <w:t xml:space="preserve">Close first Command-tier or Enterprise deal</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Begin Series A fundraising narrative with ARR data</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NENA 2027 sponsor/exhibitor commitment locked</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State-level PSAP program outreach (2–3 states)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Expand sales team with second enterprise AE</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Multi-vertical (Campus/Venue) revenue line active</w:t>
            </w:r>
          </w:p>
        </w:tc>
        <w:tc>
          <w:tcPr>
            <w:tcW w:type="dxa" w:w="4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pStyle w:val="ListParagraph"/>
              <w:numPr>
                <w:ilvl w:val="0"/>
                <w:numId w:val="1"/>
              </w:numPr>
              <w:spacing w:after="40" w:before="20"/>
            </w:pPr>
            <w:r>
              <w:rPr>
                <w:rFonts w:ascii="Calibri" w:cs="Calibri" w:eastAsia="Calibri" w:hAnsi="Calibri"/>
                <w:b w:val="false"/>
                <w:bCs w:val="false"/>
                <w:color w:val="334155"/>
                <w:sz w:val="17"/>
                <w:szCs w:val="17"/>
              </w:rPr>
              <w:t xml:space="preserve">15–20 active agency contracts</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$1.2–1.5M ARR</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1 Command or Enterprise deal signed</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Series A data room ready</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NENA 2027 sponsor confirmed</w:t>
            </w:r>
          </w:p>
          <w:p>
            <w:pPr>
              <w:pStyle w:val="ListParagraph"/>
              <w:numPr>
                <w:ilvl w:val="0"/>
                <w:numId w:val="1"/>
              </w:numPr>
              <w:spacing w:after="40" w:before="20"/>
            </w:pPr>
            <w:r>
              <w:rPr>
                <w:rFonts w:ascii="Calibri" w:cs="Calibri" w:eastAsia="Calibri" w:hAnsi="Calibri"/>
                <w:b w:val="false"/>
                <w:bCs w:val="false"/>
                <w:color w:val="334155"/>
                <w:sz w:val="17"/>
                <w:szCs w:val="17"/>
              </w:rPr>
              <w:t xml:space="preserve">Campus vertical: 3+ active</w:t>
            </w:r>
          </w:p>
        </w:tc>
      </w:tr>
    </w:tbl>
    <w:p>
      <w:r>
        <w:br w:type="page"/>
      </w:r>
    </w:p>
    <w:p>
      <w:pPr>
        <w:pStyle w:val="Heading1"/>
        <w:spacing w:after="120" w:before="360"/>
      </w:pPr>
      <w:r>
        <w:rPr>
          <w:rFonts w:ascii="Calibri" w:cs="Calibri" w:eastAsia="Calibri" w:hAnsi="Calibri"/>
          <w:b/>
          <w:bCs/>
          <w:color w:val="0A1628"/>
          <w:sz w:val="32"/>
          <w:szCs w:val="32"/>
        </w:rPr>
        <w:t xml:space="preserve">5. Target Segment Prioritization</w:t>
      </w:r>
    </w:p>
    <w:p>
      <w:pPr>
        <w:pBdr>
          <w:bottom w:val="single" w:color="1A3050"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560"/>
        <w:gridCol w:w="2400"/>
        <w:gridCol w:w="1680"/>
        <w:gridCol w:w="1600"/>
      </w:tblGrid>
      <w:tr>
        <w:tc>
          <w:tcPr>
            <w:tcW w:type="dxa" w:w="112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Priority</w:t>
            </w:r>
          </w:p>
        </w:tc>
        <w:tc>
          <w:tcPr>
            <w:tcW w:type="dxa" w:w="25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Segment</w:t>
            </w:r>
          </w:p>
        </w:tc>
        <w:tc>
          <w:tcPr>
            <w:tcW w:type="dxa" w:w="24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Why Now</w:t>
            </w:r>
          </w:p>
        </w:tc>
        <w:tc>
          <w:tcPr>
            <w:tcW w:type="dxa" w:w="1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Entry Play</w:t>
            </w:r>
          </w:p>
        </w:tc>
        <w:tc>
          <w:tcPr>
            <w:tcW w:type="dxa" w:w="16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Typical ARR</w:t>
            </w:r>
          </w:p>
        </w:tc>
      </w:tr>
      <w:tr>
        <w:tc>
          <w:tcPr>
            <w:tcW w:type="dxa" w:w="1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P1</w:t>
            </w:r>
          </w:p>
        </w:tc>
        <w:tc>
          <w:tcPr>
            <w:tcW w:type="dxa" w:w="2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color w:val="0F172A"/>
                <w:sz w:val="17"/>
                <w:szCs w:val="17"/>
              </w:rPr>
              <w:t xml:space="preserve">Non-Axon mid-size PSAPs</w:t>
            </w:r>
          </w:p>
          <w:p>
            <w:pPr>
              <w:spacing w:after="0" w:before="0"/>
            </w:pPr>
            <w:r>
              <w:rPr>
                <w:rFonts w:ascii="Calibri" w:cs="Calibri" w:eastAsia="Calibri" w:hAnsi="Calibri"/>
                <w:b w:val="false"/>
                <w:bCs w:val="false"/>
                <w:color w:val="64748B"/>
                <w:sz w:val="16"/>
                <w:szCs w:val="16"/>
              </w:rPr>
              <w:t xml:space="preserve">Motorola / Tyler / CentralSquare CAD users</w:t>
            </w:r>
          </w:p>
        </w:tc>
        <w:tc>
          <w:tcPr>
            <w:tcW w:type="dxa" w:w="2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No bundled AI path. Actively evaluating. Grant-funded budgets available.</w:t>
            </w:r>
          </w:p>
        </w:tc>
        <w:tc>
          <w:tcPr>
            <w:tcW w:type="dxa" w:w="1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90-day Professional pilot ($170K)</w:t>
            </w:r>
          </w:p>
        </w:tc>
        <w:tc>
          <w:tcPr>
            <w:tcW w:type="dxa" w:w="16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7"/>
                <w:szCs w:val="17"/>
              </w:rPr>
              <w:t xml:space="preserve">$102K–$240K ARR</w:t>
            </w:r>
          </w:p>
        </w:tc>
      </w:tr>
      <w:tr>
        <w:tc>
          <w:tcPr>
            <w:tcW w:type="dxa" w:w="1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P1</w:t>
            </w:r>
          </w:p>
        </w:tc>
        <w:tc>
          <w:tcPr>
            <w:tcW w:type="dxa" w:w="2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top"/>
          </w:tcPr>
          <w:p>
            <w:pPr>
              <w:spacing w:after="0" w:before="0"/>
            </w:pPr>
            <w:r>
              <w:rPr>
                <w:rFonts w:ascii="Calibri" w:cs="Calibri" w:eastAsia="Calibri" w:hAnsi="Calibri"/>
                <w:b/>
                <w:bCs/>
                <w:color w:val="0F172A"/>
                <w:sz w:val="17"/>
                <w:szCs w:val="17"/>
              </w:rPr>
              <w:t xml:space="preserve">GovWorx current customers</w:t>
            </w:r>
          </w:p>
          <w:p>
            <w:pPr>
              <w:spacing w:after="0" w:before="0"/>
            </w:pPr>
            <w:r>
              <w:rPr>
                <w:rFonts w:ascii="Calibri" w:cs="Calibri" w:eastAsia="Calibri" w:hAnsi="Calibri"/>
                <w:b w:val="false"/>
                <w:bCs w:val="false"/>
                <w:color w:val="64748B"/>
                <w:sz w:val="16"/>
                <w:szCs w:val="16"/>
              </w:rPr>
              <w:t xml:space="preserve">Paying $40K–$120K/yr for QA-only</w:t>
            </w:r>
          </w:p>
        </w:tc>
        <w:tc>
          <w:tcPr>
            <w:tcW w:type="dxa" w:w="2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Already proven AI budget. RC delivers 80+ features vs 1 for comparable cost.</w:t>
            </w:r>
          </w:p>
        </w:tc>
        <w:tc>
          <w:tcPr>
            <w:tcW w:type="dxa" w:w="16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Direct displacement pitch</w:t>
            </w:r>
          </w:p>
        </w:tc>
        <w:tc>
          <w:tcPr>
            <w:tcW w:type="dxa" w:w="16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7"/>
                <w:szCs w:val="17"/>
              </w:rPr>
              <w:t xml:space="preserve">$65K–$170K ARR</w:t>
            </w:r>
          </w:p>
        </w:tc>
      </w:tr>
      <w:tr>
        <w:tc>
          <w:tcPr>
            <w:tcW w:type="dxa" w:w="1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P1</w:t>
            </w:r>
          </w:p>
        </w:tc>
        <w:tc>
          <w:tcPr>
            <w:tcW w:type="dxa" w:w="2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color w:val="0F172A"/>
                <w:sz w:val="17"/>
                <w:szCs w:val="17"/>
              </w:rPr>
              <w:t xml:space="preserve">CentralSquare legacy migrations</w:t>
            </w:r>
          </w:p>
          <w:p>
            <w:pPr>
              <w:spacing w:after="0" w:before="0"/>
            </w:pPr>
            <w:r>
              <w:rPr>
                <w:rFonts w:ascii="Calibri" w:cs="Calibri" w:eastAsia="Calibri" w:hAnsi="Calibri"/>
                <w:b w:val="false"/>
                <w:bCs w:val="false"/>
                <w:color w:val="64748B"/>
                <w:sz w:val="16"/>
                <w:szCs w:val="16"/>
              </w:rPr>
              <w:t xml:space="preserve">Agencies forced to change CAD vendors now</w:t>
            </w:r>
          </w:p>
        </w:tc>
        <w:tc>
          <w:tcPr>
            <w:tcW w:type="dxa" w:w="2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Mid-CAD migration = open evaluation window. No incumbent AI layer.</w:t>
            </w:r>
          </w:p>
        </w:tc>
        <w:tc>
          <w:tcPr>
            <w:tcW w:type="dxa" w:w="1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CAD-disabled mode pilot</w:t>
            </w:r>
          </w:p>
        </w:tc>
        <w:tc>
          <w:tcPr>
            <w:tcW w:type="dxa" w:w="16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7"/>
                <w:szCs w:val="17"/>
              </w:rPr>
              <w:t xml:space="preserve">$65K–$240K ARR</w:t>
            </w:r>
          </w:p>
        </w:tc>
      </w:tr>
      <w:tr>
        <w:tc>
          <w:tcPr>
            <w:tcW w:type="dxa" w:w="1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P2</w:t>
            </w:r>
          </w:p>
        </w:tc>
        <w:tc>
          <w:tcPr>
            <w:tcW w:type="dxa" w:w="2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top"/>
          </w:tcPr>
          <w:p>
            <w:pPr>
              <w:spacing w:after="0" w:before="0"/>
            </w:pPr>
            <w:r>
              <w:rPr>
                <w:rFonts w:ascii="Calibri" w:cs="Calibri" w:eastAsia="Calibri" w:hAnsi="Calibri"/>
                <w:b/>
                <w:bCs/>
                <w:color w:val="0F172A"/>
                <w:sz w:val="17"/>
                <w:szCs w:val="17"/>
              </w:rPr>
              <w:t xml:space="preserve">NG911 upgrading agencies</w:t>
            </w:r>
          </w:p>
          <w:p>
            <w:pPr>
              <w:spacing w:after="0" w:before="0"/>
            </w:pPr>
            <w:r>
              <w:rPr>
                <w:rFonts w:ascii="Calibri" w:cs="Calibri" w:eastAsia="Calibri" w:hAnsi="Calibri"/>
                <w:b w:val="false"/>
                <w:bCs w:val="false"/>
                <w:color w:val="64748B"/>
                <w:sz w:val="16"/>
                <w:szCs w:val="16"/>
              </w:rPr>
              <w:t xml:space="preserve">Counties building IP-based infrastructure</w:t>
            </w:r>
          </w:p>
        </w:tc>
        <w:tc>
          <w:tcPr>
            <w:tcW w:type="dxa" w:w="2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Infrastructure buildout window = simultaneous AI evaluation. 76%→98% by 2030.</w:t>
            </w:r>
          </w:p>
        </w:tc>
        <w:tc>
          <w:tcPr>
            <w:tcW w:type="dxa" w:w="16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Discovery workshop + pilot</w:t>
            </w:r>
          </w:p>
        </w:tc>
        <w:tc>
          <w:tcPr>
            <w:tcW w:type="dxa" w:w="16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7"/>
                <w:szCs w:val="17"/>
              </w:rPr>
              <w:t xml:space="preserve">$102K–$600K ARR</w:t>
            </w:r>
          </w:p>
        </w:tc>
      </w:tr>
      <w:tr>
        <w:tc>
          <w:tcPr>
            <w:tcW w:type="dxa" w:w="1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P2</w:t>
            </w:r>
          </w:p>
        </w:tc>
        <w:tc>
          <w:tcPr>
            <w:tcW w:type="dxa" w:w="2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color w:val="0F172A"/>
                <w:sz w:val="17"/>
                <w:szCs w:val="17"/>
              </w:rPr>
              <w:t xml:space="preserve">Multi-agency regional centers</w:t>
            </w:r>
          </w:p>
          <w:p>
            <w:pPr>
              <w:spacing w:after="0" w:before="0"/>
            </w:pPr>
            <w:r>
              <w:rPr>
                <w:rFonts w:ascii="Calibri" w:cs="Calibri" w:eastAsia="Calibri" w:hAnsi="Calibri"/>
                <w:b w:val="false"/>
                <w:bCs w:val="false"/>
                <w:color w:val="64748B"/>
                <w:sz w:val="16"/>
                <w:szCs w:val="16"/>
              </w:rPr>
              <w:t xml:space="preserve">County consolidated dispatch centers</w:t>
            </w:r>
          </w:p>
        </w:tc>
        <w:tc>
          <w:tcPr>
            <w:tcW w:type="dxa" w:w="2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Higher seat counts = higher ACV. Command tier natural fit. Grant-eligible.</w:t>
            </w:r>
          </w:p>
        </w:tc>
        <w:tc>
          <w:tcPr>
            <w:tcW w:type="dxa" w:w="1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Command pilot ($390K)</w:t>
            </w:r>
          </w:p>
        </w:tc>
        <w:tc>
          <w:tcPr>
            <w:tcW w:type="dxa" w:w="16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7"/>
                <w:szCs w:val="17"/>
              </w:rPr>
              <w:t xml:space="preserve">$270K–$600K ARR</w:t>
            </w:r>
          </w:p>
        </w:tc>
      </w:tr>
      <w:tr>
        <w:tc>
          <w:tcPr>
            <w:tcW w:type="dxa" w:w="1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P2</w:t>
            </w:r>
          </w:p>
        </w:tc>
        <w:tc>
          <w:tcPr>
            <w:tcW w:type="dxa" w:w="2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top"/>
          </w:tcPr>
          <w:p>
            <w:pPr>
              <w:spacing w:after="0" w:before="0"/>
            </w:pPr>
            <w:r>
              <w:rPr>
                <w:rFonts w:ascii="Calibri" w:cs="Calibri" w:eastAsia="Calibri" w:hAnsi="Calibri"/>
                <w:b/>
                <w:bCs/>
                <w:color w:val="0F172A"/>
                <w:sz w:val="17"/>
                <w:szCs w:val="17"/>
              </w:rPr>
              <w:t xml:space="preserve">University campus safety</w:t>
            </w:r>
          </w:p>
          <w:p>
            <w:pPr>
              <w:spacing w:after="0" w:before="0"/>
            </w:pPr>
            <w:r>
              <w:rPr>
                <w:rFonts w:ascii="Calibri" w:cs="Calibri" w:eastAsia="Calibri" w:hAnsi="Calibri"/>
                <w:b w:val="false"/>
                <w:bCs w:val="false"/>
                <w:color w:val="64748B"/>
                <w:sz w:val="16"/>
                <w:szCs w:val="16"/>
              </w:rPr>
              <w:t xml:space="preserve">Campus vertical — RC Campus product</w:t>
            </w:r>
          </w:p>
        </w:tc>
        <w:tc>
          <w:tcPr>
            <w:tcW w:type="dxa" w:w="2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Faster procurement than government. Clery Act compliance pressure. AI budget available.</w:t>
            </w:r>
          </w:p>
        </w:tc>
        <w:tc>
          <w:tcPr>
            <w:tcW w:type="dxa" w:w="16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Campus Essential pilot</w:t>
            </w:r>
          </w:p>
        </w:tc>
        <w:tc>
          <w:tcPr>
            <w:tcW w:type="dxa" w:w="16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7"/>
                <w:szCs w:val="17"/>
              </w:rPr>
              <w:t xml:space="preserve">$42K–$102K ARR</w:t>
            </w:r>
          </w:p>
        </w:tc>
      </w:tr>
      <w:tr>
        <w:tc>
          <w:tcPr>
            <w:tcW w:type="dxa" w:w="1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P3</w:t>
            </w:r>
          </w:p>
        </w:tc>
        <w:tc>
          <w:tcPr>
            <w:tcW w:type="dxa" w:w="2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top"/>
          </w:tcPr>
          <w:p>
            <w:pPr>
              <w:spacing w:after="0" w:before="0"/>
            </w:pPr>
            <w:r>
              <w:rPr>
                <w:rFonts w:ascii="Calibri" w:cs="Calibri" w:eastAsia="Calibri" w:hAnsi="Calibri"/>
                <w:b/>
                <w:bCs/>
                <w:color w:val="0F172A"/>
                <w:sz w:val="17"/>
                <w:szCs w:val="17"/>
              </w:rPr>
              <w:t xml:space="preserve">State emergency management agencies</w:t>
            </w:r>
          </w:p>
          <w:p>
            <w:pPr>
              <w:spacing w:after="0" w:before="0"/>
            </w:pPr>
            <w:r>
              <w:rPr>
                <w:rFonts w:ascii="Calibri" w:cs="Calibri" w:eastAsia="Calibri" w:hAnsi="Calibri"/>
                <w:b w:val="false"/>
                <w:bCs w:val="false"/>
                <w:color w:val="64748B"/>
                <w:sz w:val="16"/>
                <w:szCs w:val="16"/>
              </w:rPr>
              <w:t xml:space="preserve">Enterprise / statewide tier</w:t>
            </w:r>
          </w:p>
        </w:tc>
        <w:tc>
          <w:tcPr>
            <w:tcW w:type="dxa" w:w="2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Large deal potential. Longer cycle (12–18 months). Build in parallel.</w:t>
            </w:r>
          </w:p>
        </w:tc>
        <w:tc>
          <w:tcPr>
            <w:tcW w:type="dxa" w:w="1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Statewide program</w:t>
            </w:r>
          </w:p>
        </w:tc>
        <w:tc>
          <w:tcPr>
            <w:tcW w:type="dxa" w:w="16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7"/>
                <w:szCs w:val="17"/>
              </w:rPr>
              <w:t xml:space="preserve">$720K–$3M+ ARR</w:t>
            </w:r>
          </w:p>
        </w:tc>
      </w:tr>
    </w:tbl>
    <w:p>
      <w:r>
        <w:br w:type="page"/>
      </w:r>
    </w:p>
    <w:p>
      <w:pPr>
        <w:pStyle w:val="Heading1"/>
        <w:spacing w:after="120" w:before="360"/>
      </w:pPr>
      <w:r>
        <w:rPr>
          <w:rFonts w:ascii="Calibri" w:cs="Calibri" w:eastAsia="Calibri" w:hAnsi="Calibri"/>
          <w:b/>
          <w:bCs/>
          <w:color w:val="0A1628"/>
          <w:sz w:val="32"/>
          <w:szCs w:val="32"/>
        </w:rPr>
        <w:t xml:space="preserve">6. Competitive Displacement Playbook</w:t>
      </w:r>
    </w:p>
    <w:p>
      <w:pPr>
        <w:pBdr>
          <w:bottom w:val="single" w:color="1A3050" w:sz="6" w:space="1"/>
        </w:pBdr>
        <w:spacing w:after="120" w:before="120"/>
      </w:pPr>
    </w:p>
    <w:p>
      <w:pPr>
        <w:pStyle w:val="Heading2"/>
        <w:spacing w:after="100" w:before="280"/>
      </w:pPr>
      <w:r>
        <w:rPr>
          <w:rFonts w:ascii="Calibri" w:cs="Calibri" w:eastAsia="Calibri" w:hAnsi="Calibri"/>
          <w:b/>
          <w:bCs/>
          <w:color w:val="1A3050"/>
          <w:sz w:val="26"/>
          <w:szCs w:val="26"/>
        </w:rPr>
        <w:t xml:space="preserve">GovWorx Displacement</w:t>
      </w:r>
    </w:p>
    <w:p>
      <w:pPr>
        <w:spacing w:after="120" w:before="0"/>
        <w:jc w:val="left"/>
      </w:pPr>
      <w:r>
        <w:rPr>
          <w:rFonts w:ascii="Calibri" w:cs="Calibri" w:eastAsia="Calibri" w:hAnsi="Calibri"/>
          <w:b/>
          <w:bCs/>
          <w:color w:val="0F172A"/>
          <w:sz w:val="20"/>
          <w:szCs w:val="20"/>
        </w:rPr>
        <w:t xml:space="preserve">Target: </w:t>
      </w:r>
      <w:r>
        <w:rPr>
          <w:rFonts w:ascii="Calibri" w:cs="Calibri" w:eastAsia="Calibri" w:hAnsi="Calibri"/>
          <w:b w:val="false"/>
          <w:bCs w:val="false"/>
          <w:color w:val="334155"/>
          <w:sz w:val="20"/>
          <w:szCs w:val="20"/>
        </w:rPr>
        <w:t xml:space="preserve">~$68K/yr QA-only agencies</w:t>
      </w:r>
    </w:p>
    <w:p>
      <w:pPr>
        <w:shd w:fill="EEF3FB" w:color="EEF3FB" w:val="clear"/>
        <w:spacing w:after="0" w:before="160"/>
        <w:ind w:left="180" w:right="180"/>
      </w:pPr>
      <w:r>
        <w:rPr>
          <w:rFonts w:ascii="Calibri" w:cs="Calibri" w:eastAsia="Calibri" w:hAnsi="Calibri"/>
          <w:b/>
          <w:bCs/>
          <w:color w:val="1A3050"/>
          <w:sz w:val="19"/>
          <w:szCs w:val="19"/>
        </w:rPr>
        <w:t xml:space="preserve">Pitch:</w:t>
      </w:r>
    </w:p>
    <w:p>
      <w:pPr>
        <w:shd w:fill="EEF3FB" w:color="EEF3FB" w:val="clear"/>
        <w:spacing w:after="200" w:before="0"/>
        <w:ind w:left="180" w:right="180"/>
      </w:pPr>
      <w:r>
        <w:rPr>
          <w:rFonts w:ascii="Calibri" w:cs="Calibri" w:eastAsia="Calibri" w:hAnsi="Calibri"/>
          <w:b w:val="false"/>
          <w:bCs w:val="false"/>
          <w:color w:val="0F172A"/>
          <w:sz w:val="18"/>
          <w:szCs w:val="18"/>
        </w:rPr>
        <w:t xml:space="preserve">"You're paying $68K for call quality automation. RC gives you QA plus 80+ operational features — dispatcher AI, supervisor dashboards, incident management — at comparable cost."</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Entry: RC Essential ($42K–$90K/yr). Position as immediate platform upgrade</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Timing: Target contract renewal periods (typically 12-month contracts)</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Tamara Bell (APCO advisor) as peer validator in pitches</w:t>
      </w:r>
    </w:p>
    <w:p>
      <w:pPr>
        <w:spacing w:after="0" w:before="160"/>
      </w:pPr>
    </w:p>
    <w:p>
      <w:pPr>
        <w:pStyle w:val="Heading2"/>
        <w:spacing w:after="100" w:before="280"/>
      </w:pPr>
      <w:r>
        <w:rPr>
          <w:rFonts w:ascii="Calibri" w:cs="Calibri" w:eastAsia="Calibri" w:hAnsi="Calibri"/>
          <w:b/>
          <w:bCs/>
          <w:color w:val="1A3050"/>
          <w:sz w:val="26"/>
          <w:szCs w:val="26"/>
        </w:rPr>
        <w:t xml:space="preserve">Axon Independence Play</w:t>
      </w:r>
    </w:p>
    <w:p>
      <w:pPr>
        <w:spacing w:after="120" w:before="0"/>
        <w:jc w:val="left"/>
      </w:pPr>
      <w:r>
        <w:rPr>
          <w:rFonts w:ascii="Calibri" w:cs="Calibri" w:eastAsia="Calibri" w:hAnsi="Calibri"/>
          <w:b/>
          <w:bCs/>
          <w:color w:val="0F172A"/>
          <w:sz w:val="20"/>
          <w:szCs w:val="20"/>
        </w:rPr>
        <w:t xml:space="preserve">Target: </w:t>
      </w:r>
      <w:r>
        <w:rPr>
          <w:rFonts w:ascii="Calibri" w:cs="Calibri" w:eastAsia="Calibri" w:hAnsi="Calibri"/>
          <w:b w:val="false"/>
          <w:bCs w:val="false"/>
          <w:color w:val="334155"/>
          <w:sz w:val="20"/>
          <w:szCs w:val="20"/>
        </w:rPr>
        <w:t xml:space="preserve">Non-Axon agencies (Motorola, Tyler, CentralSquare)</w:t>
      </w:r>
    </w:p>
    <w:p>
      <w:pPr>
        <w:shd w:fill="EEF3FB" w:color="EEF3FB" w:val="clear"/>
        <w:spacing w:after="0" w:before="160"/>
        <w:ind w:left="180" w:right="180"/>
      </w:pPr>
      <w:r>
        <w:rPr>
          <w:rFonts w:ascii="Calibri" w:cs="Calibri" w:eastAsia="Calibri" w:hAnsi="Calibri"/>
          <w:b/>
          <w:bCs/>
          <w:color w:val="1A3050"/>
          <w:sz w:val="19"/>
          <w:szCs w:val="19"/>
        </w:rPr>
        <w:t xml:space="preserve">Pitch:</w:t>
      </w:r>
    </w:p>
    <w:p>
      <w:pPr>
        <w:shd w:fill="EEF3FB" w:color="EEF3FB" w:val="clear"/>
        <w:spacing w:after="200" w:before="0"/>
        <w:ind w:left="180" w:right="180"/>
      </w:pPr>
      <w:r>
        <w:rPr>
          <w:rFonts w:ascii="Calibri" w:cs="Calibri" w:eastAsia="Calibri" w:hAnsi="Calibri"/>
          <w:b w:val="false"/>
          <w:bCs w:val="false"/>
          <w:color w:val="0F172A"/>
          <w:sz w:val="18"/>
          <w:szCs w:val="18"/>
        </w:rPr>
        <w:t xml:space="preserve">"Axon now controls 911 call handling, AI, evidence, and prosecution. RC is the only enterprise-grade AI intelligence platform that works with any CAD and requires no hardware commitment."</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Message: Procurement independence, no hardware lock-in, CAD-agnostic</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Entry: CAD-disabled mode pilot (safest, fastest path to value)</w:t>
      </w:r>
    </w:p>
    <w:p>
      <w:pPr>
        <w:spacing w:after="0" w:before="160"/>
      </w:pPr>
    </w:p>
    <w:p>
      <w:pPr>
        <w:pStyle w:val="Heading2"/>
        <w:spacing w:after="100" w:before="280"/>
      </w:pPr>
      <w:r>
        <w:rPr>
          <w:rFonts w:ascii="Calibri" w:cs="Calibri" w:eastAsia="Calibri" w:hAnsi="Calibri"/>
          <w:b/>
          <w:bCs/>
          <w:color w:val="1A3050"/>
          <w:sz w:val="26"/>
          <w:szCs w:val="26"/>
        </w:rPr>
        <w:t xml:space="preserve">CentralSquare Migration Play</w:t>
      </w:r>
    </w:p>
    <w:p>
      <w:pPr>
        <w:spacing w:after="120" w:before="0"/>
        <w:jc w:val="left"/>
      </w:pPr>
      <w:r>
        <w:rPr>
          <w:rFonts w:ascii="Calibri" w:cs="Calibri" w:eastAsia="Calibri" w:hAnsi="Calibri"/>
          <w:b/>
          <w:bCs/>
          <w:color w:val="0F172A"/>
          <w:sz w:val="20"/>
          <w:szCs w:val="20"/>
        </w:rPr>
        <w:t xml:space="preserve">Target: </w:t>
      </w:r>
      <w:r>
        <w:rPr>
          <w:rFonts w:ascii="Calibri" w:cs="Calibri" w:eastAsia="Calibri" w:hAnsi="Calibri"/>
          <w:b w:val="false"/>
          <w:bCs w:val="false"/>
          <w:color w:val="334155"/>
          <w:sz w:val="20"/>
          <w:szCs w:val="20"/>
        </w:rPr>
        <w:t xml:space="preserve">Agencies mid-migration off legacy CentralSquare</w:t>
      </w:r>
    </w:p>
    <w:p>
      <w:pPr>
        <w:shd w:fill="EEF3FB" w:color="EEF3FB" w:val="clear"/>
        <w:spacing w:after="0" w:before="160"/>
        <w:ind w:left="180" w:right="180"/>
      </w:pPr>
      <w:r>
        <w:rPr>
          <w:rFonts w:ascii="Calibri" w:cs="Calibri" w:eastAsia="Calibri" w:hAnsi="Calibri"/>
          <w:b/>
          <w:bCs/>
          <w:color w:val="1A3050"/>
          <w:sz w:val="19"/>
          <w:szCs w:val="19"/>
        </w:rPr>
        <w:t xml:space="preserve">Pitch:</w:t>
      </w:r>
    </w:p>
    <w:p>
      <w:pPr>
        <w:shd w:fill="EEF3FB" w:color="EEF3FB" w:val="clear"/>
        <w:spacing w:after="200" w:before="0"/>
        <w:ind w:left="180" w:right="180"/>
      </w:pPr>
      <w:r>
        <w:rPr>
          <w:rFonts w:ascii="Calibri" w:cs="Calibri" w:eastAsia="Calibri" w:hAnsi="Calibri"/>
          <w:b w:val="false"/>
          <w:bCs w:val="false"/>
          <w:color w:val="0F172A"/>
          <w:sz w:val="18"/>
          <w:szCs w:val="18"/>
        </w:rPr>
        <w:t xml:space="preserve">"You're already changing CAD vendors. Now is the moment to add an AI intelligence layer before you're locked into your next 7-year contract."</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Timing: Window opens when CentralSquare sunsetting is announced. Track procurement signals</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RC can be active in CAD-disabled mode before new CAD is live</w:t>
      </w:r>
    </w:p>
    <w:p>
      <w:pPr>
        <w:spacing w:after="0" w:before="160"/>
      </w:pPr>
    </w:p>
    <w:p>
      <w:pPr>
        <w:pStyle w:val="Heading2"/>
        <w:spacing w:after="100" w:before="280"/>
      </w:pPr>
      <w:r>
        <w:rPr>
          <w:rFonts w:ascii="Calibri" w:cs="Calibri" w:eastAsia="Calibri" w:hAnsi="Calibri"/>
          <w:b/>
          <w:bCs/>
          <w:color w:val="1A3050"/>
          <w:sz w:val="26"/>
          <w:szCs w:val="26"/>
        </w:rPr>
        <w:t xml:space="preserve">RapidSOS Free Tier Upgrade</w:t>
      </w:r>
    </w:p>
    <w:p>
      <w:pPr>
        <w:spacing w:after="120" w:before="0"/>
        <w:jc w:val="left"/>
      </w:pPr>
      <w:r>
        <w:rPr>
          <w:rFonts w:ascii="Calibri" w:cs="Calibri" w:eastAsia="Calibri" w:hAnsi="Calibri"/>
          <w:b/>
          <w:bCs/>
          <w:color w:val="0F172A"/>
          <w:sz w:val="20"/>
          <w:szCs w:val="20"/>
        </w:rPr>
        <w:t xml:space="preserve">Target: </w:t>
      </w:r>
      <w:r>
        <w:rPr>
          <w:rFonts w:ascii="Calibri" w:cs="Calibri" w:eastAsia="Calibri" w:hAnsi="Calibri"/>
          <w:b w:val="false"/>
          <w:bCs w:val="false"/>
          <w:color w:val="334155"/>
          <w:sz w:val="20"/>
          <w:szCs w:val="20"/>
        </w:rPr>
        <w:t xml:space="preserve">Agencies using free RapidSOS Portal</w:t>
      </w:r>
    </w:p>
    <w:p>
      <w:pPr>
        <w:shd w:fill="EEF3FB" w:color="EEF3FB" w:val="clear"/>
        <w:spacing w:after="0" w:before="160"/>
        <w:ind w:left="180" w:right="180"/>
      </w:pPr>
      <w:r>
        <w:rPr>
          <w:rFonts w:ascii="Calibri" w:cs="Calibri" w:eastAsia="Calibri" w:hAnsi="Calibri"/>
          <w:b/>
          <w:bCs/>
          <w:color w:val="1A3050"/>
          <w:sz w:val="19"/>
          <w:szCs w:val="19"/>
        </w:rPr>
        <w:t xml:space="preserve">Pitch:</w:t>
      </w:r>
    </w:p>
    <w:p>
      <w:pPr>
        <w:shd w:fill="EEF3FB" w:color="EEF3FB" w:val="clear"/>
        <w:spacing w:after="200" w:before="0"/>
        <w:ind w:left="180" w:right="180"/>
      </w:pPr>
      <w:r>
        <w:rPr>
          <w:rFonts w:ascii="Calibri" w:cs="Calibri" w:eastAsia="Calibri" w:hAnsi="Calibri"/>
          <w:b w:val="false"/>
          <w:bCs w:val="false"/>
          <w:color w:val="0F172A"/>
          <w:sz w:val="18"/>
          <w:szCs w:val="18"/>
        </w:rPr>
        <w:t xml:space="preserve">"RapidSOS Portal shows you caller data. RC shows you what's happening across your entire floor — every call, every dispatcher, every incident — in real time."</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Positioning: Data overlay vs. full operational intelligence platform</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These agencies have zero switching cost — they're free tier already</w:t>
      </w:r>
    </w:p>
    <w:p>
      <w:r>
        <w:br w:type="page"/>
      </w:r>
    </w:p>
    <w:p>
      <w:pPr>
        <w:pStyle w:val="Heading1"/>
        <w:spacing w:after="120" w:before="360"/>
      </w:pPr>
      <w:r>
        <w:rPr>
          <w:rFonts w:ascii="Calibri" w:cs="Calibri" w:eastAsia="Calibri" w:hAnsi="Calibri"/>
          <w:b/>
          <w:bCs/>
          <w:color w:val="0A1628"/>
          <w:sz w:val="32"/>
          <w:szCs w:val="32"/>
        </w:rPr>
        <w:t xml:space="preserve">7. Pipeline &amp; Revenue Model</w:t>
      </w:r>
    </w:p>
    <w:p>
      <w:pPr>
        <w:pBdr>
          <w:bottom w:val="single" w:color="1A3050"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720"/>
        <w:gridCol w:w="1560"/>
        <w:gridCol w:w="1400"/>
        <w:gridCol w:w="1480"/>
        <w:gridCol w:w="3000"/>
      </w:tblGrid>
      <w:tr>
        <w:tc>
          <w:tcPr>
            <w:tcW w:type="dxa" w:w="12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Month</w:t>
            </w:r>
          </w:p>
        </w:tc>
        <w:tc>
          <w:tcPr>
            <w:tcW w:type="dxa" w:w="72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Phase</w:t>
            </w:r>
          </w:p>
        </w:tc>
        <w:tc>
          <w:tcPr>
            <w:tcW w:type="dxa" w:w="15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Active Agencies</w:t>
            </w:r>
          </w:p>
        </w:tc>
        <w:tc>
          <w:tcPr>
            <w:tcW w:type="dxa" w:w="14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New ARR</w:t>
            </w:r>
          </w:p>
        </w:tc>
        <w:tc>
          <w:tcPr>
            <w:tcW w:type="dxa" w:w="14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Cumulative ARR</w:t>
            </w:r>
          </w:p>
        </w:tc>
        <w:tc>
          <w:tcPr>
            <w:tcW w:type="dxa" w:w="30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Key Milestone</w:t>
            </w:r>
          </w:p>
        </w:tc>
      </w:tr>
      <w:tr>
        <w:tc>
          <w:tcPr>
            <w:tcW w:type="dxa" w:w="1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Aug 2026</w:t>
            </w:r>
          </w:p>
        </w:tc>
        <w:tc>
          <w:tcPr>
            <w:tcW w:type="dxa" w:w="7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1</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0 → 1</w:t>
            </w:r>
          </w:p>
        </w:tc>
        <w:tc>
          <w:tcPr>
            <w:tcW w:type="dxa" w:w="1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$65K</w:t>
            </w:r>
          </w:p>
        </w:tc>
        <w:tc>
          <w:tcPr>
            <w:tcW w:type="dxa" w:w="14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$65K</w:t>
            </w:r>
          </w:p>
        </w:tc>
        <w:tc>
          <w:tcPr>
            <w:tcW w:type="dxa" w:w="30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APCO 2026 — first pilot signed</w:t>
            </w:r>
          </w:p>
        </w:tc>
      </w:tr>
      <w:tr>
        <w:tc>
          <w:tcPr>
            <w:tcW w:type="dxa" w:w="1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Sep 2026</w:t>
            </w:r>
          </w:p>
        </w:tc>
        <w:tc>
          <w:tcPr>
            <w:tcW w:type="dxa" w:w="7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1</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 → 3</w:t>
            </w:r>
          </w:p>
        </w:tc>
        <w:tc>
          <w:tcPr>
            <w:tcW w:type="dxa" w:w="1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$130K</w:t>
            </w:r>
          </w:p>
        </w:tc>
        <w:tc>
          <w:tcPr>
            <w:tcW w:type="dxa" w:w="14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$195K</w:t>
            </w:r>
          </w:p>
        </w:tc>
        <w:tc>
          <w:tcPr>
            <w:tcW w:type="dxa" w:w="30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2 more pilots closed from APCO pipeline</w:t>
            </w:r>
          </w:p>
        </w:tc>
      </w:tr>
      <w:tr>
        <w:tc>
          <w:tcPr>
            <w:tcW w:type="dxa" w:w="1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Oct 2026</w:t>
            </w:r>
          </w:p>
        </w:tc>
        <w:tc>
          <w:tcPr>
            <w:tcW w:type="dxa" w:w="7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1</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3 → 5</w:t>
            </w:r>
          </w:p>
        </w:tc>
        <w:tc>
          <w:tcPr>
            <w:tcW w:type="dxa" w:w="1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$100K</w:t>
            </w:r>
          </w:p>
        </w:tc>
        <w:tc>
          <w:tcPr>
            <w:tcW w:type="dxa" w:w="14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$295K</w:t>
            </w:r>
          </w:p>
        </w:tc>
        <w:tc>
          <w:tcPr>
            <w:tcW w:type="dxa" w:w="30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IACP outreach; 5th pilot signed</w:t>
            </w:r>
          </w:p>
        </w:tc>
      </w:tr>
      <w:tr>
        <w:tc>
          <w:tcPr>
            <w:tcW w:type="dxa" w:w="1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Nov 2026</w:t>
            </w:r>
          </w:p>
        </w:tc>
        <w:tc>
          <w:tcPr>
            <w:tcW w:type="dxa" w:w="7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2</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5 → 7</w:t>
            </w:r>
          </w:p>
        </w:tc>
        <w:tc>
          <w:tcPr>
            <w:tcW w:type="dxa" w:w="1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$140K</w:t>
            </w:r>
          </w:p>
        </w:tc>
        <w:tc>
          <w:tcPr>
            <w:tcW w:type="dxa" w:w="14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$435K</w:t>
            </w:r>
          </w:p>
        </w:tc>
        <w:tc>
          <w:tcPr>
            <w:tcW w:type="dxa" w:w="30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First pilot → production conversion</w:t>
            </w:r>
          </w:p>
        </w:tc>
      </w:tr>
      <w:tr>
        <w:tc>
          <w:tcPr>
            <w:tcW w:type="dxa" w:w="1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Dec 2026</w:t>
            </w:r>
          </w:p>
        </w:tc>
        <w:tc>
          <w:tcPr>
            <w:tcW w:type="dxa" w:w="7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2</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7 → 8</w:t>
            </w:r>
          </w:p>
        </w:tc>
        <w:tc>
          <w:tcPr>
            <w:tcW w:type="dxa" w:w="1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$90K</w:t>
            </w:r>
          </w:p>
        </w:tc>
        <w:tc>
          <w:tcPr>
            <w:tcW w:type="dxa" w:w="14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$525K</w:t>
            </w:r>
          </w:p>
        </w:tc>
        <w:tc>
          <w:tcPr>
            <w:tcW w:type="dxa" w:w="30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Case studies published; Tyler NDA</w:t>
            </w:r>
          </w:p>
        </w:tc>
      </w:tr>
      <w:tr>
        <w:tc>
          <w:tcPr>
            <w:tcW w:type="dxa" w:w="1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Jan 2027</w:t>
            </w:r>
          </w:p>
        </w:tc>
        <w:tc>
          <w:tcPr>
            <w:tcW w:type="dxa" w:w="7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2</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8 → 10</w:t>
            </w:r>
          </w:p>
        </w:tc>
        <w:tc>
          <w:tcPr>
            <w:tcW w:type="dxa" w:w="1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$100K</w:t>
            </w:r>
          </w:p>
        </w:tc>
        <w:tc>
          <w:tcPr>
            <w:tcW w:type="dxa" w:w="14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$625K</w:t>
            </w:r>
          </w:p>
        </w:tc>
        <w:tc>
          <w:tcPr>
            <w:tcW w:type="dxa" w:w="30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First Campus pilot; GovWorx displacement win</w:t>
            </w:r>
          </w:p>
        </w:tc>
      </w:tr>
      <w:tr>
        <w:tc>
          <w:tcPr>
            <w:tcW w:type="dxa" w:w="1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Feb 2027</w:t>
            </w:r>
          </w:p>
        </w:tc>
        <w:tc>
          <w:tcPr>
            <w:tcW w:type="dxa" w:w="7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3</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10 → 11</w:t>
            </w:r>
          </w:p>
        </w:tc>
        <w:tc>
          <w:tcPr>
            <w:tcW w:type="dxa" w:w="1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$102K</w:t>
            </w:r>
          </w:p>
        </w:tc>
        <w:tc>
          <w:tcPr>
            <w:tcW w:type="dxa" w:w="14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$727K</w:t>
            </w:r>
          </w:p>
        </w:tc>
        <w:tc>
          <w:tcPr>
            <w:tcW w:type="dxa" w:w="30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APCO Innovation Partner application</w:t>
            </w:r>
          </w:p>
        </w:tc>
      </w:tr>
      <w:tr>
        <w:tc>
          <w:tcPr>
            <w:tcW w:type="dxa" w:w="1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Mar 2027</w:t>
            </w:r>
          </w:p>
        </w:tc>
        <w:tc>
          <w:tcPr>
            <w:tcW w:type="dxa" w:w="7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3</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11 → 13</w:t>
            </w:r>
          </w:p>
        </w:tc>
        <w:tc>
          <w:tcPr>
            <w:tcW w:type="dxa" w:w="1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$140K</w:t>
            </w:r>
          </w:p>
        </w:tc>
        <w:tc>
          <w:tcPr>
            <w:tcW w:type="dxa" w:w="14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$867K</w:t>
            </w:r>
          </w:p>
        </w:tc>
        <w:tc>
          <w:tcPr>
            <w:tcW w:type="dxa" w:w="30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Hexagon MOU signed</w:t>
            </w:r>
          </w:p>
        </w:tc>
      </w:tr>
      <w:tr>
        <w:tc>
          <w:tcPr>
            <w:tcW w:type="dxa" w:w="1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Apr 2027</w:t>
            </w:r>
          </w:p>
        </w:tc>
        <w:tc>
          <w:tcPr>
            <w:tcW w:type="dxa" w:w="7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3</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13 → 15</w:t>
            </w:r>
          </w:p>
        </w:tc>
        <w:tc>
          <w:tcPr>
            <w:tcW w:type="dxa" w:w="1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$140K</w:t>
            </w:r>
          </w:p>
        </w:tc>
        <w:tc>
          <w:tcPr>
            <w:tcW w:type="dxa" w:w="14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$1.0M</w:t>
            </w:r>
          </w:p>
        </w:tc>
        <w:tc>
          <w:tcPr>
            <w:tcW w:type="dxa" w:w="30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$1M ARR milestone — first press release</w:t>
            </w:r>
          </w:p>
        </w:tc>
      </w:tr>
      <w:tr>
        <w:tc>
          <w:tcPr>
            <w:tcW w:type="dxa" w:w="1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May 2027</w:t>
            </w:r>
          </w:p>
        </w:tc>
        <w:tc>
          <w:tcPr>
            <w:tcW w:type="dxa" w:w="7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4</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15 → 16</w:t>
            </w:r>
          </w:p>
        </w:tc>
        <w:tc>
          <w:tcPr>
            <w:tcW w:type="dxa" w:w="1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$120K</w:t>
            </w:r>
          </w:p>
        </w:tc>
        <w:tc>
          <w:tcPr>
            <w:tcW w:type="dxa" w:w="14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$1.12M</w:t>
            </w:r>
          </w:p>
        </w:tc>
        <w:tc>
          <w:tcPr>
            <w:tcW w:type="dxa" w:w="30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Enterprise deal in final stage</w:t>
            </w:r>
          </w:p>
        </w:tc>
      </w:tr>
      <w:tr>
        <w:tc>
          <w:tcPr>
            <w:tcW w:type="dxa" w:w="1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Jun 2027</w:t>
            </w:r>
          </w:p>
        </w:tc>
        <w:tc>
          <w:tcPr>
            <w:tcW w:type="dxa" w:w="7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4</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16 → 18</w:t>
            </w:r>
          </w:p>
        </w:tc>
        <w:tc>
          <w:tcPr>
            <w:tcW w:type="dxa" w:w="1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$130K</w:t>
            </w:r>
          </w:p>
        </w:tc>
        <w:tc>
          <w:tcPr>
            <w:tcW w:type="dxa" w:w="14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$1.25M</w:t>
            </w:r>
          </w:p>
        </w:tc>
        <w:tc>
          <w:tcPr>
            <w:tcW w:type="dxa" w:w="30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Series A data room preparation begins</w:t>
            </w:r>
          </w:p>
        </w:tc>
      </w:tr>
      <w:tr>
        <w:tc>
          <w:tcPr>
            <w:tcW w:type="dxa" w:w="1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Jul 2027</w:t>
            </w:r>
          </w:p>
        </w:tc>
        <w:tc>
          <w:tcPr>
            <w:tcW w:type="dxa" w:w="7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4</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18 → 20</w:t>
            </w:r>
          </w:p>
        </w:tc>
        <w:tc>
          <w:tcPr>
            <w:tcW w:type="dxa" w:w="1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$250K</w:t>
            </w:r>
          </w:p>
        </w:tc>
        <w:tc>
          <w:tcPr>
            <w:tcW w:type="dxa" w:w="14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$1.5M</w:t>
            </w:r>
          </w:p>
        </w:tc>
        <w:tc>
          <w:tcPr>
            <w:tcW w:type="dxa" w:w="30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NENA 2027 sponsor; Command deal closes</w:t>
            </w:r>
          </w:p>
        </w:tc>
      </w:tr>
    </w:tbl>
    <w:p>
      <w:pPr>
        <w:spacing w:after="0" w:before="200"/>
      </w:pPr>
    </w:p>
    <w:p>
      <w:pPr>
        <w:spacing w:after="80" w:before="200"/>
      </w:pPr>
      <w:r>
        <w:rPr>
          <w:rFonts w:ascii="Calibri" w:cs="Calibri" w:eastAsia="Calibri" w:hAnsi="Calibri"/>
          <w:b/>
          <w:bCs/>
          <w:color w:val="0A1628"/>
          <w:sz w:val="22"/>
          <w:szCs w:val="22"/>
        </w:rPr>
        <w:t xml:space="preserve">Deal Mix Assumptions</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60% Essential tier ($42K–$90K ARR) — small/mid PSAPs, pilots converting to production</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30% Professional tier ($102K–$240K ARR) — county PSAPs and regional centers</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10% Command tier ($270K+) — large agency or first enterprise deal in month 12</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Upside scenario adds 1 Enterprise/statewide conversation closing as $400K+ ARR in H2</w:t>
      </w:r>
    </w:p>
    <w:p>
      <w:r>
        <w:br w:type="page"/>
      </w:r>
    </w:p>
    <w:p>
      <w:pPr>
        <w:pStyle w:val="Heading1"/>
        <w:spacing w:after="120" w:before="360"/>
      </w:pPr>
      <w:r>
        <w:rPr>
          <w:rFonts w:ascii="Calibri" w:cs="Calibri" w:eastAsia="Calibri" w:hAnsi="Calibri"/>
          <w:b/>
          <w:bCs/>
          <w:color w:val="0A1628"/>
          <w:sz w:val="32"/>
          <w:szCs w:val="32"/>
        </w:rPr>
        <w:t xml:space="preserve">8. Channel Strategy</w:t>
      </w:r>
    </w:p>
    <w:p>
      <w:pPr>
        <w:pBdr>
          <w:bottom w:val="single" w:color="1A3050"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120"/>
        <w:gridCol w:w="3360"/>
        <w:gridCol w:w="1040"/>
        <w:gridCol w:w="2080"/>
      </w:tblGrid>
      <w:tr>
        <w:tc>
          <w:tcPr>
            <w:tcW w:type="dxa" w:w="17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Channel</w:t>
            </w:r>
          </w:p>
        </w:tc>
        <w:tc>
          <w:tcPr>
            <w:tcW w:type="dxa" w:w="112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Priority</w:t>
            </w:r>
          </w:p>
        </w:tc>
        <w:tc>
          <w:tcPr>
            <w:tcW w:type="dxa" w:w="33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Mechanism</w:t>
            </w:r>
          </w:p>
        </w:tc>
        <w:tc>
          <w:tcPr>
            <w:tcW w:type="dxa" w:w="104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Owner</w:t>
            </w:r>
          </w:p>
        </w:tc>
        <w:tc>
          <w:tcPr>
            <w:tcW w:type="dxa" w:w="20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12-Month Goal</w:t>
            </w:r>
          </w:p>
        </w:tc>
      </w:tr>
      <w:tr>
        <w:tc>
          <w:tcPr>
            <w:tcW w:type="dxa" w:w="17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Direct outbound</w:t>
            </w:r>
          </w:p>
        </w:tc>
        <w:tc>
          <w:tcPr>
            <w:tcW w:type="dxa" w:w="1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Primary</w:t>
            </w:r>
          </w:p>
        </w:tc>
        <w:tc>
          <w:tcPr>
            <w:tcW w:type="dxa" w:w="33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CRO-led outreach to ICP list of 500+ target agencies. Email, LinkedIn, phone cadence targeting PSAP directors and agency admins.</w:t>
            </w:r>
          </w:p>
        </w:tc>
        <w:tc>
          <w:tcPr>
            <w:tcW w:type="dxa" w:w="10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CRO + SDR</w:t>
            </w:r>
          </w:p>
        </w:tc>
        <w:tc>
          <w:tcPr>
            <w:tcW w:type="dxa" w:w="20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300+ outreach touches; 50+ demos; 8+ closed pilots</w:t>
            </w:r>
          </w:p>
        </w:tc>
      </w:tr>
      <w:tr>
        <w:tc>
          <w:tcPr>
            <w:tcW w:type="dxa" w:w="17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Conference pipeline</w:t>
            </w:r>
          </w:p>
        </w:tc>
        <w:tc>
          <w:tcPr>
            <w:tcW w:type="dxa" w:w="1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Primary</w:t>
            </w:r>
          </w:p>
        </w:tc>
        <w:tc>
          <w:tcPr>
            <w:tcW w:type="dxa" w:w="33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APCO 2026, IACP 2026, NENA chapters, state 911 summits. Active booth presence, speaking submissions, 1:1 meeting scheduling.</w:t>
            </w:r>
          </w:p>
        </w:tc>
        <w:tc>
          <w:tcPr>
            <w:tcW w:type="dxa" w:w="10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CRO + CEO</w:t>
            </w:r>
          </w:p>
        </w:tc>
        <w:tc>
          <w:tcPr>
            <w:tcW w:type="dxa" w:w="20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100+ qualified meetings; 5+ deals sourced from events</w:t>
            </w:r>
          </w:p>
        </w:tc>
      </w:tr>
      <w:tr>
        <w:tc>
          <w:tcPr>
            <w:tcW w:type="dxa" w:w="17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Advisory board network</w:t>
            </w:r>
          </w:p>
        </w:tc>
        <w:tc>
          <w:tcPr>
            <w:tcW w:type="dxa" w:w="1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Primary</w:t>
            </w:r>
          </w:p>
        </w:tc>
        <w:tc>
          <w:tcPr>
            <w:tcW w:type="dxa" w:w="33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Tamara Bell (APCO network), Paulette Grey MD (EMS), Don Pimpleton (GovTech GTM). Warm introductions to agency leaders.</w:t>
            </w:r>
          </w:p>
        </w:tc>
        <w:tc>
          <w:tcPr>
            <w:tcW w:type="dxa" w:w="10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CEO + CRO</w:t>
            </w:r>
          </w:p>
        </w:tc>
        <w:tc>
          <w:tcPr>
            <w:tcW w:type="dxa" w:w="20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25+ warm intro meetings; 3+ deals sourced</w:t>
            </w:r>
          </w:p>
        </w:tc>
      </w:tr>
      <w:tr>
        <w:tc>
          <w:tcPr>
            <w:tcW w:type="dxa" w:w="17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Grant-aligned inbound</w:t>
            </w:r>
          </w:p>
        </w:tc>
        <w:tc>
          <w:tcPr>
            <w:tcW w:type="dxa" w:w="1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Secondary</w:t>
            </w:r>
          </w:p>
        </w:tc>
        <w:tc>
          <w:tcPr>
            <w:tcW w:type="dxa" w:w="33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Publish grant language toolkit, agency ROI calculator, and COPS/CDS alignment guides on site.</w:t>
            </w:r>
          </w:p>
        </w:tc>
        <w:tc>
          <w:tcPr>
            <w:tcW w:type="dxa" w:w="10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Marketing</w:t>
            </w:r>
          </w:p>
        </w:tc>
        <w:tc>
          <w:tcPr>
            <w:tcW w:type="dxa" w:w="20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50+ inbound leads from grant content; 2+ deals sourced</w:t>
            </w:r>
          </w:p>
        </w:tc>
      </w:tr>
      <w:tr>
        <w:tc>
          <w:tcPr>
            <w:tcW w:type="dxa" w:w="17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CAD vendor partnership</w:t>
            </w:r>
          </w:p>
        </w:tc>
        <w:tc>
          <w:tcPr>
            <w:tcW w:type="dxa" w:w="1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Secondary</w:t>
            </w:r>
          </w:p>
        </w:tc>
        <w:tc>
          <w:tcPr>
            <w:tcW w:type="dxa" w:w="33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Tyler, Hexagon as referral sources. Their agencies need an AI layer RC provides. Co-marketing in year 2 — sourcing begins now.</w:t>
            </w:r>
          </w:p>
        </w:tc>
        <w:tc>
          <w:tcPr>
            <w:tcW w:type="dxa" w:w="10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CRO + CEO</w:t>
            </w:r>
          </w:p>
        </w:tc>
        <w:tc>
          <w:tcPr>
            <w:tcW w:type="dxa" w:w="20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1–2 partnership MOUs; first partner lead in pipeline</w:t>
            </w:r>
          </w:p>
        </w:tc>
      </w:tr>
      <w:tr>
        <w:tc>
          <w:tcPr>
            <w:tcW w:type="dxa" w:w="17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Public safety association</w:t>
            </w:r>
          </w:p>
        </w:tc>
        <w:tc>
          <w:tcPr>
            <w:tcW w:type="dxa" w:w="1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Long-term</w:t>
            </w:r>
          </w:p>
        </w:tc>
        <w:tc>
          <w:tcPr>
            <w:tcW w:type="dxa" w:w="33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APCO Innovation Partner, NENA affiliate, CALEA, IACP. Association validation builds trust. Longer lead time — start now for year 2 payoff.</w:t>
            </w:r>
          </w:p>
        </w:tc>
        <w:tc>
          <w:tcPr>
            <w:tcW w:type="dxa" w:w="10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CEO + Mktg</w:t>
            </w:r>
          </w:p>
        </w:tc>
        <w:tc>
          <w:tcPr>
            <w:tcW w:type="dxa" w:w="20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Applications submitted; 1 affiliate status granted</w:t>
            </w:r>
          </w:p>
        </w:tc>
      </w:tr>
      <w:tr>
        <w:tc>
          <w:tcPr>
            <w:tcW w:type="dxa" w:w="17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Industry media &amp; content</w:t>
            </w:r>
          </w:p>
        </w:tc>
        <w:tc>
          <w:tcPr>
            <w:tcW w:type="dxa" w:w="1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Long-term</w:t>
            </w:r>
          </w:p>
        </w:tc>
        <w:tc>
          <w:tcPr>
            <w:tcW w:type="dxa" w:w="33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APCO Bulletin, 9-1-1 Magazine, NENA's NG9-1-1 Today. Bylines, contributed articles, and coverage of agency deployments.</w:t>
            </w:r>
          </w:p>
        </w:tc>
        <w:tc>
          <w:tcPr>
            <w:tcW w:type="dxa" w:w="10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Marketing</w:t>
            </w:r>
          </w:p>
        </w:tc>
        <w:tc>
          <w:tcPr>
            <w:tcW w:type="dxa" w:w="20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4+ published bylines; 2+ media mentions</w:t>
            </w:r>
          </w:p>
        </w:tc>
      </w:tr>
    </w:tbl>
    <w:p>
      <w:r>
        <w:br w:type="page"/>
      </w:r>
    </w:p>
    <w:p>
      <w:pPr>
        <w:pStyle w:val="Heading1"/>
        <w:spacing w:after="120" w:before="360"/>
      </w:pPr>
      <w:r>
        <w:rPr>
          <w:rFonts w:ascii="Calibri" w:cs="Calibri" w:eastAsia="Calibri" w:hAnsi="Calibri"/>
          <w:b/>
          <w:bCs/>
          <w:color w:val="0A1628"/>
          <w:sz w:val="32"/>
          <w:szCs w:val="32"/>
        </w:rPr>
        <w:t xml:space="preserve">9. Conference &amp; Events Calendar</w:t>
      </w:r>
    </w:p>
    <w:p>
      <w:pPr>
        <w:pBdr>
          <w:bottom w:val="single" w:color="1A3050"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8" w:sz="4"/>
              <w:left w:val="single" w:color="C8D4E8" w:sz="4"/>
              <w:bottom w:val="single" w:color="C8D4E8" w:sz="4"/>
              <w:right w:val="single" w:color="C8D4E8" w:sz="4"/>
            </w:tcBorders>
            <w:shd w:fill="1A3050" w:color="1A3050"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17"/>
                <w:szCs w:val="17"/>
              </w:rPr>
              <w:t xml:space="preserve">Aug 2026</w:t>
            </w:r>
          </w:p>
        </w:tc>
        <w:tc>
          <w:tcPr>
            <w:tcW w:type="dxa" w:w="8160"/>
            <w:tcBorders>
              <w:top w:val="single" w:color="C8D4E8" w:sz="4"/>
              <w:left w:val="single" w:color="C8D4E8" w:sz="4"/>
              <w:bottom w:val="single" w:color="C8D4E8" w:sz="4"/>
              <w:right w:val="single" w:color="C8D4E8" w:sz="4"/>
            </w:tcBorders>
            <w:shd w:fill="DBEAFE" w:color="DBEAFE"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APCO Annual Conference 2026 — San Antonio, TX</w:t>
            </w:r>
          </w:p>
          <w:p>
            <w:pPr>
              <w:spacing w:after="40" w:before="0"/>
            </w:pPr>
            <w:r>
              <w:rPr>
                <w:rFonts w:ascii="Calibri" w:cs="Calibri" w:eastAsia="Calibri" w:hAnsi="Calibri"/>
                <w:b/>
                <w:bCs/>
                <w:color w:val="1E3A8A"/>
                <w:sz w:val="16"/>
                <w:szCs w:val="16"/>
              </w:rPr>
              <w:t xml:space="preserve">Priority 1  ·  Sales · Brand</w:t>
            </w:r>
          </w:p>
          <w:p>
            <w:pPr>
              <w:spacing w:after="0" w:before="0"/>
            </w:pPr>
            <w:r>
              <w:rPr>
                <w:rFonts w:ascii="Calibri" w:cs="Calibri" w:eastAsia="Calibri" w:hAnsi="Calibri"/>
                <w:b w:val="false"/>
                <w:bCs w:val="false"/>
                <w:color w:val="334155"/>
                <w:sz w:val="17"/>
                <w:szCs w:val="17"/>
              </w:rPr>
              <w:t xml:space="preserve">Tier-1 priority. GovWorx and RapidSOS both present. RC must have a presence — booth, sponsored session, or heavy 1:1 meeting calendar. Tamara Bell (advisor) provides door-opening access to the APCO community. Target: 50+ qualified meetings scheduled pre-event.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8" w:sz="4"/>
              <w:left w:val="single" w:color="C8D4E8" w:sz="4"/>
              <w:bottom w:val="single" w:color="C8D4E8" w:sz="4"/>
              <w:right w:val="single" w:color="C8D4E8" w:sz="4"/>
            </w:tcBorders>
            <w:shd w:fill="1A3050" w:color="1A3050"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17"/>
                <w:szCs w:val="17"/>
              </w:rPr>
              <w:t xml:space="preserve">Sep 2026</w:t>
            </w:r>
          </w:p>
        </w:tc>
        <w:tc>
          <w:tcPr>
            <w:tcW w:type="dxa" w:w="8160"/>
            <w:tcBorders>
              <w:top w:val="single" w:color="C8D4E8" w:sz="4"/>
              <w:left w:val="single" w:color="C8D4E8" w:sz="4"/>
              <w:bottom w:val="single" w:color="C8D4E8" w:sz="4"/>
              <w:right w:val="single" w:color="C8D4E8" w:sz="4"/>
            </w:tcBorders>
            <w:shd w:fill="FEF3C7" w:color="FEF3C7"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State 911 Committee Meetings — Multiple states (virtual)</w:t>
            </w:r>
          </w:p>
          <w:p>
            <w:pPr>
              <w:spacing w:after="40" w:before="0"/>
            </w:pPr>
            <w:r>
              <w:rPr>
                <w:rFonts w:ascii="Calibri" w:cs="Calibri" w:eastAsia="Calibri" w:hAnsi="Calibri"/>
                <w:b/>
                <w:bCs/>
                <w:color w:val="78350F"/>
                <w:sz w:val="16"/>
                <w:szCs w:val="16"/>
              </w:rPr>
              <w:t xml:space="preserve">Priority 2  ·  Pipeline</w:t>
            </w:r>
          </w:p>
          <w:p>
            <w:pPr>
              <w:spacing w:after="0" w:before="0"/>
            </w:pPr>
            <w:r>
              <w:rPr>
                <w:rFonts w:ascii="Calibri" w:cs="Calibri" w:eastAsia="Calibri" w:hAnsi="Calibri"/>
                <w:b w:val="false"/>
                <w:bCs w:val="false"/>
                <w:color w:val="334155"/>
                <w:sz w:val="17"/>
                <w:szCs w:val="17"/>
              </w:rPr>
              <w:t xml:space="preserve">Every state has a 911 advisory board that meets 2–4× per year. Submit RC as a vendor presentation to GA, FL, TX, NC, and OH state committees. These are low-cost, high-signal engagements that open doors to multiple agencies within a state simultaneously.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8" w:sz="4"/>
              <w:left w:val="single" w:color="C8D4E8" w:sz="4"/>
              <w:bottom w:val="single" w:color="C8D4E8" w:sz="4"/>
              <w:right w:val="single" w:color="C8D4E8" w:sz="4"/>
            </w:tcBorders>
            <w:shd w:fill="1A3050" w:color="1A3050"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17"/>
                <w:szCs w:val="17"/>
              </w:rPr>
              <w:t xml:space="preserve">Oct 2026</w:t>
            </w:r>
          </w:p>
        </w:tc>
        <w:tc>
          <w:tcPr>
            <w:tcW w:type="dxa" w:w="8160"/>
            <w:tcBorders>
              <w:top w:val="single" w:color="C8D4E8" w:sz="4"/>
              <w:left w:val="single" w:color="C8D4E8" w:sz="4"/>
              <w:bottom w:val="single" w:color="C8D4E8" w:sz="4"/>
              <w:right w:val="single" w:color="C8D4E8" w:sz="4"/>
            </w:tcBorders>
            <w:shd w:fill="DBEAFE" w:color="DBEAFE"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IACP Annual Conference 2026 — Chicago, IL</w:t>
            </w:r>
          </w:p>
          <w:p>
            <w:pPr>
              <w:spacing w:after="40" w:before="0"/>
            </w:pPr>
            <w:r>
              <w:rPr>
                <w:rFonts w:ascii="Calibri" w:cs="Calibri" w:eastAsia="Calibri" w:hAnsi="Calibri"/>
                <w:b/>
                <w:bCs/>
                <w:color w:val="1E3A8A"/>
                <w:sz w:val="16"/>
                <w:szCs w:val="16"/>
              </w:rPr>
              <w:t xml:space="preserve">Priority 1  ·  Sales · Law enforcement</w:t>
            </w:r>
          </w:p>
          <w:p>
            <w:pPr>
              <w:spacing w:after="0" w:before="0"/>
            </w:pPr>
            <w:r>
              <w:rPr>
                <w:rFonts w:ascii="Calibri" w:cs="Calibri" w:eastAsia="Calibri" w:hAnsi="Calibri"/>
                <w:b w:val="false"/>
                <w:bCs w:val="false"/>
                <w:color w:val="334155"/>
                <w:sz w:val="17"/>
                <w:szCs w:val="17"/>
              </w:rPr>
              <w:t xml:space="preserve">International Association of Chiefs of Police. Law enforcement command staff. Strong fit for Supervisor Command Center and major incident narrative. RC should attend for 1:1 meetings even without a formal booth. Target law enforcement directors with budgets outside the PSAP structure.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8" w:sz="4"/>
              <w:left w:val="single" w:color="C8D4E8" w:sz="4"/>
              <w:bottom w:val="single" w:color="C8D4E8" w:sz="4"/>
              <w:right w:val="single" w:color="C8D4E8" w:sz="4"/>
            </w:tcBorders>
            <w:shd w:fill="1A3050" w:color="1A3050"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17"/>
                <w:szCs w:val="17"/>
              </w:rPr>
              <w:t xml:space="preserve">Nov–Dec 2026</w:t>
            </w:r>
          </w:p>
        </w:tc>
        <w:tc>
          <w:tcPr>
            <w:tcW w:type="dxa" w:w="8160"/>
            <w:tcBorders>
              <w:top w:val="single" w:color="C8D4E8" w:sz="4"/>
              <w:left w:val="single" w:color="C8D4E8" w:sz="4"/>
              <w:bottom w:val="single" w:color="C8D4E8" w:sz="4"/>
              <w:right w:val="single" w:color="C8D4E8" w:sz="4"/>
            </w:tcBorders>
            <w:shd w:fill="FEF3C7" w:color="FEF3C7"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NENA State Chapter Annual Meetings — Nationwide</w:t>
            </w:r>
          </w:p>
          <w:p>
            <w:pPr>
              <w:spacing w:after="40" w:before="0"/>
            </w:pPr>
            <w:r>
              <w:rPr>
                <w:rFonts w:ascii="Calibri" w:cs="Calibri" w:eastAsia="Calibri" w:hAnsi="Calibri"/>
                <w:b/>
                <w:bCs/>
                <w:color w:val="78350F"/>
                <w:sz w:val="16"/>
                <w:szCs w:val="16"/>
              </w:rPr>
              <w:t xml:space="preserve">Priority 2  ·  Brand · Pipeline</w:t>
            </w:r>
          </w:p>
          <w:p>
            <w:pPr>
              <w:spacing w:after="0" w:before="0"/>
            </w:pPr>
            <w:r>
              <w:rPr>
                <w:rFonts w:ascii="Calibri" w:cs="Calibri" w:eastAsia="Calibri" w:hAnsi="Calibri"/>
                <w:b w:val="false"/>
                <w:bCs w:val="false"/>
                <w:color w:val="334155"/>
                <w:sz w:val="17"/>
                <w:szCs w:val="17"/>
              </w:rPr>
              <w:t xml:space="preserve">NENA state chapters hold annual meetings in Q4. Submit speaking proposals for 4–6 state chapters: GA, FL, TX, NC, VA, OH. 20–40 agency attendees per meeting — each one is a warm prospect. Cost-effective alternative to national NENA before RC has sponsor budget.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8" w:sz="4"/>
              <w:left w:val="single" w:color="C8D4E8" w:sz="4"/>
              <w:bottom w:val="single" w:color="C8D4E8" w:sz="4"/>
              <w:right w:val="single" w:color="C8D4E8" w:sz="4"/>
            </w:tcBorders>
            <w:shd w:fill="1A3050" w:color="1A3050"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17"/>
                <w:szCs w:val="17"/>
              </w:rPr>
              <w:t xml:space="preserve">Jan 2027</w:t>
            </w:r>
          </w:p>
        </w:tc>
        <w:tc>
          <w:tcPr>
            <w:tcW w:type="dxa" w:w="8160"/>
            <w:tcBorders>
              <w:top w:val="single" w:color="C8D4E8" w:sz="4"/>
              <w:left w:val="single" w:color="C8D4E8" w:sz="4"/>
              <w:bottom w:val="single" w:color="C8D4E8" w:sz="4"/>
              <w:right w:val="single" w:color="C8D4E8" w:sz="4"/>
            </w:tcBorders>
            <w:shd w:fill="FEF3C7" w:color="FEF3C7"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NENA 2027 Preview + PSAP Technology Summit</w:t>
            </w:r>
          </w:p>
          <w:p>
            <w:pPr>
              <w:spacing w:after="40" w:before="0"/>
            </w:pPr>
            <w:r>
              <w:rPr>
                <w:rFonts w:ascii="Calibri" w:cs="Calibri" w:eastAsia="Calibri" w:hAnsi="Calibri"/>
                <w:b/>
                <w:bCs/>
                <w:color w:val="78350F"/>
                <w:sz w:val="16"/>
                <w:szCs w:val="16"/>
              </w:rPr>
              <w:t xml:space="preserve">Planning  ·  Content</w:t>
            </w:r>
          </w:p>
          <w:p>
            <w:pPr>
              <w:spacing w:after="0" w:before="0"/>
            </w:pPr>
            <w:r>
              <w:rPr>
                <w:rFonts w:ascii="Calibri" w:cs="Calibri" w:eastAsia="Calibri" w:hAnsi="Calibri"/>
                <w:b w:val="false"/>
                <w:bCs w:val="false"/>
                <w:color w:val="334155"/>
                <w:sz w:val="17"/>
                <w:szCs w:val="17"/>
              </w:rPr>
              <w:t xml:space="preserve">Begin planning and early outreach for NENA 2027. Secure speaking slot submissions. Target Q1 virtual PSAP technology summits as low-cost, high-reach channels. RC webinar series: "The 911 AI Landscape in 2027" — positioning RC as the thought leadership source.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8" w:sz="4"/>
              <w:left w:val="single" w:color="C8D4E8" w:sz="4"/>
              <w:bottom w:val="single" w:color="C8D4E8" w:sz="4"/>
              <w:right w:val="single" w:color="C8D4E8" w:sz="4"/>
            </w:tcBorders>
            <w:shd w:fill="1A3050" w:color="1A3050"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17"/>
                <w:szCs w:val="17"/>
              </w:rPr>
              <w:t xml:space="preserve">Feb–Apr 2027</w:t>
            </w:r>
          </w:p>
        </w:tc>
        <w:tc>
          <w:tcPr>
            <w:tcW w:type="dxa" w:w="8160"/>
            <w:tcBorders>
              <w:top w:val="single" w:color="C8D4E8" w:sz="4"/>
              <w:left w:val="single" w:color="C8D4E8" w:sz="4"/>
              <w:bottom w:val="single" w:color="C8D4E8" w:sz="4"/>
              <w:right w:val="single" w:color="C8D4E8" w:sz="4"/>
            </w:tcBorders>
            <w:shd w:fill="FEF3C7" w:color="FEF3C7"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EMS World Expo / FEMS Conference + Regional events</w:t>
            </w:r>
          </w:p>
          <w:p>
            <w:pPr>
              <w:spacing w:after="40" w:before="0"/>
            </w:pPr>
            <w:r>
              <w:rPr>
                <w:rFonts w:ascii="Calibri" w:cs="Calibri" w:eastAsia="Calibri" w:hAnsi="Calibri"/>
                <w:b/>
                <w:bCs/>
                <w:color w:val="78350F"/>
                <w:sz w:val="16"/>
                <w:szCs w:val="16"/>
              </w:rPr>
              <w:t xml:space="preserve">Priority 2  ·  EMS/Fire</w:t>
            </w:r>
          </w:p>
          <w:p>
            <w:pPr>
              <w:spacing w:after="0" w:before="0"/>
            </w:pPr>
            <w:r>
              <w:rPr>
                <w:rFonts w:ascii="Calibri" w:cs="Calibri" w:eastAsia="Calibri" w:hAnsi="Calibri"/>
                <w:b w:val="false"/>
                <w:bCs w:val="false"/>
                <w:color w:val="334155"/>
                <w:sz w:val="17"/>
                <w:szCs w:val="17"/>
              </w:rPr>
              <w:t xml:space="preserve">EMS and fire dispatch audiences. Paulette Grey MD (advisor) as clinical validator for EMS-facing messaging. Strong ROI story around multilingual intake and pre-alert hospital routing. Also target regional public safety conferences in Southeast and Midwest.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8D4E8" w:sz="4"/>
              <w:left w:val="single" w:color="C8D4E8" w:sz="4"/>
              <w:bottom w:val="single" w:color="C8D4E8" w:sz="4"/>
              <w:right w:val="single" w:color="C8D4E8" w:sz="4"/>
            </w:tcBorders>
            <w:shd w:fill="1A3050" w:color="1A3050" w:val="clear"/>
            <w:tcMar>
              <w:top w:type="dxa" w:w="80"/>
              <w:left w:type="dxa" w:w="120"/>
              <w:bottom w:type="dxa" w:w="80"/>
              <w:right w:type="dxa" w:w="120"/>
            </w:tcMar>
            <w:vAlign w:val="center"/>
          </w:tcPr>
          <w:p>
            <w:pPr>
              <w:spacing w:after="0" w:before="0"/>
              <w:jc w:val="left"/>
            </w:pPr>
            <w:r>
              <w:rPr>
                <w:rFonts w:ascii="Calibri" w:cs="Calibri" w:eastAsia="Calibri" w:hAnsi="Calibri"/>
                <w:b/>
                <w:bCs/>
                <w:color w:val="FFFFFF"/>
                <w:sz w:val="17"/>
                <w:szCs w:val="17"/>
              </w:rPr>
              <w:t xml:space="preserve">Jun–Jul 2027</w:t>
            </w:r>
          </w:p>
        </w:tc>
        <w:tc>
          <w:tcPr>
            <w:tcW w:type="dxa" w:w="8160"/>
            <w:tcBorders>
              <w:top w:val="single" w:color="C8D4E8" w:sz="4"/>
              <w:left w:val="single" w:color="C8D4E8" w:sz="4"/>
              <w:bottom w:val="single" w:color="C8D4E8" w:sz="4"/>
              <w:right w:val="single" w:color="C8D4E8" w:sz="4"/>
            </w:tcBorders>
            <w:shd w:fill="DBEAFE" w:color="DBEAFE"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NENA Annual Conference 2027</w:t>
            </w:r>
          </w:p>
          <w:p>
            <w:pPr>
              <w:spacing w:after="40" w:before="0"/>
            </w:pPr>
            <w:r>
              <w:rPr>
                <w:rFonts w:ascii="Calibri" w:cs="Calibri" w:eastAsia="Calibri" w:hAnsi="Calibri"/>
                <w:b/>
                <w:bCs/>
                <w:color w:val="1E3A8A"/>
                <w:sz w:val="16"/>
                <w:szCs w:val="16"/>
              </w:rPr>
              <w:t xml:space="preserve">Priority 1 · Flagship  ·  Sales · Brand · All goals</w:t>
            </w:r>
          </w:p>
          <w:p>
            <w:pPr>
              <w:spacing w:after="0" w:before="0"/>
            </w:pPr>
            <w:r>
              <w:rPr>
                <w:rFonts w:ascii="Calibri" w:cs="Calibri" w:eastAsia="Calibri" w:hAnsi="Calibri"/>
                <w:b w:val="false"/>
                <w:bCs w:val="false"/>
                <w:color w:val="334155"/>
                <w:sz w:val="17"/>
                <w:szCs w:val="17"/>
              </w:rPr>
              <w:t xml:space="preserve">The tier-1 NENA national conference. RC should attend as a named sponsor with a booth, minimum. With 15–20 agencies deployed by this point, RC enters NENA 2027 with proven deployments, case studies, and reference customers on the floor. This is the moment that builds the next 12 months of pipeline.</w:t>
            </w:r>
          </w:p>
        </w:tc>
      </w:tr>
    </w:tbl>
    <w:p>
      <w:pPr>
        <w:spacing w:after="0" w:before="80"/>
      </w:pPr>
    </w:p>
    <w:p>
      <w:r>
        <w:br w:type="page"/>
      </w:r>
    </w:p>
    <w:p>
      <w:pPr>
        <w:pStyle w:val="Heading1"/>
        <w:spacing w:after="120" w:before="360"/>
      </w:pPr>
      <w:r>
        <w:rPr>
          <w:rFonts w:ascii="Calibri" w:cs="Calibri" w:eastAsia="Calibri" w:hAnsi="Calibri"/>
          <w:b/>
          <w:bCs/>
          <w:color w:val="0A1628"/>
          <w:sz w:val="32"/>
          <w:szCs w:val="32"/>
        </w:rPr>
        <w:t xml:space="preserve">10. Grant Alignment Strategy</w:t>
      </w:r>
    </w:p>
    <w:p>
      <w:pPr>
        <w:pBdr>
          <w:bottom w:val="single" w:color="1A3050" w:sz="6" w:space="1"/>
        </w:pBdr>
        <w:spacing w:after="120" w:before="120"/>
      </w:pPr>
    </w:p>
    <w:p>
      <w:pPr>
        <w:spacing w:after="140" w:before="0"/>
      </w:pPr>
      <w:r>
        <w:rPr>
          <w:rFonts w:ascii="Calibri" w:cs="Calibri" w:eastAsia="Calibri" w:hAnsi="Calibri"/>
          <w:b w:val="false"/>
          <w:bCs w:val="false"/>
          <w:color w:val="334155"/>
          <w:sz w:val="20"/>
          <w:szCs w:val="20"/>
        </w:rPr>
        <w:t xml:space="preserve">RC's pricing is calibrated to match federal and state grant award sizes. This is a structural advantage — agencies can fund RC pilots without pulling from general fund budgets. Grant alignment should be built into every sales conversation from first contact.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1360"/>
        <w:gridCol w:w="1680"/>
        <w:gridCol w:w="2400"/>
        <w:gridCol w:w="1200"/>
      </w:tblGrid>
      <w:tr>
        <w:tc>
          <w:tcPr>
            <w:tcW w:type="dxa" w:w="232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Grant Program</w:t>
            </w:r>
          </w:p>
        </w:tc>
        <w:tc>
          <w:tcPr>
            <w:tcW w:type="dxa" w:w="13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Typical Award</w:t>
            </w:r>
          </w:p>
        </w:tc>
        <w:tc>
          <w:tcPr>
            <w:tcW w:type="dxa" w:w="1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RC Pilot Match</w:t>
            </w:r>
          </w:p>
        </w:tc>
        <w:tc>
          <w:tcPr>
            <w:tcW w:type="dxa" w:w="24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Key Requirement</w:t>
            </w:r>
          </w:p>
        </w:tc>
        <w:tc>
          <w:tcPr>
            <w:tcW w:type="dxa" w:w="12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Deadline</w:t>
            </w:r>
          </w:p>
        </w:tc>
      </w:tr>
      <w:tr>
        <w:tc>
          <w:tcPr>
            <w:tcW w:type="dxa" w:w="23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COPS Technology Program</w:t>
            </w:r>
          </w:p>
        </w:tc>
        <w:tc>
          <w:tcPr>
            <w:tcW w:type="dxa" w:w="13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$50K–$125K</w:t>
            </w:r>
          </w:p>
        </w:tc>
        <w:tc>
          <w:tcPr>
            <w:tcW w:type="dxa" w:w="1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Small City Pilot ($65K)</w:t>
            </w:r>
          </w:p>
        </w:tc>
        <w:tc>
          <w:tcPr>
            <w:tcW w:type="dxa" w:w="2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Law enforcement agency applicant</w:t>
            </w:r>
          </w:p>
        </w:tc>
        <w:tc>
          <w:tcPr>
            <w:tcW w:type="dxa" w:w="1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Spring annually</w:t>
            </w:r>
          </w:p>
        </w:tc>
      </w:tr>
      <w:tr>
        <w:tc>
          <w:tcPr>
            <w:tcW w:type="dxa" w:w="23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Congressionally Directed Spending (CDS)</w:t>
            </w:r>
          </w:p>
        </w:tc>
        <w:tc>
          <w:tcPr>
            <w:tcW w:type="dxa" w:w="13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$100K–$500K</w:t>
            </w:r>
          </w:p>
        </w:tc>
        <w:tc>
          <w:tcPr>
            <w:tcW w:type="dxa" w:w="16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Professional or Command pilot</w:t>
            </w:r>
          </w:p>
        </w:tc>
        <w:tc>
          <w:tcPr>
            <w:tcW w:type="dxa" w:w="2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Congressional member sponsor</w:t>
            </w:r>
          </w:p>
        </w:tc>
        <w:tc>
          <w:tcPr>
            <w:tcW w:type="dxa" w:w="1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Annual appropriations</w:t>
            </w:r>
          </w:p>
        </w:tc>
      </w:tr>
      <w:tr>
        <w:tc>
          <w:tcPr>
            <w:tcW w:type="dxa" w:w="23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State Criminal Justice grants</w:t>
            </w:r>
          </w:p>
        </w:tc>
        <w:tc>
          <w:tcPr>
            <w:tcW w:type="dxa" w:w="13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$50K–$250K</w:t>
            </w:r>
          </w:p>
        </w:tc>
        <w:tc>
          <w:tcPr>
            <w:tcW w:type="dxa" w:w="1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Professional pilot ($170K)</w:t>
            </w:r>
          </w:p>
        </w:tc>
        <w:tc>
          <w:tcPr>
            <w:tcW w:type="dxa" w:w="2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State agency or PSAP</w:t>
            </w:r>
          </w:p>
        </w:tc>
        <w:tc>
          <w:tcPr>
            <w:tcW w:type="dxa" w:w="1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Varies by state</w:t>
            </w:r>
          </w:p>
        </w:tc>
      </w:tr>
      <w:tr>
        <w:tc>
          <w:tcPr>
            <w:tcW w:type="dxa" w:w="23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PSAP Technology grants (state 911 funds)</w:t>
            </w:r>
          </w:p>
        </w:tc>
        <w:tc>
          <w:tcPr>
            <w:tcW w:type="dxa" w:w="13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$100K–$500K</w:t>
            </w:r>
          </w:p>
        </w:tc>
        <w:tc>
          <w:tcPr>
            <w:tcW w:type="dxa" w:w="16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Command pilot ($390K)</w:t>
            </w:r>
          </w:p>
        </w:tc>
        <w:tc>
          <w:tcPr>
            <w:tcW w:type="dxa" w:w="2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PSAP applicant; 911 surcharge funded</w:t>
            </w:r>
          </w:p>
        </w:tc>
        <w:tc>
          <w:tcPr>
            <w:tcW w:type="dxa" w:w="1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Varies by state</w:t>
            </w:r>
          </w:p>
        </w:tc>
      </w:tr>
      <w:tr>
        <w:tc>
          <w:tcPr>
            <w:tcW w:type="dxa" w:w="23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BJA Public Safety Tech grants</w:t>
            </w:r>
          </w:p>
        </w:tc>
        <w:tc>
          <w:tcPr>
            <w:tcW w:type="dxa" w:w="13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$150K–$500K</w:t>
            </w:r>
          </w:p>
        </w:tc>
        <w:tc>
          <w:tcPr>
            <w:tcW w:type="dxa" w:w="1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Command pilot</w:t>
            </w:r>
          </w:p>
        </w:tc>
        <w:tc>
          <w:tcPr>
            <w:tcW w:type="dxa" w:w="24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Criminal justice agency</w:t>
            </w:r>
          </w:p>
        </w:tc>
        <w:tc>
          <w:tcPr>
            <w:tcW w:type="dxa" w:w="12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Rolling / annual</w:t>
            </w:r>
          </w:p>
        </w:tc>
      </w:tr>
      <w:tr>
        <w:tc>
          <w:tcPr>
            <w:tcW w:type="dxa" w:w="23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FEMA BRIC &amp; Hazard Mitigation</w:t>
            </w:r>
          </w:p>
        </w:tc>
        <w:tc>
          <w:tcPr>
            <w:tcW w:type="dxa" w:w="13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$250K–$1M+</w:t>
            </w:r>
          </w:p>
        </w:tc>
        <w:tc>
          <w:tcPr>
            <w:tcW w:type="dxa" w:w="16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Enterprise multi-agency</w:t>
            </w:r>
          </w:p>
        </w:tc>
        <w:tc>
          <w:tcPr>
            <w:tcW w:type="dxa" w:w="24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Emergency management agencies</w:t>
            </w:r>
          </w:p>
        </w:tc>
        <w:tc>
          <w:tcPr>
            <w:tcW w:type="dxa" w:w="12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8"/>
                <w:szCs w:val="18"/>
              </w:rPr>
              <w:t xml:space="preserve">Annual cycle</w:t>
            </w:r>
          </w:p>
        </w:tc>
      </w:tr>
    </w:tbl>
    <w:p>
      <w:pPr>
        <w:spacing w:after="0" w:before="200"/>
      </w:pPr>
    </w:p>
    <w:p>
      <w:pPr>
        <w:shd w:fill="CCFBF1" w:color="CCFBF1" w:val="clear"/>
        <w:spacing w:after="0" w:before="160"/>
        <w:ind w:left="180" w:right="180"/>
      </w:pPr>
      <w:r>
        <w:rPr>
          <w:rFonts w:ascii="Calibri" w:cs="Calibri" w:eastAsia="Calibri" w:hAnsi="Calibri"/>
          <w:b/>
          <w:bCs/>
          <w:color w:val="134E4A"/>
          <w:sz w:val="19"/>
          <w:szCs w:val="19"/>
        </w:rPr>
        <w:t xml:space="preserve">Grant language toolkit — build in Month 1:</w:t>
      </w:r>
    </w:p>
    <w:p>
      <w:pPr>
        <w:shd w:fill="CCFBF1" w:color="CCFBF1" w:val="clear"/>
        <w:spacing w:after="200" w:before="0"/>
        <w:ind w:left="180" w:right="180"/>
      </w:pPr>
      <w:r>
        <w:rPr>
          <w:rFonts w:ascii="Calibri" w:cs="Calibri" w:eastAsia="Calibri" w:hAnsi="Calibri"/>
          <w:b w:val="false"/>
          <w:bCs w:val="false"/>
          <w:color w:val="0F172A"/>
          <w:sz w:val="18"/>
          <w:szCs w:val="18"/>
        </w:rPr>
        <w:t xml:space="preserve"/>
      </w:r>
    </w:p>
    <w:p>
      <w:pPr>
        <w:pStyle w:val="ListParagraph"/>
        <w:numPr>
          <w:ilvl w:val="0"/>
          <w:numId w:val="1"/>
        </w:numPr>
        <w:spacing w:after="80" w:before="40"/>
      </w:pPr>
      <w:r>
        <w:rPr>
          <w:rFonts w:ascii="Calibri" w:cs="Calibri" w:eastAsia="Calibri" w:hAnsi="Calibri"/>
          <w:b w:val="false"/>
          <w:bCs w:val="false"/>
          <w:color w:val="0F172A"/>
          <w:sz w:val="20"/>
          <w:szCs w:val="20"/>
        </w:rPr>
        <w:t xml:space="preserve">Pre-written grant narrative paragraphs for each RC pilot tier, ready to paste into agency grant applications</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ROI data template: "15–20% response time improvement, $X in dispatcher time savings per month"</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Procurement language: CJIS alignment statement, security documentation summary, SLA commitments</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Sole-source justification template for agencies that need to bypass competitive bid</w:t>
      </w:r>
    </w:p>
    <w:p>
      <w:pPr>
        <w:pStyle w:val="ListParagraph"/>
        <w:numPr>
          <w:ilvl w:val="0"/>
          <w:numId w:val="1"/>
        </w:numPr>
        <w:spacing w:after="80" w:before="40"/>
      </w:pPr>
      <w:r>
        <w:rPr>
          <w:rFonts w:ascii="Calibri" w:cs="Calibri" w:eastAsia="Calibri" w:hAnsi="Calibri"/>
          <w:b w:val="false"/>
          <w:bCs w:val="false"/>
          <w:color w:val="0F172A"/>
          <w:sz w:val="20"/>
          <w:szCs w:val="20"/>
        </w:rPr>
        <w:t xml:space="preserve">Publish all templates publicly at rapidcortex.us/grants — make RC the easiest vendor to fund</w:t>
      </w:r>
    </w:p>
    <w:p>
      <w:r>
        <w:br w:type="page"/>
      </w:r>
    </w:p>
    <w:p>
      <w:pPr>
        <w:pStyle w:val="Heading1"/>
        <w:spacing w:after="120" w:before="360"/>
      </w:pPr>
      <w:r>
        <w:rPr>
          <w:rFonts w:ascii="Calibri" w:cs="Calibri" w:eastAsia="Calibri" w:hAnsi="Calibri"/>
          <w:b/>
          <w:bCs/>
          <w:color w:val="0A1628"/>
          <w:sz w:val="32"/>
          <w:szCs w:val="32"/>
        </w:rPr>
        <w:t xml:space="preserve">11. Partnership Strategy</w:t>
      </w:r>
    </w:p>
    <w:p>
      <w:pPr>
        <w:pBdr>
          <w:bottom w:val="single" w:color="1A3050"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80"/>
        <w:gridCol w:w="2800"/>
        <w:gridCol w:w="2160"/>
        <w:gridCol w:w="1440"/>
      </w:tblGrid>
      <w:tr>
        <w:tc>
          <w:tcPr>
            <w:tcW w:type="dxa" w:w="16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Partner</w:t>
            </w:r>
          </w:p>
        </w:tc>
        <w:tc>
          <w:tcPr>
            <w:tcW w:type="dxa" w:w="128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Type</w:t>
            </w:r>
          </w:p>
        </w:tc>
        <w:tc>
          <w:tcPr>
            <w:tcW w:type="dxa" w:w="280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Rationale</w:t>
            </w:r>
          </w:p>
        </w:tc>
        <w:tc>
          <w:tcPr>
            <w:tcW w:type="dxa" w:w="21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RC Value to Partner</w:t>
            </w:r>
          </w:p>
        </w:tc>
        <w:tc>
          <w:tcPr>
            <w:tcW w:type="dxa" w:w="144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Timeline</w:t>
            </w:r>
          </w:p>
        </w:tc>
      </w:tr>
      <w:tr>
        <w:tc>
          <w:tcPr>
            <w:tcW w:type="dxa" w:w="1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Tyler Technologies</w:t>
            </w:r>
          </w:p>
        </w:tc>
        <w:tc>
          <w:tcPr>
            <w:tcW w:type="dxa" w:w="12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E3A8A"/>
                <w:sz w:val="18"/>
                <w:szCs w:val="18"/>
              </w:rPr>
              <w:t xml:space="preserve">CAD / Tech</w:t>
            </w:r>
          </w:p>
        </w:tc>
        <w:tc>
          <w:tcPr>
            <w:tcW w:type="dxa" w:w="28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Tyler has a large CAD/RMS installed agency base with no native AI intelligence layer. Their agencies need RC. Tyler has no incentive to block a complementary integration.</w:t>
            </w:r>
          </w:p>
        </w:tc>
        <w:tc>
          <w:tcPr>
            <w:tcW w:type="dxa" w:w="21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RC adds AI value to Tyler CAD agencies without Tyler having to build it</w:t>
            </w:r>
          </w:p>
        </w:tc>
        <w:tc>
          <w:tcPr>
            <w:tcW w:type="dxa" w:w="14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Conversation by M4; MOU by M9</w:t>
            </w:r>
          </w:p>
        </w:tc>
      </w:tr>
      <w:tr>
        <w:tc>
          <w:tcPr>
            <w:tcW w:type="dxa" w:w="16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Hexagon Safety</w:t>
            </w:r>
          </w:p>
        </w:tc>
        <w:tc>
          <w:tcPr>
            <w:tcW w:type="dxa" w:w="12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E3A8A"/>
                <w:sz w:val="18"/>
                <w:szCs w:val="18"/>
              </w:rPr>
              <w:t xml:space="preserve">CAD / Tech</w:t>
            </w:r>
          </w:p>
        </w:tc>
        <w:tc>
          <w:tcPr>
            <w:tcW w:type="dxa" w:w="28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Hexagon has no credible AI augmentation product. RC as a certified Hexagon complement serves their agencies without competing on CAD functionality.</w:t>
            </w:r>
          </w:p>
        </w:tc>
        <w:tc>
          <w:tcPr>
            <w:tcW w:type="dxa" w:w="21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Expands Hexagon agency value proposition</w:t>
            </w:r>
          </w:p>
        </w:tc>
        <w:tc>
          <w:tcPr>
            <w:tcW w:type="dxa" w:w="14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Outreach by M3; MOU by M9</w:t>
            </w:r>
          </w:p>
        </w:tc>
      </w:tr>
      <w:tr>
        <w:tc>
          <w:tcPr>
            <w:tcW w:type="dxa" w:w="1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RapidSOS</w:t>
            </w:r>
          </w:p>
        </w:tc>
        <w:tc>
          <w:tcPr>
            <w:tcW w:type="dxa" w:w="12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134E4A"/>
                <w:sz w:val="16"/>
                <w:szCs w:val="16"/>
              </w:rPr>
              <w:t xml:space="preserve">Data / complementary</w:t>
            </w:r>
          </w:p>
        </w:tc>
        <w:tc>
          <w:tcPr>
            <w:tcW w:type="dxa" w:w="28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RapidSOS provides caller data network; RC provides operational intelligence. A data-sharing integration could be a joint win without competing on platform.</w:t>
            </w:r>
          </w:p>
        </w:tc>
        <w:tc>
          <w:tcPr>
            <w:tcW w:type="dxa" w:w="21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Enriches RC incident intelligence with RapidSOS caller data</w:t>
            </w:r>
          </w:p>
        </w:tc>
        <w:tc>
          <w:tcPr>
            <w:tcW w:type="dxa" w:w="14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Exploratory conversation by M6</w:t>
            </w:r>
          </w:p>
        </w:tc>
      </w:tr>
      <w:tr>
        <w:tc>
          <w:tcPr>
            <w:tcW w:type="dxa" w:w="16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APCO International</w:t>
            </w:r>
          </w:p>
        </w:tc>
        <w:tc>
          <w:tcPr>
            <w:tcW w:type="dxa" w:w="128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78350F"/>
                <w:sz w:val="18"/>
                <w:szCs w:val="18"/>
              </w:rPr>
              <w:t xml:space="preserve">Association</w:t>
            </w:r>
          </w:p>
        </w:tc>
        <w:tc>
          <w:tcPr>
            <w:tcW w:type="dxa" w:w="280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APCO Innovation Partner designation is the trust signal that opens doors in public safety procurement. GovWorx's APCO partnership (Jul 2026) validates this path.</w:t>
            </w:r>
          </w:p>
        </w:tc>
        <w:tc>
          <w:tcPr>
            <w:tcW w:type="dxa" w:w="21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APCO gets a modern AI member partner to promote to agencies</w:t>
            </w:r>
          </w:p>
        </w:tc>
        <w:tc>
          <w:tcPr>
            <w:tcW w:type="dxa" w:w="14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Application by M6; designation by M12</w:t>
            </w:r>
          </w:p>
        </w:tc>
      </w:tr>
      <w:tr>
        <w:tc>
          <w:tcPr>
            <w:tcW w:type="dxa" w:w="16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State 911 offices</w:t>
            </w:r>
          </w:p>
        </w:tc>
        <w:tc>
          <w:tcPr>
            <w:tcW w:type="dxa" w:w="128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65F46"/>
                <w:sz w:val="18"/>
                <w:szCs w:val="18"/>
              </w:rPr>
              <w:t xml:space="preserve">Government</w:t>
            </w:r>
          </w:p>
        </w:tc>
        <w:tc>
          <w:tcPr>
            <w:tcW w:type="dxa" w:w="280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State 911 administrators influence agency technology procurement in their states. A state-level relationship can unlock multiple county and city agencies simultaneously.</w:t>
            </w:r>
          </w:p>
        </w:tc>
        <w:tc>
          <w:tcPr>
            <w:tcW w:type="dxa" w:w="21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State office can present RC to all county PSAPs simultaneously</w:t>
            </w:r>
          </w:p>
        </w:tc>
        <w:tc>
          <w:tcPr>
            <w:tcW w:type="dxa" w:w="14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Identify 3–5 target states by M3</w:t>
            </w:r>
          </w:p>
        </w:tc>
      </w:tr>
    </w:tbl>
    <w:p>
      <w:r>
        <w:br w:type="page"/>
      </w:r>
    </w:p>
    <w:p>
      <w:pPr>
        <w:pStyle w:val="Heading1"/>
        <w:spacing w:after="120" w:before="360"/>
      </w:pPr>
      <w:r>
        <w:rPr>
          <w:rFonts w:ascii="Calibri" w:cs="Calibri" w:eastAsia="Calibri" w:hAnsi="Calibri"/>
          <w:b/>
          <w:bCs/>
          <w:color w:val="0A1628"/>
          <w:sz w:val="32"/>
          <w:szCs w:val="32"/>
        </w:rPr>
        <w:t xml:space="preserve">12. Team &amp; Hiring Plan</w:t>
      </w:r>
    </w:p>
    <w:p>
      <w:pPr>
        <w:pBdr>
          <w:bottom w:val="single" w:color="1A3050"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440"/>
        <w:gridCol w:w="1040"/>
        <w:gridCol w:w="4240"/>
      </w:tblGrid>
      <w:tr>
        <w:tc>
          <w:tcPr>
            <w:tcW w:type="dxa" w:w="264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Role</w:t>
            </w:r>
          </w:p>
        </w:tc>
        <w:tc>
          <w:tcPr>
            <w:tcW w:type="dxa" w:w="144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When</w:t>
            </w:r>
          </w:p>
        </w:tc>
        <w:tc>
          <w:tcPr>
            <w:tcW w:type="dxa" w:w="104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Priority</w:t>
            </w:r>
          </w:p>
        </w:tc>
        <w:tc>
          <w:tcPr>
            <w:tcW w:type="dxa" w:w="424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Function</w:t>
            </w:r>
          </w:p>
        </w:tc>
      </w:tr>
      <w:tr>
        <w:tc>
          <w:tcPr>
            <w:tcW w:type="dxa" w:w="26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CRO — Teri Andrews</w:t>
            </w:r>
          </w:p>
        </w:tc>
        <w:tc>
          <w:tcPr>
            <w:tcW w:type="dxa" w:w="14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Month 1 (Aug 2026)</w:t>
            </w:r>
          </w:p>
        </w:tc>
        <w:tc>
          <w:tcPr>
            <w:tcW w:type="dxa" w:w="10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Day 1</w:t>
            </w:r>
          </w:p>
        </w:tc>
        <w:tc>
          <w:tcPr>
            <w:tcW w:type="dxa" w:w="42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Revenue strategy, sales pipeline, partner development, conference representation</w:t>
            </w:r>
          </w:p>
        </w:tc>
      </w:tr>
      <w:tr>
        <w:tc>
          <w:tcPr>
            <w:tcW w:type="dxa" w:w="26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Marketing Director — Angelo Maltese</w:t>
            </w:r>
          </w:p>
        </w:tc>
        <w:tc>
          <w:tcPr>
            <w:tcW w:type="dxa" w:w="14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Month 1 (Aug 2026)</w:t>
            </w:r>
          </w:p>
        </w:tc>
        <w:tc>
          <w:tcPr>
            <w:tcW w:type="dxa" w:w="10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Day 1</w:t>
            </w:r>
          </w:p>
        </w:tc>
        <w:tc>
          <w:tcPr>
            <w:tcW w:type="dxa" w:w="42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Brand, content, grant toolkit, conference marketing, analytics infrastructure</w:t>
            </w:r>
          </w:p>
        </w:tc>
      </w:tr>
      <w:tr>
        <w:tc>
          <w:tcPr>
            <w:tcW w:type="dxa" w:w="26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Sales Development Rep (SDR)</w:t>
            </w:r>
          </w:p>
        </w:tc>
        <w:tc>
          <w:tcPr>
            <w:tcW w:type="dxa" w:w="14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Month 2–3</w:t>
            </w:r>
          </w:p>
        </w:tc>
        <w:tc>
          <w:tcPr>
            <w:tcW w:type="dxa" w:w="10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Phase 1</w:t>
            </w:r>
          </w:p>
        </w:tc>
        <w:tc>
          <w:tcPr>
            <w:tcW w:type="dxa" w:w="42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Outbound prospecting, ICP list build, demo scheduling, APCO pipeline follow-up</w:t>
            </w:r>
          </w:p>
        </w:tc>
      </w:tr>
      <w:tr>
        <w:tc>
          <w:tcPr>
            <w:tcW w:type="dxa" w:w="26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Customer Success Manager</w:t>
            </w:r>
          </w:p>
        </w:tc>
        <w:tc>
          <w:tcPr>
            <w:tcW w:type="dxa" w:w="14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Month 3–4</w:t>
            </w:r>
          </w:p>
        </w:tc>
        <w:tc>
          <w:tcPr>
            <w:tcW w:type="dxa" w:w="10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Phase 1–2</w:t>
            </w:r>
          </w:p>
        </w:tc>
        <w:tc>
          <w:tcPr>
            <w:tcW w:type="dxa" w:w="42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Pilot onboarding, QA, case study capture, renewal management</w:t>
            </w:r>
          </w:p>
        </w:tc>
      </w:tr>
      <w:tr>
        <w:tc>
          <w:tcPr>
            <w:tcW w:type="dxa" w:w="26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Solutions Engineer</w:t>
            </w:r>
          </w:p>
        </w:tc>
        <w:tc>
          <w:tcPr>
            <w:tcW w:type="dxa" w:w="14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Month 4–5</w:t>
            </w:r>
          </w:p>
        </w:tc>
        <w:tc>
          <w:tcPr>
            <w:tcW w:type="dxa" w:w="10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Phase 2</w:t>
            </w:r>
          </w:p>
        </w:tc>
        <w:tc>
          <w:tcPr>
            <w:tcW w:type="dxa" w:w="42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Technical demos, CAD discovery workshops, integration scoping, security reviews</w:t>
            </w:r>
          </w:p>
        </w:tc>
      </w:tr>
      <w:tr>
        <w:tc>
          <w:tcPr>
            <w:tcW w:type="dxa" w:w="26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Enterprise Account Executive</w:t>
            </w:r>
          </w:p>
        </w:tc>
        <w:tc>
          <w:tcPr>
            <w:tcW w:type="dxa" w:w="14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Month 9–10</w:t>
            </w:r>
          </w:p>
        </w:tc>
        <w:tc>
          <w:tcPr>
            <w:tcW w:type="dxa" w:w="10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Phase 3–4</w:t>
            </w:r>
          </w:p>
        </w:tc>
        <w:tc>
          <w:tcPr>
            <w:tcW w:type="dxa" w:w="424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County/regional/statewide enterprise deals. Command tier and above.</w:t>
            </w:r>
          </w:p>
        </w:tc>
      </w:tr>
      <w:tr>
        <w:tc>
          <w:tcPr>
            <w:tcW w:type="dxa" w:w="26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Implementation Specialist</w:t>
            </w:r>
          </w:p>
        </w:tc>
        <w:tc>
          <w:tcPr>
            <w:tcW w:type="dxa" w:w="14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Month 6–8</w:t>
            </w:r>
          </w:p>
        </w:tc>
        <w:tc>
          <w:tcPr>
            <w:tcW w:type="dxa" w:w="10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Phase 2–3</w:t>
            </w:r>
          </w:p>
        </w:tc>
        <w:tc>
          <w:tcPr>
            <w:tcW w:type="dxa" w:w="424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334155"/>
                <w:sz w:val="17"/>
                <w:szCs w:val="17"/>
              </w:rPr>
              <w:t xml:space="preserve">Agency onboarding, deployment, training delivery as volume scales past 8 agencies</w:t>
            </w:r>
          </w:p>
        </w:tc>
      </w:tr>
    </w:tbl>
    <w:p>
      <w:pPr>
        <w:spacing w:after="0" w:before="200"/>
      </w:pPr>
    </w:p>
    <w:p>
      <w:pPr>
        <w:shd w:fill="FEF3C7" w:color="FEF3C7" w:val="clear"/>
        <w:spacing w:after="0" w:before="160"/>
        <w:ind w:left="180" w:right="180"/>
      </w:pPr>
      <w:r>
        <w:rPr>
          <w:rFonts w:ascii="Calibri" w:cs="Calibri" w:eastAsia="Calibri" w:hAnsi="Calibri"/>
          <w:b/>
          <w:bCs/>
          <w:color w:val="78350F"/>
          <w:sz w:val="19"/>
          <w:szCs w:val="19"/>
        </w:rPr>
        <w:t xml:space="preserve">Hiring risk:</w:t>
      </w:r>
    </w:p>
    <w:p>
      <w:pPr>
        <w:shd w:fill="FEF3C7" w:color="FEF3C7" w:val="clear"/>
        <w:spacing w:after="200" w:before="0"/>
        <w:ind w:left="180" w:right="180"/>
      </w:pPr>
      <w:r>
        <w:rPr>
          <w:rFonts w:ascii="Calibri" w:cs="Calibri" w:eastAsia="Calibri" w:hAnsi="Calibri"/>
          <w:b w:val="false"/>
          <w:bCs w:val="false"/>
          <w:color w:val="0F172A"/>
          <w:sz w:val="18"/>
          <w:szCs w:val="18"/>
        </w:rPr>
        <w:t xml:space="preserve">The CRO and Marketing Director are equity-compensated and in activation now. First cash hires (SDR, CSM, Solutions Engineer) should be contingent on pilot revenue — these should be fundable from $300–400K ARR. Delay hiring any role if pilot pipeline has not produced contracted revenue by the expected milestone dates above.</w:t>
      </w:r>
    </w:p>
    <w:p>
      <w:r>
        <w:br w:type="page"/>
      </w:r>
    </w:p>
    <w:p>
      <w:pPr>
        <w:pStyle w:val="Heading1"/>
        <w:spacing w:after="120" w:before="360"/>
      </w:pPr>
      <w:r>
        <w:rPr>
          <w:rFonts w:ascii="Calibri" w:cs="Calibri" w:eastAsia="Calibri" w:hAnsi="Calibri"/>
          <w:b/>
          <w:bCs/>
          <w:color w:val="0A1628"/>
          <w:sz w:val="32"/>
          <w:szCs w:val="32"/>
        </w:rPr>
        <w:t xml:space="preserve">13. KPI Dashboard</w:t>
      </w:r>
    </w:p>
    <w:p>
      <w:pPr>
        <w:pBdr>
          <w:bottom w:val="single" w:color="1A3050"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KPI</w:t>
            </w:r>
          </w:p>
        </w:tc>
        <w:tc>
          <w:tcPr>
            <w:tcW w:type="dxa" w:w="15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M3 Target</w:t>
            </w:r>
          </w:p>
        </w:tc>
        <w:tc>
          <w:tcPr>
            <w:tcW w:type="dxa" w:w="15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M6 Target</w:t>
            </w:r>
          </w:p>
        </w:tc>
        <w:tc>
          <w:tcPr>
            <w:tcW w:type="dxa" w:w="15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M9 Target</w:t>
            </w:r>
          </w:p>
        </w:tc>
        <w:tc>
          <w:tcPr>
            <w:tcW w:type="dxa" w:w="1560"/>
            <w:gridSpan w:val="1"/>
            <w:tcBorders>
              <w:top w:val="single" w:color="4A6A90" w:sz="6"/>
              <w:left w:val="single" w:color="4A6A90" w:sz="6"/>
              <w:bottom w:val="single" w:color="4A6A90" w:sz="6"/>
              <w:right w:val="single" w:color="4A6A90" w:sz="6"/>
            </w:tcBorders>
            <w:shd w:fill="1A3050" w:color="1A3050" w:val="clear"/>
            <w:tcMar>
              <w:top w:type="dxa" w:w="90"/>
              <w:left w:type="dxa" w:w="120"/>
              <w:bottom w:type="dxa" w:w="90"/>
              <w:right w:type="dxa" w:w="120"/>
            </w:tcMar>
            <w:vAlign w:val="center"/>
          </w:tcPr>
          <w:p>
            <w:pPr>
              <w:spacing w:after="0" w:before="0"/>
            </w:pPr>
            <w:r>
              <w:rPr>
                <w:rFonts w:ascii="Calibri" w:cs="Calibri" w:eastAsia="Calibri" w:hAnsi="Calibri"/>
                <w:b/>
                <w:bCs/>
                <w:color w:val="FFFFFF"/>
                <w:sz w:val="18"/>
                <w:szCs w:val="18"/>
              </w:rPr>
              <w:t xml:space="preserve">M12 Target</w:t>
            </w:r>
          </w:p>
        </w:tc>
      </w:tr>
      <w:tr>
        <w:tc>
          <w:tcPr>
            <w:tcW w:type="dxa" w:w="3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Active agency contracts</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3–5</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8–10</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12–15</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15–20</w:t>
            </w:r>
          </w:p>
        </w:tc>
      </w:tr>
      <w:tr>
        <w:tc>
          <w:tcPr>
            <w:tcW w:type="dxa" w:w="3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ARR</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$150–200K</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$500–700K</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$900K–$1.1M</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$1.2–1.5M</w:t>
            </w:r>
          </w:p>
        </w:tc>
      </w:tr>
      <w:tr>
        <w:tc>
          <w:tcPr>
            <w:tcW w:type="dxa" w:w="3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Pilot conversion rate</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64748B"/>
                <w:sz w:val="18"/>
                <w:szCs w:val="18"/>
              </w:rPr>
              <w:t xml:space="preserve">–</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≥50%</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≥60%</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≥65%</w:t>
            </w:r>
          </w:p>
        </w:tc>
      </w:tr>
      <w:tr>
        <w:tc>
          <w:tcPr>
            <w:tcW w:type="dxa" w:w="3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Pipeline (qualified opportunities)</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15+</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30+</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50+</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75+</w:t>
            </w:r>
          </w:p>
        </w:tc>
      </w:tr>
      <w:tr>
        <w:tc>
          <w:tcPr>
            <w:tcW w:type="dxa" w:w="3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Demo-to-pilot conversion</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≥25%</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≥30%</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≥30%</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≥35%</w:t>
            </w:r>
          </w:p>
        </w:tc>
      </w:tr>
      <w:tr>
        <w:tc>
          <w:tcPr>
            <w:tcW w:type="dxa" w:w="3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Avg pilot to contract time</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&lt;45 days</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&lt;45 days</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&lt;40 days</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&lt;35 days</w:t>
            </w:r>
          </w:p>
        </w:tc>
      </w:tr>
      <w:tr>
        <w:tc>
          <w:tcPr>
            <w:tcW w:type="dxa" w:w="3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Reference customers (public)</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0–1</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2–3</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4–5</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5–8</w:t>
            </w:r>
          </w:p>
        </w:tc>
      </w:tr>
      <w:tr>
        <w:tc>
          <w:tcPr>
            <w:tcW w:type="dxa" w:w="3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Net Revenue Retention (NRR)</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64748B"/>
                <w:sz w:val="18"/>
                <w:szCs w:val="18"/>
              </w:rPr>
              <w:t xml:space="preserve">–</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&gt;90%</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&gt;100%</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65F46"/>
                <w:sz w:val="18"/>
                <w:szCs w:val="18"/>
              </w:rPr>
              <w:t xml:space="preserve">&gt;110%</w:t>
            </w:r>
          </w:p>
        </w:tc>
      </w:tr>
      <w:tr>
        <w:tc>
          <w:tcPr>
            <w:tcW w:type="dxa" w:w="3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Conferences / events attended</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2</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4</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6</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8+</w:t>
            </w:r>
          </w:p>
        </w:tc>
      </w:tr>
      <w:tr>
        <w:tc>
          <w:tcPr>
            <w:tcW w:type="dxa" w:w="3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Partner conversations active</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2</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3</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3–4</w:t>
            </w:r>
          </w:p>
        </w:tc>
      </w:tr>
      <w:tr>
        <w:tc>
          <w:tcPr>
            <w:tcW w:type="dxa" w:w="312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Case studies published</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0</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2</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4</w:t>
            </w:r>
          </w:p>
        </w:tc>
        <w:tc>
          <w:tcPr>
            <w:tcW w:type="dxa" w:w="1560"/>
            <w:tcBorders>
              <w:top w:val="single" w:color="C8D4E8" w:sz="4"/>
              <w:left w:val="single" w:color="C8D4E8" w:sz="4"/>
              <w:bottom w:val="single" w:color="C8D4E8" w:sz="4"/>
              <w:right w:val="single" w:color="C8D4E8" w:sz="4"/>
            </w:tcBorders>
            <w:shd w:fill="FFFFFF" w:color="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6+</w:t>
            </w:r>
          </w:p>
        </w:tc>
      </w:tr>
      <w:tr>
        <w:tc>
          <w:tcPr>
            <w:tcW w:type="dxa" w:w="312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bCs/>
                <w:color w:val="0F172A"/>
                <w:sz w:val="18"/>
                <w:szCs w:val="18"/>
              </w:rPr>
              <w:t xml:space="preserve">Grant-funded pilots</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1</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3</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5</w:t>
            </w:r>
          </w:p>
        </w:tc>
        <w:tc>
          <w:tcPr>
            <w:tcW w:type="dxa" w:w="1560"/>
            <w:tcBorders>
              <w:top w:val="single" w:color="C8D4E8" w:sz="4"/>
              <w:left w:val="single" w:color="C8D4E8" w:sz="4"/>
              <w:bottom w:val="single" w:color="C8D4E8" w:sz="4"/>
              <w:right w:val="single" w:color="C8D4E8" w:sz="4"/>
            </w:tcBorders>
            <w:shd w:fill="EEF3FB" w:color="EEF3FB"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color w:val="0F172A"/>
                <w:sz w:val="18"/>
                <w:szCs w:val="18"/>
              </w:rPr>
              <w:t xml:space="preserve">7+</w:t>
            </w:r>
          </w:p>
        </w:tc>
      </w:tr>
    </w:tbl>
    <w:p>
      <w:r>
        <w:br w:type="page"/>
      </w:r>
    </w:p>
    <w:p>
      <w:pPr>
        <w:pStyle w:val="Heading1"/>
        <w:spacing w:after="120" w:before="360"/>
      </w:pPr>
      <w:r>
        <w:rPr>
          <w:rFonts w:ascii="Calibri" w:cs="Calibri" w:eastAsia="Calibri" w:hAnsi="Calibri"/>
          <w:b/>
          <w:bCs/>
          <w:color w:val="0A1628"/>
          <w:sz w:val="32"/>
          <w:szCs w:val="32"/>
        </w:rPr>
        <w:t xml:space="preserve">14. Risk Register</w:t>
      </w:r>
    </w:p>
    <w:p>
      <w:pPr>
        <w:pBdr>
          <w:bottom w:val="single" w:color="1A3050"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8D4E8" w:sz="4"/>
              <w:left w:val="single" w:color="C8D4E8" w:sz="4"/>
              <w:bottom w:val="single" w:color="C8D4E8" w:sz="4"/>
              <w:right w:val="single" w:color="C8D4E8" w:sz="4"/>
            </w:tcBorders>
            <w:shd w:fill="FEE2E2" w:color="FEE2E2"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High</w:t>
            </w:r>
          </w:p>
        </w:tc>
        <w:tc>
          <w:tcPr>
            <w:tcW w:type="dxa" w:w="8240"/>
            <w:tcBorders>
              <w:top w:val="single" w:color="C8D4E8" w:sz="4"/>
              <w:left w:val="single" w:color="C8D4E8" w:sz="4"/>
              <w:bottom w:val="single" w:color="C8D4E8" w:sz="4"/>
              <w:right w:val="single" w:color="C8D4E8" w:sz="4"/>
            </w:tcBorders>
            <w:shd w:fill="FEE2E2" w:color="FEE2E2"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Procurement cycle delays (9–18 months)</w:t>
            </w:r>
          </w:p>
          <w:p>
            <w:pPr>
              <w:spacing w:after="0" w:before="0"/>
            </w:pPr>
            <w:r>
              <w:rPr>
                <w:rFonts w:ascii="Calibri" w:cs="Calibri" w:eastAsia="Calibri" w:hAnsi="Calibri"/>
                <w:b/>
                <w:bCs/>
                <w:color w:val="1A3050"/>
                <w:sz w:val="17"/>
                <w:szCs w:val="17"/>
              </w:rPr>
              <w:t xml:space="preserve">Mitigation: </w:t>
            </w:r>
            <w:r>
              <w:rPr>
                <w:rFonts w:ascii="Calibri" w:cs="Calibri" w:eastAsia="Calibri" w:hAnsi="Calibri"/>
                <w:b w:val="false"/>
                <w:bCs w:val="false"/>
                <w:color w:val="334155"/>
                <w:sz w:val="17"/>
                <w:szCs w:val="17"/>
              </w:rPr>
              <w:t xml:space="preserve">Lead with paid pilots — bypasses full procurement. Grant-funded language accelerates. Work with agency legal to position as pilot SOW rather than multi-year contract. Set realistic pipeline weighted values (30% probability until pilot signed).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8D4E8" w:sz="4"/>
              <w:left w:val="single" w:color="C8D4E8" w:sz="4"/>
              <w:bottom w:val="single" w:color="C8D4E8" w:sz="4"/>
              <w:right w:val="single" w:color="C8D4E8" w:sz="4"/>
            </w:tcBorders>
            <w:shd w:fill="FEE2E2" w:color="FEE2E2" w:val="clear"/>
            <w:tcMar>
              <w:top w:type="dxa" w:w="80"/>
              <w:left w:type="dxa" w:w="120"/>
              <w:bottom w:type="dxa" w:w="80"/>
              <w:right w:type="dxa" w:w="120"/>
            </w:tcMar>
            <w:vAlign w:val="center"/>
          </w:tcPr>
          <w:p>
            <w:pPr>
              <w:spacing w:after="0" w:before="0"/>
              <w:jc w:val="left"/>
            </w:pPr>
            <w:r>
              <w:rPr>
                <w:rFonts w:ascii="Calibri" w:cs="Calibri" w:eastAsia="Calibri" w:hAnsi="Calibri"/>
                <w:b/>
                <w:bCs/>
                <w:color w:val="BF1C2E"/>
                <w:sz w:val="18"/>
                <w:szCs w:val="18"/>
              </w:rPr>
              <w:t xml:space="preserve">High</w:t>
            </w:r>
          </w:p>
        </w:tc>
        <w:tc>
          <w:tcPr>
            <w:tcW w:type="dxa" w:w="8240"/>
            <w:tcBorders>
              <w:top w:val="single" w:color="C8D4E8" w:sz="4"/>
              <w:left w:val="single" w:color="C8D4E8" w:sz="4"/>
              <w:bottom w:val="single" w:color="C8D4E8" w:sz="4"/>
              <w:right w:val="single" w:color="C8D4E8" w:sz="4"/>
            </w:tcBorders>
            <w:shd w:fill="FEE2E2" w:color="FEE2E2"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Axon bundles AI into existing OSP contracts at zero marginal cost</w:t>
            </w:r>
          </w:p>
          <w:p>
            <w:pPr>
              <w:spacing w:after="0" w:before="0"/>
            </w:pPr>
            <w:r>
              <w:rPr>
                <w:rFonts w:ascii="Calibri" w:cs="Calibri" w:eastAsia="Calibri" w:hAnsi="Calibri"/>
                <w:b/>
                <w:bCs/>
                <w:color w:val="1A3050"/>
                <w:sz w:val="17"/>
                <w:szCs w:val="17"/>
              </w:rPr>
              <w:t xml:space="preserve">Mitigation: </w:t>
            </w:r>
            <w:r>
              <w:rPr>
                <w:rFonts w:ascii="Calibri" w:cs="Calibri" w:eastAsia="Calibri" w:hAnsi="Calibri"/>
                <w:b w:val="false"/>
                <w:bCs w:val="false"/>
                <w:color w:val="334155"/>
                <w:sz w:val="17"/>
                <w:szCs w:val="17"/>
              </w:rPr>
              <w:t xml:space="preserve">Target non-Axon agencies exclusively (Motorola, Tyler, Hexagon, CentralSquare users). Build "not Axon" messaging. For Axon-adjacent agencies, compete on operational depth (command rooms, war rooms, post-incident review) not just transcription. Axon 911 is a front-door feature; RC is the full operational platform.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8D4E8" w:sz="4"/>
              <w:left w:val="single" w:color="C8D4E8" w:sz="4"/>
              <w:bottom w:val="single" w:color="C8D4E8" w:sz="4"/>
              <w:right w:val="single" w:color="C8D4E8" w:sz="4"/>
            </w:tcBorders>
            <w:shd w:fill="FEF3C7" w:color="FEF3C7"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Medium</w:t>
            </w:r>
          </w:p>
        </w:tc>
        <w:tc>
          <w:tcPr>
            <w:tcW w:type="dxa" w:w="8240"/>
            <w:tcBorders>
              <w:top w:val="single" w:color="C8D4E8" w:sz="4"/>
              <w:left w:val="single" w:color="C8D4E8" w:sz="4"/>
              <w:bottom w:val="single" w:color="C8D4E8" w:sz="4"/>
              <w:right w:val="single" w:color="C8D4E8" w:sz="4"/>
            </w:tcBorders>
            <w:shd w:fill="FEF3C7" w:color="FEF3C7"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Sales team ramp time — CRO learning curve exceeds 90 days</w:t>
            </w:r>
          </w:p>
          <w:p>
            <w:pPr>
              <w:spacing w:after="0" w:before="0"/>
            </w:pPr>
            <w:r>
              <w:rPr>
                <w:rFonts w:ascii="Calibri" w:cs="Calibri" w:eastAsia="Calibri" w:hAnsi="Calibri"/>
                <w:b/>
                <w:bCs/>
                <w:color w:val="1A3050"/>
                <w:sz w:val="17"/>
                <w:szCs w:val="17"/>
              </w:rPr>
              <w:t xml:space="preserve">Mitigation: </w:t>
            </w:r>
            <w:r>
              <w:rPr>
                <w:rFonts w:ascii="Calibri" w:cs="Calibri" w:eastAsia="Calibri" w:hAnsi="Calibri"/>
                <w:b w:val="false"/>
                <w:bCs w:val="false"/>
                <w:color w:val="334155"/>
                <w:sz w:val="17"/>
                <w:szCs w:val="17"/>
              </w:rPr>
              <w:t xml:space="preserve">CEO takes lead on first 5 pilot deals alongside CRO. APCO appearance is a forcing function — deals must be in pipeline before APCO (August). Set 30-day trial deliverables for CRO before equity activates.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8D4E8" w:sz="4"/>
              <w:left w:val="single" w:color="C8D4E8" w:sz="4"/>
              <w:bottom w:val="single" w:color="C8D4E8" w:sz="4"/>
              <w:right w:val="single" w:color="C8D4E8" w:sz="4"/>
            </w:tcBorders>
            <w:shd w:fill="FEF3C7" w:color="FEF3C7"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Medium</w:t>
            </w:r>
          </w:p>
        </w:tc>
        <w:tc>
          <w:tcPr>
            <w:tcW w:type="dxa" w:w="8240"/>
            <w:tcBorders>
              <w:top w:val="single" w:color="C8D4E8" w:sz="4"/>
              <w:left w:val="single" w:color="C8D4E8" w:sz="4"/>
              <w:bottom w:val="single" w:color="C8D4E8" w:sz="4"/>
              <w:right w:val="single" w:color="C8D4E8" w:sz="4"/>
            </w:tcBorders>
            <w:shd w:fill="FEF3C7" w:color="FEF3C7"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CJIS compliance review adds 60–90 days to procurement</w:t>
            </w:r>
          </w:p>
          <w:p>
            <w:pPr>
              <w:spacing w:after="0" w:before="0"/>
            </w:pPr>
            <w:r>
              <w:rPr>
                <w:rFonts w:ascii="Calibri" w:cs="Calibri" w:eastAsia="Calibri" w:hAnsi="Calibri"/>
                <w:b/>
                <w:bCs/>
                <w:color w:val="1A3050"/>
                <w:sz w:val="17"/>
                <w:szCs w:val="17"/>
              </w:rPr>
              <w:t xml:space="preserve">Mitigation: </w:t>
            </w:r>
            <w:r>
              <w:rPr>
                <w:rFonts w:ascii="Calibri" w:cs="Calibri" w:eastAsia="Calibri" w:hAnsi="Calibri"/>
                <w:b w:val="false"/>
                <w:bCs w:val="false"/>
                <w:color w:val="334155"/>
                <w:sz w:val="17"/>
                <w:szCs w:val="17"/>
              </w:rPr>
              <w:t xml:space="preserve">Prepare CJIS documentation package now — security addendum, ISA template, audit log export, background check procedures. Proactively provide to agencies at demo stage, not after. Position as a differentiator: "We have the documentation ready. Most vendors don't."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8D4E8" w:sz="4"/>
              <w:left w:val="single" w:color="C8D4E8" w:sz="4"/>
              <w:bottom w:val="single" w:color="C8D4E8" w:sz="4"/>
              <w:right w:val="single" w:color="C8D4E8" w:sz="4"/>
            </w:tcBorders>
            <w:shd w:fill="FEF3C7" w:color="FEF3C7" w:val="clear"/>
            <w:tcMar>
              <w:top w:type="dxa" w:w="80"/>
              <w:left w:type="dxa" w:w="120"/>
              <w:bottom w:type="dxa" w:w="80"/>
              <w:right w:type="dxa" w:w="120"/>
            </w:tcMar>
            <w:vAlign w:val="center"/>
          </w:tcPr>
          <w:p>
            <w:pPr>
              <w:spacing w:after="0" w:before="0"/>
              <w:jc w:val="left"/>
            </w:pPr>
            <w:r>
              <w:rPr>
                <w:rFonts w:ascii="Calibri" w:cs="Calibri" w:eastAsia="Calibri" w:hAnsi="Calibri"/>
                <w:b/>
                <w:bCs/>
                <w:color w:val="78350F"/>
                <w:sz w:val="18"/>
                <w:szCs w:val="18"/>
              </w:rPr>
              <w:t xml:space="preserve">Medium</w:t>
            </w:r>
          </w:p>
        </w:tc>
        <w:tc>
          <w:tcPr>
            <w:tcW w:type="dxa" w:w="8240"/>
            <w:tcBorders>
              <w:top w:val="single" w:color="C8D4E8" w:sz="4"/>
              <w:left w:val="single" w:color="C8D4E8" w:sz="4"/>
              <w:bottom w:val="single" w:color="C8D4E8" w:sz="4"/>
              <w:right w:val="single" w:color="C8D4E8" w:sz="4"/>
            </w:tcBorders>
            <w:shd w:fill="FEF3C7" w:color="FEF3C7"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Pilot conversion rate below 50% — revenue model breaks</w:t>
            </w:r>
          </w:p>
          <w:p>
            <w:pPr>
              <w:spacing w:after="0" w:before="0"/>
            </w:pPr>
            <w:r>
              <w:rPr>
                <w:rFonts w:ascii="Calibri" w:cs="Calibri" w:eastAsia="Calibri" w:hAnsi="Calibri"/>
                <w:b/>
                <w:bCs/>
                <w:color w:val="1A3050"/>
                <w:sz w:val="17"/>
                <w:szCs w:val="17"/>
              </w:rPr>
              <w:t xml:space="preserve">Mitigation: </w:t>
            </w:r>
            <w:r>
              <w:rPr>
                <w:rFonts w:ascii="Calibri" w:cs="Calibri" w:eastAsia="Calibri" w:hAnsi="Calibri"/>
                <w:b w:val="false"/>
                <w:bCs w:val="false"/>
                <w:color w:val="334155"/>
                <w:sz w:val="17"/>
                <w:szCs w:val="17"/>
              </w:rPr>
              <w:t xml:space="preserve">Set clear pilot success criteria upfront (in Pilot Scope Agreement). Weekly pilot pulse checks by CSM. At 30 days, identify any at-risk pilots and escalate. Do not sign pilots unless agency has budget path to production identified at contract.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8D4E8" w:sz="4"/>
              <w:left w:val="single" w:color="C8D4E8" w:sz="4"/>
              <w:bottom w:val="single" w:color="C8D4E8" w:sz="4"/>
              <w:right w:val="single" w:color="C8D4E8" w:sz="4"/>
            </w:tcBorders>
            <w:shd w:fill="DBEAFE" w:color="DBEAFE"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Low-Med</w:t>
            </w:r>
          </w:p>
        </w:tc>
        <w:tc>
          <w:tcPr>
            <w:tcW w:type="dxa" w:w="8240"/>
            <w:tcBorders>
              <w:top w:val="single" w:color="C8D4E8" w:sz="4"/>
              <w:left w:val="single" w:color="C8D4E8" w:sz="4"/>
              <w:bottom w:val="single" w:color="C8D4E8" w:sz="4"/>
              <w:right w:val="single" w:color="C8D4E8" w:sz="4"/>
            </w:tcBorders>
            <w:shd w:fill="DBEAFE" w:color="DBEAFE"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RapidSOS UNITE launches aggressive pricing to defend market share</w:t>
            </w:r>
          </w:p>
          <w:p>
            <w:pPr>
              <w:spacing w:after="0" w:before="0"/>
            </w:pPr>
            <w:r>
              <w:rPr>
                <w:rFonts w:ascii="Calibri" w:cs="Calibri" w:eastAsia="Calibri" w:hAnsi="Calibri"/>
                <w:b/>
                <w:bCs/>
                <w:color w:val="1A3050"/>
                <w:sz w:val="17"/>
                <w:szCs w:val="17"/>
              </w:rPr>
              <w:t xml:space="preserve">Mitigation: </w:t>
            </w:r>
            <w:r>
              <w:rPr>
                <w:rFonts w:ascii="Calibri" w:cs="Calibri" w:eastAsia="Calibri" w:hAnsi="Calibri"/>
                <w:b w:val="false"/>
                <w:bCs w:val="false"/>
                <w:color w:val="334155"/>
                <w:sz w:val="17"/>
                <w:szCs w:val="17"/>
              </w:rPr>
              <w:t xml:space="preserve">Compete on depth, not price. RC's command center, war rooms, multi-vertical support, and CAD integration are features RapidSOS UNITE does not have. Hold pricing discipline — discounting signals weakness. Offer grant language support instead of price reduction.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8D4E8" w:sz="4"/>
              <w:left w:val="single" w:color="C8D4E8" w:sz="4"/>
              <w:bottom w:val="single" w:color="C8D4E8" w:sz="4"/>
              <w:right w:val="single" w:color="C8D4E8" w:sz="4"/>
            </w:tcBorders>
            <w:shd w:fill="DBEAFE" w:color="DBEAFE" w:val="clear"/>
            <w:tcMar>
              <w:top w:type="dxa" w:w="80"/>
              <w:left w:type="dxa" w:w="120"/>
              <w:bottom w:type="dxa" w:w="80"/>
              <w:right w:type="dxa" w:w="120"/>
            </w:tcMar>
            <w:vAlign w:val="center"/>
          </w:tcPr>
          <w:p>
            <w:pPr>
              <w:spacing w:after="0" w:before="0"/>
              <w:jc w:val="left"/>
            </w:pPr>
            <w:r>
              <w:rPr>
                <w:rFonts w:ascii="Calibri" w:cs="Calibri" w:eastAsia="Calibri" w:hAnsi="Calibri"/>
                <w:b/>
                <w:bCs/>
                <w:color w:val="1E3A8A"/>
                <w:sz w:val="18"/>
                <w:szCs w:val="18"/>
              </w:rPr>
              <w:t xml:space="preserve">Low-Med</w:t>
            </w:r>
          </w:p>
        </w:tc>
        <w:tc>
          <w:tcPr>
            <w:tcW w:type="dxa" w:w="8240"/>
            <w:tcBorders>
              <w:top w:val="single" w:color="C8D4E8" w:sz="4"/>
              <w:left w:val="single" w:color="C8D4E8" w:sz="4"/>
              <w:bottom w:val="single" w:color="C8D4E8" w:sz="4"/>
              <w:right w:val="single" w:color="C8D4E8" w:sz="4"/>
            </w:tcBorders>
            <w:shd w:fill="DBEAFE" w:color="DBEAFE" w:val="clear"/>
            <w:tcMar>
              <w:top w:type="dxa" w:w="80"/>
              <w:left w:type="dxa" w:w="120"/>
              <w:bottom w:type="dxa" w:w="80"/>
              <w:right w:type="dxa" w:w="120"/>
            </w:tcMar>
            <w:vAlign w:val="top"/>
          </w:tcPr>
          <w:p>
            <w:pPr>
              <w:spacing w:after="40" w:before="0"/>
            </w:pPr>
            <w:r>
              <w:rPr>
                <w:rFonts w:ascii="Calibri" w:cs="Calibri" w:eastAsia="Calibri" w:hAnsi="Calibri"/>
                <w:b/>
                <w:bCs/>
                <w:color w:val="0F172A"/>
                <w:sz w:val="19"/>
                <w:szCs w:val="19"/>
              </w:rPr>
              <w:t xml:space="preserve">Platform reliability incident during active pilot — reputation damage</w:t>
            </w:r>
          </w:p>
          <w:p>
            <w:pPr>
              <w:spacing w:after="0" w:before="0"/>
            </w:pPr>
            <w:r>
              <w:rPr>
                <w:rFonts w:ascii="Calibri" w:cs="Calibri" w:eastAsia="Calibri" w:hAnsi="Calibri"/>
                <w:b/>
                <w:bCs/>
                <w:color w:val="1A3050"/>
                <w:sz w:val="17"/>
                <w:szCs w:val="17"/>
              </w:rPr>
              <w:t xml:space="preserve">Mitigation: </w:t>
            </w:r>
            <w:r>
              <w:rPr>
                <w:rFonts w:ascii="Calibri" w:cs="Calibri" w:eastAsia="Calibri" w:hAnsi="Calibri"/>
                <w:b w:val="false"/>
                <w:bCs w:val="false"/>
                <w:color w:val="334155"/>
                <w:sz w:val="17"/>
                <w:szCs w:val="17"/>
              </w:rPr>
              <w:t xml:space="preserve">Production readiness checklist completed before first live agency. Status page live. Incident response runbook active. 24/7 on-call protocol for any agency in production. SLA metrics tracked and visible. First pilots use CAD-disabled mode (lowest risk integration) to minimize surface area.</w:t>
            </w:r>
          </w:p>
        </w:tc>
      </w:tr>
    </w:tbl>
    <w:p>
      <w:pPr>
        <w:spacing w:after="0" w:before="80"/>
      </w:pPr>
    </w:p>
    <w:p>
      <w:pPr>
        <w:spacing w:after="0" w:before="280"/>
      </w:pPr>
    </w:p>
    <w:p>
      <w:pPr>
        <w:shd w:fill="0A1628" w:color="0A1628" w:val="clear"/>
        <w:spacing w:after="0" w:before="0"/>
        <w:ind w:left="0" w:right="0"/>
      </w:pPr>
      <w:r>
        <w:rPr>
          <w:rFonts w:ascii="Calibri" w:cs="Calibri" w:eastAsia="Calibri" w:hAnsi="Calibri"/>
          <w:b/>
          <w:bCs/>
          <w:color w:val="FFFFFF"/>
          <w:sz w:val="22"/>
          <w:szCs w:val="22"/>
        </w:rPr>
        <w:t xml:space="preserve">Closing Strategic Imperative</w:t>
      </w:r>
    </w:p>
    <w:p>
      <w:pPr>
        <w:shd w:fill="0A1628" w:color="0A1628" w:val="clear"/>
        <w:spacing w:after="0" w:before="0"/>
      </w:pPr>
      <w:r>
        <w:rPr>
          <w:rFonts w:ascii="Calibri" w:cs="Calibri" w:eastAsia="Calibri" w:hAnsi="Calibri"/>
          <w:b w:val="false"/>
          <w:bCs w:val="false"/>
          <w:color w:val="CBD5E1"/>
          <w:sz w:val="18"/>
          <w:szCs w:val="18"/>
        </w:rPr>
        <w:t xml:space="preserve">Prepared reached 1,000 agencies before acquisition. Carbyne reached 300 sites. Both were acquired, not because they failed — but because they succeeded fast enough to become acquisition targets. NexCort iQ has the same window. The next 12 months are not about perfection. They are about landing reference customers, proving ROI at every tier, and establishing RC as the platform that agencies trust before the market consolidates around the next acquisition. Move at the speed of response.</w:t>
      </w:r>
    </w:p>
    <w:p>
      <w:pPr>
        <w:shd w:fill="0A1628" w:color="0A1628" w:val="clear"/>
        <w:spacing w:after="0" w:before="120"/>
        <w:jc w:val="center"/>
      </w:pPr>
      <w:r>
        <w:rPr>
          <w:rFonts w:ascii="Calibri" w:cs="Calibri" w:eastAsia="Calibri" w:hAnsi="Calibri"/>
          <w:b w:val="false"/>
          <w:bCs w:val="false"/>
          <w:color w:val="64748B"/>
          <w:sz w:val="16"/>
          <w:szCs w:val="16"/>
        </w:rPr>
        <w:t xml:space="preserve">NexCort iQ — Intelligence at the Speed of Response  ·  rapidcortex.us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2026-07-23T21:49:34.261Z</dcterms:created>
  <dcterms:modified xsi:type="dcterms:W3CDTF">2026-07-23T21:49:34.276Z</dcterms:modified>
</cp:coreProperties>
</file>

<file path=docProps/custom.xml><?xml version="1.0" encoding="utf-8"?>
<Properties xmlns="http://schemas.openxmlformats.org/officeDocument/2006/custom-properties" xmlns:vt="http://schemas.openxmlformats.org/officeDocument/2006/docPropsVTypes"/>
</file>