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0E3915E" w14:textId="77777777" w:rsidR="00C73F98" w:rsidRPr="002013B1" w:rsidRDefault="00C73F98" w:rsidP="002E60A2">
      <w:pPr>
        <w:contextualSpacing/>
        <w:rPr>
          <w:rFonts w:ascii="Calibri" w:hAnsi="Calibri" w:cs="Calibri"/>
          <w:color w:val="000000"/>
        </w:rPr>
      </w:pPr>
    </w:p>
    <w:tbl>
      <w:tblPr>
        <w:tblW w:w="10108" w:type="dxa"/>
        <w:tblCellSpacing w:w="15" w:type="dxa"/>
        <w:tblInd w:w="-10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2873"/>
        <w:gridCol w:w="2970"/>
        <w:gridCol w:w="1567"/>
        <w:gridCol w:w="1567"/>
      </w:tblGrid>
      <w:tr w:rsidR="00C73F98" w:rsidRPr="002013B1" w14:paraId="78D53AF1" w14:textId="6BBEF8B6" w:rsidTr="00C73F98">
        <w:trPr>
          <w:tblHeader/>
          <w:tblCellSpacing w:w="15" w:type="dxa"/>
        </w:trPr>
        <w:tc>
          <w:tcPr>
            <w:tcW w:w="1086" w:type="dxa"/>
            <w:vAlign w:val="center"/>
            <w:hideMark/>
          </w:tcPr>
          <w:p w14:paraId="025F4122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</w:t>
            </w:r>
          </w:p>
        </w:tc>
        <w:tc>
          <w:tcPr>
            <w:tcW w:w="2843" w:type="dxa"/>
            <w:vAlign w:val="center"/>
            <w:hideMark/>
          </w:tcPr>
          <w:p w14:paraId="1B5274BE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2013B1">
              <w:rPr>
                <w:rFonts w:ascii="Calibri" w:hAnsi="Calibri" w:cs="Calibri"/>
                <w:b/>
                <w:bCs/>
              </w:rPr>
              <w:t>States</w:t>
            </w:r>
          </w:p>
        </w:tc>
        <w:tc>
          <w:tcPr>
            <w:tcW w:w="2940" w:type="dxa"/>
            <w:vAlign w:val="center"/>
            <w:hideMark/>
          </w:tcPr>
          <w:p w14:paraId="45556A21" w14:textId="2C623956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 w:rsidRPr="002013B1">
              <w:rPr>
                <w:rFonts w:ascii="Calibri" w:hAnsi="Calibri" w:cs="Calibri"/>
                <w:b/>
                <w:bCs/>
              </w:rPr>
              <w:t>Focus</w:t>
            </w:r>
          </w:p>
        </w:tc>
        <w:tc>
          <w:tcPr>
            <w:tcW w:w="1537" w:type="dxa"/>
          </w:tcPr>
          <w:p w14:paraId="789DACDC" w14:textId="5055014C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Primary</w:t>
            </w:r>
          </w:p>
        </w:tc>
        <w:tc>
          <w:tcPr>
            <w:tcW w:w="1522" w:type="dxa"/>
          </w:tcPr>
          <w:p w14:paraId="1858587A" w14:textId="20473F79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t>Secondary</w:t>
            </w:r>
          </w:p>
        </w:tc>
      </w:tr>
      <w:tr w:rsidR="00C73F98" w:rsidRPr="002013B1" w14:paraId="16F523CB" w14:textId="10470BA0" w:rsidTr="00C73F98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27433048" w14:textId="77777777" w:rsidR="00C73F98" w:rsidRPr="002013B1" w:rsidRDefault="00C73F98" w:rsidP="002E60A2">
            <w:pPr>
              <w:contextualSpacing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 1</w:t>
            </w:r>
          </w:p>
        </w:tc>
        <w:tc>
          <w:tcPr>
            <w:tcW w:w="2843" w:type="dxa"/>
            <w:vAlign w:val="center"/>
            <w:hideMark/>
          </w:tcPr>
          <w:p w14:paraId="579FEFE1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TX, GA, NC, TN, SC, AL, AR, KS</w:t>
            </w:r>
          </w:p>
        </w:tc>
        <w:tc>
          <w:tcPr>
            <w:tcW w:w="2940" w:type="dxa"/>
            <w:vAlign w:val="center"/>
            <w:hideMark/>
          </w:tcPr>
          <w:p w14:paraId="2DC26DA5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PSAP/911 + Transit</w:t>
            </w:r>
          </w:p>
        </w:tc>
        <w:tc>
          <w:tcPr>
            <w:tcW w:w="1537" w:type="dxa"/>
          </w:tcPr>
          <w:p w14:paraId="3F034E49" w14:textId="223B67BE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Eric</w:t>
            </w:r>
          </w:p>
        </w:tc>
        <w:tc>
          <w:tcPr>
            <w:tcW w:w="1522" w:type="dxa"/>
          </w:tcPr>
          <w:p w14:paraId="1095C1A9" w14:textId="7DA55263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Markeise</w:t>
            </w:r>
          </w:p>
        </w:tc>
      </w:tr>
      <w:tr w:rsidR="00C73F98" w:rsidRPr="002013B1" w14:paraId="251D61B4" w14:textId="5C331D46" w:rsidTr="00C73F98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556AD5D9" w14:textId="77777777" w:rsidR="00C73F98" w:rsidRPr="002013B1" w:rsidRDefault="00C73F98" w:rsidP="002E60A2">
            <w:pPr>
              <w:contextualSpacing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 2</w:t>
            </w:r>
          </w:p>
        </w:tc>
        <w:tc>
          <w:tcPr>
            <w:tcW w:w="2843" w:type="dxa"/>
            <w:vAlign w:val="center"/>
            <w:hideMark/>
          </w:tcPr>
          <w:p w14:paraId="7E9ABB06" w14:textId="4599B089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FL</w:t>
            </w:r>
            <w:r w:rsidRPr="002013B1">
              <w:rPr>
                <w:rFonts w:ascii="Calibri" w:hAnsi="Calibri" w:cs="Calibri"/>
              </w:rPr>
              <w:t>, OH, MI, IN, NY,</w:t>
            </w:r>
            <w:r>
              <w:rPr>
                <w:rFonts w:ascii="Calibri" w:hAnsi="Calibri" w:cs="Calibri"/>
              </w:rPr>
              <w:t xml:space="preserve"> </w:t>
            </w:r>
            <w:r w:rsidRPr="002013B1">
              <w:rPr>
                <w:rFonts w:ascii="Calibri" w:hAnsi="Calibri" w:cs="Calibri"/>
              </w:rPr>
              <w:t>WI, NE, IA</w:t>
            </w:r>
            <w:r>
              <w:rPr>
                <w:rFonts w:ascii="Calibri" w:hAnsi="Calibri" w:cs="Calibri"/>
              </w:rPr>
              <w:t xml:space="preserve">, </w:t>
            </w:r>
            <w:r w:rsidRPr="002013B1">
              <w:rPr>
                <w:rFonts w:ascii="Calibri" w:hAnsi="Calibri" w:cs="Calibri"/>
              </w:rPr>
              <w:t>DC</w:t>
            </w:r>
          </w:p>
        </w:tc>
        <w:tc>
          <w:tcPr>
            <w:tcW w:w="2940" w:type="dxa"/>
            <w:vAlign w:val="center"/>
            <w:hideMark/>
          </w:tcPr>
          <w:p w14:paraId="1105C32D" w14:textId="600F7002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PSAP/911 + Transit</w:t>
            </w:r>
            <w:r>
              <w:rPr>
                <w:rFonts w:ascii="Calibri" w:hAnsi="Calibri" w:cs="Calibri"/>
              </w:rPr>
              <w:t xml:space="preserve"> + Campus</w:t>
            </w:r>
          </w:p>
        </w:tc>
        <w:tc>
          <w:tcPr>
            <w:tcW w:w="1537" w:type="dxa"/>
          </w:tcPr>
          <w:p w14:paraId="180B8E09" w14:textId="545745A2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Dilaine</w:t>
            </w:r>
            <w:proofErr w:type="spellEnd"/>
          </w:p>
        </w:tc>
        <w:tc>
          <w:tcPr>
            <w:tcW w:w="1522" w:type="dxa"/>
          </w:tcPr>
          <w:p w14:paraId="2FF6FF11" w14:textId="409061F1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Kirk</w:t>
            </w:r>
          </w:p>
        </w:tc>
      </w:tr>
      <w:tr w:rsidR="00C73F98" w:rsidRPr="002013B1" w14:paraId="1A03D657" w14:textId="31A3F396" w:rsidTr="00C73F98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7339ED63" w14:textId="77777777" w:rsidR="00C73F98" w:rsidRPr="002013B1" w:rsidRDefault="00C73F98" w:rsidP="002E60A2">
            <w:pPr>
              <w:contextualSpacing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 3</w:t>
            </w:r>
          </w:p>
        </w:tc>
        <w:tc>
          <w:tcPr>
            <w:tcW w:w="2843" w:type="dxa"/>
            <w:vAlign w:val="center"/>
            <w:hideMark/>
          </w:tcPr>
          <w:p w14:paraId="1054D53F" w14:textId="5C24FC1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CA</w:t>
            </w:r>
            <w:r w:rsidRPr="002013B1">
              <w:rPr>
                <w:rFonts w:ascii="Calibri" w:hAnsi="Calibri" w:cs="Calibri"/>
              </w:rPr>
              <w:t>, IL, CO, WA, NV, UT, HI</w:t>
            </w:r>
            <w:r>
              <w:rPr>
                <w:rFonts w:ascii="Calibri" w:hAnsi="Calibri" w:cs="Calibri"/>
              </w:rPr>
              <w:t xml:space="preserve">, </w:t>
            </w:r>
            <w:r w:rsidRPr="002013B1">
              <w:rPr>
                <w:rFonts w:ascii="Calibri" w:hAnsi="Calibri" w:cs="Calibri"/>
              </w:rPr>
              <w:t>OR,</w:t>
            </w:r>
          </w:p>
        </w:tc>
        <w:tc>
          <w:tcPr>
            <w:tcW w:w="2940" w:type="dxa"/>
            <w:vAlign w:val="center"/>
            <w:hideMark/>
          </w:tcPr>
          <w:p w14:paraId="2185831E" w14:textId="009A4BBD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 xml:space="preserve">Campus + </w:t>
            </w:r>
            <w:r w:rsidRPr="002013B1">
              <w:rPr>
                <w:rFonts w:ascii="Calibri" w:hAnsi="Calibri" w:cs="Calibri"/>
              </w:rPr>
              <w:t>PSAP</w:t>
            </w:r>
            <w:r w:rsidRPr="002013B1">
              <w:rPr>
                <w:rFonts w:ascii="Calibri" w:hAnsi="Calibri" w:cs="Calibri"/>
              </w:rPr>
              <w:t xml:space="preserve"> + Transit</w:t>
            </w:r>
          </w:p>
        </w:tc>
        <w:tc>
          <w:tcPr>
            <w:tcW w:w="1537" w:type="dxa"/>
          </w:tcPr>
          <w:p w14:paraId="60C341BF" w14:textId="616DAEEF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Kirk</w:t>
            </w:r>
          </w:p>
        </w:tc>
        <w:tc>
          <w:tcPr>
            <w:tcW w:w="1522" w:type="dxa"/>
          </w:tcPr>
          <w:p w14:paraId="79C4951C" w14:textId="4EC09AFE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Eric</w:t>
            </w:r>
          </w:p>
        </w:tc>
      </w:tr>
      <w:tr w:rsidR="00C73F98" w:rsidRPr="002013B1" w14:paraId="3A22E0E9" w14:textId="0599484A" w:rsidTr="00C73F98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2042832D" w14:textId="77777777" w:rsidR="00C73F98" w:rsidRPr="002013B1" w:rsidRDefault="00C73F98" w:rsidP="002E60A2">
            <w:pPr>
              <w:contextualSpacing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 4</w:t>
            </w:r>
          </w:p>
        </w:tc>
        <w:tc>
          <w:tcPr>
            <w:tcW w:w="2843" w:type="dxa"/>
            <w:vAlign w:val="center"/>
            <w:hideMark/>
          </w:tcPr>
          <w:p w14:paraId="32AF1856" w14:textId="34165774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KY, MD, VA, CT, DE, RI, OK, MS</w:t>
            </w:r>
          </w:p>
        </w:tc>
        <w:tc>
          <w:tcPr>
            <w:tcW w:w="2940" w:type="dxa"/>
            <w:vAlign w:val="center"/>
            <w:hideMark/>
          </w:tcPr>
          <w:p w14:paraId="02455D8F" w14:textId="37D14009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Campus + Venue+ PSAP</w:t>
            </w:r>
          </w:p>
        </w:tc>
        <w:tc>
          <w:tcPr>
            <w:tcW w:w="1537" w:type="dxa"/>
          </w:tcPr>
          <w:p w14:paraId="41DD2FEE" w14:textId="37EE739D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Markiese</w:t>
            </w:r>
          </w:p>
        </w:tc>
        <w:tc>
          <w:tcPr>
            <w:tcW w:w="1522" w:type="dxa"/>
          </w:tcPr>
          <w:p w14:paraId="6476EEC3" w14:textId="5AB5A4CD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Deron</w:t>
            </w:r>
          </w:p>
        </w:tc>
      </w:tr>
      <w:tr w:rsidR="00C73F98" w:rsidRPr="002013B1" w14:paraId="53EDB142" w14:textId="41B28B4D" w:rsidTr="00C73F98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671B19B2" w14:textId="77777777" w:rsidR="00C73F98" w:rsidRPr="002013B1" w:rsidRDefault="00C73F98" w:rsidP="002E60A2">
            <w:pPr>
              <w:contextualSpacing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 5</w:t>
            </w:r>
          </w:p>
        </w:tc>
        <w:tc>
          <w:tcPr>
            <w:tcW w:w="2843" w:type="dxa"/>
            <w:vAlign w:val="center"/>
            <w:hideMark/>
          </w:tcPr>
          <w:p w14:paraId="15B5A459" w14:textId="21C7EEC2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PA, NJ, MA, MO, MN, LA, AZ</w:t>
            </w:r>
          </w:p>
        </w:tc>
        <w:tc>
          <w:tcPr>
            <w:tcW w:w="2940" w:type="dxa"/>
            <w:vAlign w:val="center"/>
            <w:hideMark/>
          </w:tcPr>
          <w:p w14:paraId="746EA646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Campus + Venue + PSAP</w:t>
            </w:r>
          </w:p>
        </w:tc>
        <w:tc>
          <w:tcPr>
            <w:tcW w:w="1537" w:type="dxa"/>
          </w:tcPr>
          <w:p w14:paraId="42CFB518" w14:textId="05D3BB52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Deron</w:t>
            </w:r>
          </w:p>
        </w:tc>
        <w:tc>
          <w:tcPr>
            <w:tcW w:w="1522" w:type="dxa"/>
          </w:tcPr>
          <w:p w14:paraId="7996E85A" w14:textId="061CDB88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proofErr w:type="spellStart"/>
            <w:r>
              <w:rPr>
                <w:rFonts w:ascii="Calibri" w:hAnsi="Calibri" w:cs="Calibri"/>
              </w:rPr>
              <w:t>Dilaine</w:t>
            </w:r>
            <w:proofErr w:type="spellEnd"/>
          </w:p>
        </w:tc>
      </w:tr>
      <w:tr w:rsidR="00C73F98" w:rsidRPr="002013B1" w14:paraId="2DC9EA46" w14:textId="2D5CCDAA" w:rsidTr="00C73F98">
        <w:trPr>
          <w:tblCellSpacing w:w="15" w:type="dxa"/>
        </w:trPr>
        <w:tc>
          <w:tcPr>
            <w:tcW w:w="1086" w:type="dxa"/>
            <w:vAlign w:val="center"/>
            <w:hideMark/>
          </w:tcPr>
          <w:p w14:paraId="60B6051F" w14:textId="77777777" w:rsidR="00C73F98" w:rsidRPr="002013B1" w:rsidRDefault="00C73F98" w:rsidP="002E60A2">
            <w:pPr>
              <w:contextualSpacing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  <w:b/>
                <w:bCs/>
              </w:rPr>
              <w:t>Zone 6</w:t>
            </w:r>
          </w:p>
        </w:tc>
        <w:tc>
          <w:tcPr>
            <w:tcW w:w="2843" w:type="dxa"/>
            <w:vAlign w:val="center"/>
            <w:hideMark/>
          </w:tcPr>
          <w:p w14:paraId="41EF4F6D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AK, ID, ME, MT, NH, NM, ND, SD, VT, WV, WY</w:t>
            </w:r>
          </w:p>
        </w:tc>
        <w:tc>
          <w:tcPr>
            <w:tcW w:w="2940" w:type="dxa"/>
            <w:vAlign w:val="center"/>
            <w:hideMark/>
          </w:tcPr>
          <w:p w14:paraId="14C6E849" w14:textId="77777777" w:rsidR="00C73F98" w:rsidRPr="002013B1" w:rsidRDefault="00C73F98" w:rsidP="002E60A2">
            <w:pPr>
              <w:contextualSpacing/>
              <w:jc w:val="center"/>
              <w:rPr>
                <w:rFonts w:ascii="Calibri" w:hAnsi="Calibri" w:cs="Calibri"/>
              </w:rPr>
            </w:pPr>
            <w:r w:rsidRPr="002013B1">
              <w:rPr>
                <w:rFonts w:ascii="Calibri" w:hAnsi="Calibri" w:cs="Calibri"/>
              </w:rPr>
              <w:t>Emerging &amp; Expansion Markets</w:t>
            </w:r>
          </w:p>
        </w:tc>
        <w:tc>
          <w:tcPr>
            <w:tcW w:w="1537" w:type="dxa"/>
          </w:tcPr>
          <w:p w14:paraId="38031A8A" w14:textId="2E9A5781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Anyone</w:t>
            </w:r>
          </w:p>
        </w:tc>
        <w:tc>
          <w:tcPr>
            <w:tcW w:w="1522" w:type="dxa"/>
          </w:tcPr>
          <w:p w14:paraId="5C4ACE18" w14:textId="63A4AEB0" w:rsidR="00C73F98" w:rsidRPr="002013B1" w:rsidRDefault="00987755" w:rsidP="002E60A2">
            <w:pPr>
              <w:contextualSpacing/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All</w:t>
            </w:r>
          </w:p>
        </w:tc>
      </w:tr>
    </w:tbl>
    <w:p w14:paraId="2D6F401B" w14:textId="77777777" w:rsidR="00E7658F" w:rsidRDefault="00E7658F" w:rsidP="002E60A2">
      <w:pPr>
        <w:contextualSpacing/>
        <w:jc w:val="center"/>
        <w:outlineLvl w:val="2"/>
        <w:rPr>
          <w:rFonts w:ascii="Calibri" w:hAnsi="Calibri" w:cs="Calibri"/>
          <w:b/>
          <w:bCs/>
          <w:color w:val="EE0000"/>
          <w:sz w:val="28"/>
          <w:szCs w:val="28"/>
          <w:u w:val="single"/>
        </w:rPr>
      </w:pPr>
    </w:p>
    <w:p w14:paraId="04439B47" w14:textId="605B6645" w:rsidR="002E60A2" w:rsidRDefault="002E60A2" w:rsidP="002E60A2">
      <w:pPr>
        <w:contextualSpacing/>
        <w:jc w:val="center"/>
        <w:outlineLvl w:val="2"/>
        <w:rPr>
          <w:rFonts w:ascii="Calibri" w:hAnsi="Calibri" w:cs="Calibri"/>
          <w:b/>
          <w:bCs/>
          <w:color w:val="EE0000"/>
          <w:sz w:val="28"/>
          <w:szCs w:val="28"/>
          <w:u w:val="single"/>
        </w:rPr>
      </w:pPr>
      <w:r w:rsidRPr="002E60A2">
        <w:rPr>
          <w:rFonts w:ascii="Calibri" w:hAnsi="Calibri" w:cs="Calibri"/>
          <w:b/>
          <w:bCs/>
          <w:color w:val="EE0000"/>
          <w:sz w:val="28"/>
          <w:szCs w:val="28"/>
          <w:u w:val="single"/>
        </w:rPr>
        <w:t>Primary &amp; Secondary Territory Responsibilities</w:t>
      </w:r>
    </w:p>
    <w:p w14:paraId="4004D979" w14:textId="77777777" w:rsidR="002E60A2" w:rsidRPr="002E60A2" w:rsidRDefault="002E60A2" w:rsidP="002E60A2">
      <w:pPr>
        <w:contextualSpacing/>
        <w:jc w:val="center"/>
        <w:outlineLvl w:val="2"/>
        <w:rPr>
          <w:rFonts w:ascii="Calibri" w:hAnsi="Calibri" w:cs="Calibri"/>
          <w:b/>
          <w:bCs/>
          <w:color w:val="EE0000"/>
          <w:sz w:val="28"/>
          <w:szCs w:val="28"/>
          <w:u w:val="single"/>
        </w:rPr>
      </w:pPr>
    </w:p>
    <w:p w14:paraId="30A892F0" w14:textId="77777777" w:rsidR="002E60A2" w:rsidRPr="002E60A2" w:rsidRDefault="002E60A2" w:rsidP="002E60A2">
      <w:pPr>
        <w:contextualSpacing/>
        <w:rPr>
          <w:rFonts w:ascii="Calibri" w:hAnsi="Calibri" w:cs="Calibri"/>
          <w:color w:val="0070C0"/>
          <w:u w:val="single"/>
        </w:rPr>
      </w:pPr>
      <w:r w:rsidRPr="002E60A2">
        <w:rPr>
          <w:rFonts w:ascii="Calibri" w:hAnsi="Calibri" w:cs="Calibri"/>
          <w:b/>
          <w:bCs/>
          <w:color w:val="0070C0"/>
          <w:u w:val="single"/>
        </w:rPr>
        <w:t>Primary Representative</w:t>
      </w:r>
    </w:p>
    <w:p w14:paraId="4E19D81B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The Primary Representative is the </w:t>
      </w:r>
      <w:r w:rsidRPr="002E60A2">
        <w:rPr>
          <w:rFonts w:ascii="Calibri" w:hAnsi="Calibri" w:cs="Calibri"/>
          <w:b/>
          <w:bCs/>
          <w:color w:val="000000"/>
        </w:rPr>
        <w:t>designated sales owner for the assigned zone</w:t>
      </w:r>
      <w:r w:rsidRPr="002E60A2">
        <w:rPr>
          <w:rFonts w:ascii="Calibri" w:hAnsi="Calibri" w:cs="Calibri"/>
          <w:color w:val="000000"/>
        </w:rPr>
        <w:t xml:space="preserve">. All company-generated opportunities originating within that zone—including inbound leads, </w:t>
      </w: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 xml:space="preserve"> intelligence leads, RFP/RFI opportunities, referrals, website inquiries, partnerships, and other company-sourced prospects—are routed to the Primary Representative.</w:t>
      </w:r>
    </w:p>
    <w:p w14:paraId="50845242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The Primary is responsible for timely outreach, CRM management, relationship development, demonstrations, proposals, follow-up, negotiations, and progressing the opportunity through close.</w:t>
      </w:r>
    </w:p>
    <w:p w14:paraId="7F548EA1" w14:textId="77777777" w:rsidR="002E60A2" w:rsidRPr="002E60A2" w:rsidRDefault="002E60A2" w:rsidP="002E60A2">
      <w:pPr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The Primary also receives </w:t>
      </w:r>
      <w:r w:rsidRPr="002E60A2">
        <w:rPr>
          <w:rFonts w:ascii="Calibri" w:hAnsi="Calibri" w:cs="Calibri"/>
          <w:b/>
          <w:bCs/>
          <w:color w:val="000000"/>
        </w:rPr>
        <w:t>first consideration for conferences, trade shows, association meetings, and other sales events occurring within the assigned territory</w:t>
      </w:r>
      <w:r w:rsidRPr="002E60A2">
        <w:rPr>
          <w:rFonts w:ascii="Calibri" w:hAnsi="Calibri" w:cs="Calibri"/>
          <w:color w:val="000000"/>
        </w:rPr>
        <w:t xml:space="preserve">. </w:t>
      </w: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 xml:space="preserve"> may assign other representatives to an event based on vertical expertise, availability, customer relationships, cost, or company needs.</w:t>
      </w:r>
    </w:p>
    <w:p w14:paraId="48271CA8" w14:textId="77777777" w:rsidR="002E60A2" w:rsidRDefault="002E60A2" w:rsidP="002E60A2">
      <w:pPr>
        <w:contextualSpacing/>
        <w:rPr>
          <w:rFonts w:ascii="Calibri" w:hAnsi="Calibri" w:cs="Calibri"/>
          <w:b/>
          <w:bCs/>
          <w:color w:val="000000"/>
        </w:rPr>
      </w:pPr>
    </w:p>
    <w:p w14:paraId="69F0C2D4" w14:textId="6D5A9C32" w:rsidR="002E60A2" w:rsidRPr="002E60A2" w:rsidRDefault="002E60A2" w:rsidP="002E60A2">
      <w:pPr>
        <w:contextualSpacing/>
        <w:rPr>
          <w:rFonts w:ascii="Calibri" w:hAnsi="Calibri" w:cs="Calibri"/>
          <w:color w:val="0070C0"/>
          <w:u w:val="single"/>
        </w:rPr>
      </w:pPr>
      <w:r w:rsidRPr="002E60A2">
        <w:rPr>
          <w:rFonts w:ascii="Calibri" w:hAnsi="Calibri" w:cs="Calibri"/>
          <w:b/>
          <w:bCs/>
          <w:color w:val="0070C0"/>
          <w:u w:val="single"/>
        </w:rPr>
        <w:t>Secondary Representative</w:t>
      </w:r>
    </w:p>
    <w:p w14:paraId="546F2119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The Secondary Representative is the </w:t>
      </w:r>
      <w:r w:rsidRPr="002E60A2">
        <w:rPr>
          <w:rFonts w:ascii="Calibri" w:hAnsi="Calibri" w:cs="Calibri"/>
          <w:b/>
          <w:bCs/>
          <w:color w:val="000000"/>
        </w:rPr>
        <w:t>designated backup and support representative</w:t>
      </w:r>
      <w:r w:rsidRPr="002E60A2">
        <w:rPr>
          <w:rFonts w:ascii="Calibri" w:hAnsi="Calibri" w:cs="Calibri"/>
          <w:color w:val="000000"/>
        </w:rPr>
        <w:t> for the zone. Being designated Secondary does </w:t>
      </w:r>
      <w:r w:rsidRPr="002E60A2">
        <w:rPr>
          <w:rFonts w:ascii="Calibri" w:hAnsi="Calibri" w:cs="Calibri"/>
          <w:b/>
          <w:bCs/>
          <w:color w:val="000000"/>
        </w:rPr>
        <w:t>not create automatic ownership of opportunities or entitlement to commission</w:t>
      </w:r>
      <w:r w:rsidRPr="002E60A2">
        <w:rPr>
          <w:rFonts w:ascii="Calibri" w:hAnsi="Calibri" w:cs="Calibri"/>
          <w:color w:val="000000"/>
        </w:rPr>
        <w:t> within that territory.</w:t>
      </w:r>
    </w:p>
    <w:p w14:paraId="46558D01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 xml:space="preserve">The Secondary may assist with prospecting, demonstrations, meetings, follow-up, conferences, proposal development, or account coverage when requested by the Primary or assigned by </w:t>
      </w: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>.</w:t>
      </w:r>
    </w:p>
    <w:p w14:paraId="5B0F3FCB" w14:textId="77777777" w:rsidR="002E60A2" w:rsidRPr="002E60A2" w:rsidRDefault="002E60A2" w:rsidP="002E60A2">
      <w:pPr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If the Primary is unavailable, fails to pursue an opportunity within the company's required timeframe, has a conflict, or the company determines reassignment is appropriate, the Secondary will normally receive </w:t>
      </w:r>
      <w:r w:rsidRPr="002E60A2">
        <w:rPr>
          <w:rFonts w:ascii="Calibri" w:hAnsi="Calibri" w:cs="Calibri"/>
          <w:b/>
          <w:bCs/>
          <w:color w:val="000000"/>
        </w:rPr>
        <w:t>first consideration to assume the opportunity</w:t>
      </w:r>
      <w:r w:rsidRPr="002E60A2">
        <w:rPr>
          <w:rFonts w:ascii="Calibri" w:hAnsi="Calibri" w:cs="Calibri"/>
          <w:color w:val="000000"/>
        </w:rPr>
        <w:t>.</w:t>
      </w:r>
    </w:p>
    <w:p w14:paraId="04A884B1" w14:textId="77777777" w:rsidR="002E60A2" w:rsidRDefault="002E60A2" w:rsidP="002E60A2">
      <w:pPr>
        <w:contextualSpacing/>
        <w:outlineLvl w:val="2"/>
        <w:rPr>
          <w:rFonts w:ascii="Calibri" w:hAnsi="Calibri" w:cs="Calibri"/>
          <w:b/>
          <w:bCs/>
          <w:color w:val="000000"/>
        </w:rPr>
      </w:pPr>
    </w:p>
    <w:p w14:paraId="730F462E" w14:textId="1F83217D" w:rsidR="002E60A2" w:rsidRPr="002E60A2" w:rsidRDefault="002E60A2" w:rsidP="002E60A2">
      <w:pPr>
        <w:contextualSpacing/>
        <w:outlineLvl w:val="2"/>
        <w:rPr>
          <w:rFonts w:ascii="Calibri" w:hAnsi="Calibri" w:cs="Calibri"/>
          <w:b/>
          <w:bCs/>
          <w:color w:val="0070C0"/>
          <w:u w:val="single"/>
        </w:rPr>
      </w:pPr>
      <w:r w:rsidRPr="002E60A2">
        <w:rPr>
          <w:rFonts w:ascii="Calibri" w:hAnsi="Calibri" w:cs="Calibri"/>
          <w:b/>
          <w:bCs/>
          <w:color w:val="0070C0"/>
          <w:u w:val="single"/>
        </w:rPr>
        <w:t>Commission Ownership &amp; Sharing</w:t>
      </w:r>
    </w:p>
    <w:p w14:paraId="3A418B89" w14:textId="6320CF9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The representative assigned as the </w:t>
      </w:r>
      <w:r w:rsidRPr="002E60A2">
        <w:rPr>
          <w:rFonts w:ascii="Calibri" w:hAnsi="Calibri" w:cs="Calibri"/>
          <w:b/>
          <w:bCs/>
          <w:color w:val="000000"/>
        </w:rPr>
        <w:t>opportunity owner in the CRM</w:t>
      </w:r>
      <w:r w:rsidRPr="002E60A2">
        <w:rPr>
          <w:rFonts w:ascii="Calibri" w:hAnsi="Calibri" w:cs="Calibri"/>
          <w:color w:val="000000"/>
        </w:rPr>
        <w:t> is considered the Primary salesperson for commission purposes.</w:t>
      </w:r>
      <w:r>
        <w:rPr>
          <w:rFonts w:ascii="Calibri" w:hAnsi="Calibri" w:cs="Calibri"/>
          <w:color w:val="000000"/>
        </w:rPr>
        <w:t xml:space="preserve"> </w:t>
      </w:r>
      <w:r w:rsidRPr="002E60A2">
        <w:rPr>
          <w:rFonts w:ascii="Calibri" w:hAnsi="Calibri" w:cs="Calibri"/>
          <w:color w:val="000000"/>
        </w:rPr>
        <w:t>A Secondary Representative does </w:t>
      </w:r>
      <w:r w:rsidRPr="002E60A2">
        <w:rPr>
          <w:rFonts w:ascii="Calibri" w:hAnsi="Calibri" w:cs="Calibri"/>
          <w:b/>
          <w:bCs/>
          <w:color w:val="000000"/>
        </w:rPr>
        <w:t>not automatically receive a commission split</w:t>
      </w:r>
      <w:r w:rsidRPr="002E60A2">
        <w:rPr>
          <w:rFonts w:ascii="Calibri" w:hAnsi="Calibri" w:cs="Calibri"/>
          <w:color w:val="000000"/>
        </w:rPr>
        <w:t> simply because an opportunity occurs within a zone where they are listed as Secondary.</w:t>
      </w:r>
    </w:p>
    <w:p w14:paraId="7F92D67D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When a Secondary or another representative provides </w:t>
      </w:r>
      <w:r w:rsidRPr="002E60A2">
        <w:rPr>
          <w:rFonts w:ascii="Calibri" w:hAnsi="Calibri" w:cs="Calibri"/>
          <w:b/>
          <w:bCs/>
          <w:color w:val="000000"/>
        </w:rPr>
        <w:t>material sales assistance</w:t>
      </w:r>
      <w:r w:rsidRPr="002E60A2">
        <w:rPr>
          <w:rFonts w:ascii="Calibri" w:hAnsi="Calibri" w:cs="Calibri"/>
          <w:color w:val="000000"/>
        </w:rPr>
        <w:t xml:space="preserve"> that contributes to closing an opportunity, </w:t>
      </w: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 xml:space="preserve"> may approve a commission split. Material assistance may include originating the relationship, securing the meeting, conducting substantial discovery or demonstrations, managing significant portions of the sales cycle, participating in negotiations, or otherwise making a meaningful contribution to the close.</w:t>
      </w:r>
    </w:p>
    <w:p w14:paraId="3F3B83CE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b/>
          <w:bCs/>
          <w:color w:val="000000"/>
        </w:rPr>
        <w:t xml:space="preserve">Any commission split must be documented and approved by </w:t>
      </w:r>
      <w:proofErr w:type="spellStart"/>
      <w:r w:rsidRPr="002E60A2">
        <w:rPr>
          <w:rFonts w:ascii="Calibri" w:hAnsi="Calibri" w:cs="Calibri"/>
          <w:b/>
          <w:bCs/>
          <w:color w:val="000000"/>
        </w:rPr>
        <w:t>NexCort</w:t>
      </w:r>
      <w:proofErr w:type="spellEnd"/>
      <w:r w:rsidRPr="002E60A2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b/>
          <w:bCs/>
          <w:color w:val="000000"/>
        </w:rPr>
        <w:t>iQ</w:t>
      </w:r>
      <w:proofErr w:type="spellEnd"/>
      <w:r w:rsidRPr="002E60A2">
        <w:rPr>
          <w:rFonts w:ascii="Calibri" w:hAnsi="Calibri" w:cs="Calibri"/>
          <w:b/>
          <w:bCs/>
          <w:color w:val="000000"/>
        </w:rPr>
        <w:t xml:space="preserve"> before the opportunity closes.</w:t>
      </w:r>
      <w:r w:rsidRPr="002E60A2">
        <w:rPr>
          <w:rFonts w:ascii="Calibri" w:hAnsi="Calibri" w:cs="Calibri"/>
          <w:color w:val="000000"/>
        </w:rPr>
        <w:t> The approved split applies to the commission earned on that opportunity; it does not change the underlying territory assignment.</w:t>
      </w:r>
    </w:p>
    <w:p w14:paraId="693C3C31" w14:textId="7CC8BFE6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lastRenderedPageBreak/>
        <w:t>For example, if a deal generates a </w:t>
      </w:r>
      <w:r w:rsidRPr="002E60A2">
        <w:rPr>
          <w:rFonts w:ascii="Calibri" w:hAnsi="Calibri" w:cs="Calibri"/>
          <w:b/>
          <w:bCs/>
          <w:color w:val="000000"/>
        </w:rPr>
        <w:t>$10,000 sales commission</w:t>
      </w:r>
      <w:r w:rsidRPr="002E60A2">
        <w:rPr>
          <w:rFonts w:ascii="Calibri" w:hAnsi="Calibri" w:cs="Calibri"/>
          <w:color w:val="000000"/>
        </w:rPr>
        <w:t> and an approved commission allocation is </w:t>
      </w:r>
      <w:r w:rsidRPr="002E60A2">
        <w:rPr>
          <w:rFonts w:ascii="Calibri" w:hAnsi="Calibri" w:cs="Calibri"/>
          <w:b/>
          <w:bCs/>
          <w:color w:val="000000"/>
        </w:rPr>
        <w:t>75% Primary / 25% Secondary</w:t>
      </w:r>
      <w:r w:rsidRPr="002E60A2">
        <w:rPr>
          <w:rFonts w:ascii="Calibri" w:hAnsi="Calibri" w:cs="Calibri"/>
          <w:color w:val="000000"/>
        </w:rPr>
        <w:t>, the Primary receives $7,500</w:t>
      </w:r>
      <w:r>
        <w:rPr>
          <w:rFonts w:ascii="Calibri" w:hAnsi="Calibri" w:cs="Calibri"/>
          <w:color w:val="000000"/>
        </w:rPr>
        <w:t>,</w:t>
      </w:r>
      <w:r w:rsidRPr="002E60A2">
        <w:rPr>
          <w:rFonts w:ascii="Calibri" w:hAnsi="Calibri" w:cs="Calibri"/>
          <w:color w:val="000000"/>
        </w:rPr>
        <w:t xml:space="preserve"> and the Secondary receives $2,500.</w:t>
      </w:r>
    </w:p>
    <w:p w14:paraId="46DE1325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Routine assistance—such as attending one meeting, answering a question, making an introduction without further involvement, or providing occasional support—does not automatically require a commission split.</w:t>
      </w:r>
    </w:p>
    <w:p w14:paraId="3645DB23" w14:textId="77777777" w:rsidR="002E60A2" w:rsidRDefault="002E60A2" w:rsidP="002E60A2">
      <w:pPr>
        <w:contextualSpacing/>
        <w:outlineLvl w:val="2"/>
        <w:rPr>
          <w:rFonts w:ascii="Calibri" w:hAnsi="Calibri" w:cs="Calibri"/>
          <w:b/>
          <w:bCs/>
          <w:color w:val="000000"/>
        </w:rPr>
      </w:pPr>
    </w:p>
    <w:p w14:paraId="50914922" w14:textId="3C76D7E9" w:rsidR="002E60A2" w:rsidRPr="002E60A2" w:rsidRDefault="002E60A2" w:rsidP="002E60A2">
      <w:pPr>
        <w:contextualSpacing/>
        <w:outlineLvl w:val="2"/>
        <w:rPr>
          <w:rFonts w:ascii="Calibri" w:hAnsi="Calibri" w:cs="Calibri"/>
          <w:b/>
          <w:bCs/>
          <w:color w:val="0070C0"/>
          <w:u w:val="single"/>
        </w:rPr>
      </w:pPr>
      <w:r w:rsidRPr="002E60A2">
        <w:rPr>
          <w:rFonts w:ascii="Calibri" w:hAnsi="Calibri" w:cs="Calibri"/>
          <w:b/>
          <w:bCs/>
          <w:color w:val="0070C0"/>
          <w:u w:val="single"/>
        </w:rPr>
        <w:t>Self-Generated Opportunities</w:t>
      </w:r>
    </w:p>
    <w:p w14:paraId="70AF7D42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Representatives are encouraged to prospect and build relationships regardless of geography. A representative who independently develops an opportunity through personal prospecting, an existing relationship, networking, or another legitimate source should </w:t>
      </w:r>
      <w:r w:rsidRPr="002E60A2">
        <w:rPr>
          <w:rFonts w:ascii="Calibri" w:hAnsi="Calibri" w:cs="Calibri"/>
          <w:b/>
          <w:bCs/>
          <w:color w:val="000000"/>
        </w:rPr>
        <w:t>register the opportunity in the CRM immediately</w:t>
      </w:r>
      <w:r w:rsidRPr="002E60A2">
        <w:rPr>
          <w:rFonts w:ascii="Calibri" w:hAnsi="Calibri" w:cs="Calibri"/>
          <w:color w:val="000000"/>
        </w:rPr>
        <w:t>.</w:t>
      </w:r>
    </w:p>
    <w:p w14:paraId="17653A00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 xml:space="preserve"> will determine ownership based on the existing relationship, territory, previous CRM activity, source of the opportunity, and the company's best interests.</w:t>
      </w:r>
    </w:p>
    <w:p w14:paraId="216ED091" w14:textId="77777777" w:rsidR="002E60A2" w:rsidRPr="002E60A2" w:rsidRDefault="002E60A2" w:rsidP="002E60A2">
      <w:pPr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A territory assignment should </w:t>
      </w:r>
      <w:r w:rsidRPr="002E60A2">
        <w:rPr>
          <w:rFonts w:ascii="Calibri" w:hAnsi="Calibri" w:cs="Calibri"/>
          <w:b/>
          <w:bCs/>
          <w:color w:val="000000"/>
        </w:rPr>
        <w:t>not be used to take an established, documented opportunity away from the representative who created and developed it.</w:t>
      </w:r>
      <w:r w:rsidRPr="002E60A2">
        <w:rPr>
          <w:rFonts w:ascii="Calibri" w:hAnsi="Calibri" w:cs="Calibri"/>
          <w:color w:val="000000"/>
        </w:rPr>
        <w:t xml:space="preserve"> When both the originating representative and territory Primary have meaningful roles, </w:t>
      </w: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 xml:space="preserve"> may establish an appropriate commission split.</w:t>
      </w:r>
    </w:p>
    <w:p w14:paraId="37A448BD" w14:textId="77777777" w:rsidR="002E60A2" w:rsidRDefault="002E60A2" w:rsidP="002E60A2">
      <w:pPr>
        <w:contextualSpacing/>
        <w:outlineLvl w:val="2"/>
        <w:rPr>
          <w:rFonts w:ascii="Calibri" w:hAnsi="Calibri" w:cs="Calibri"/>
          <w:b/>
          <w:bCs/>
          <w:color w:val="000000"/>
        </w:rPr>
      </w:pPr>
    </w:p>
    <w:p w14:paraId="334417DA" w14:textId="3DD536CE" w:rsidR="002E60A2" w:rsidRPr="002E60A2" w:rsidRDefault="002E60A2" w:rsidP="002E60A2">
      <w:pPr>
        <w:contextualSpacing/>
        <w:outlineLvl w:val="2"/>
        <w:rPr>
          <w:rFonts w:ascii="Calibri" w:hAnsi="Calibri" w:cs="Calibri"/>
          <w:b/>
          <w:bCs/>
          <w:color w:val="0070C0"/>
          <w:u w:val="single"/>
        </w:rPr>
      </w:pPr>
      <w:r w:rsidRPr="002E60A2">
        <w:rPr>
          <w:rFonts w:ascii="Calibri" w:hAnsi="Calibri" w:cs="Calibri"/>
          <w:b/>
          <w:bCs/>
          <w:color w:val="0070C0"/>
          <w:u w:val="single"/>
        </w:rPr>
        <w:t>Conferences &amp; Event Leads</w:t>
      </w:r>
    </w:p>
    <w:p w14:paraId="6B4AC4FD" w14:textId="6A343A00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>Conference attendance does </w:t>
      </w:r>
      <w:r w:rsidRPr="002E60A2">
        <w:rPr>
          <w:rFonts w:ascii="Calibri" w:hAnsi="Calibri" w:cs="Calibri"/>
          <w:b/>
          <w:bCs/>
          <w:color w:val="000000"/>
        </w:rPr>
        <w:t>not automatically establish ownership of every lead generated at the event</w:t>
      </w:r>
      <w:r w:rsidRPr="002E60A2">
        <w:rPr>
          <w:rFonts w:ascii="Calibri" w:hAnsi="Calibri" w:cs="Calibri"/>
          <w:color w:val="000000"/>
        </w:rPr>
        <w:t>.</w:t>
      </w:r>
      <w:r>
        <w:rPr>
          <w:rFonts w:ascii="Calibri" w:hAnsi="Calibri" w:cs="Calibri"/>
          <w:color w:val="000000"/>
        </w:rPr>
        <w:t xml:space="preserve"> </w:t>
      </w:r>
      <w:r w:rsidRPr="002E60A2">
        <w:rPr>
          <w:rFonts w:ascii="Calibri" w:hAnsi="Calibri" w:cs="Calibri"/>
          <w:color w:val="000000"/>
        </w:rPr>
        <w:t xml:space="preserve">Leads should generally be routed according to the prospect's geographic territory. For example, if representatives attend a national conference together and meet agencies from several states, </w:t>
      </w:r>
      <w:r>
        <w:rPr>
          <w:rFonts w:ascii="Calibri" w:hAnsi="Calibri" w:cs="Calibri"/>
          <w:color w:val="000000"/>
        </w:rPr>
        <w:t xml:space="preserve">route </w:t>
      </w:r>
      <w:r w:rsidRPr="002E60A2">
        <w:rPr>
          <w:rFonts w:ascii="Calibri" w:hAnsi="Calibri" w:cs="Calibri"/>
          <w:color w:val="000000"/>
        </w:rPr>
        <w:t>those opportunities to the respective territory Primaries.</w:t>
      </w:r>
    </w:p>
    <w:p w14:paraId="2E741FEA" w14:textId="77777777" w:rsidR="002E60A2" w:rsidRPr="002E60A2" w:rsidRDefault="002E60A2" w:rsidP="002E60A2">
      <w:pPr>
        <w:ind w:firstLine="720"/>
        <w:contextualSpacing/>
        <w:rPr>
          <w:rFonts w:ascii="Calibri" w:hAnsi="Calibri" w:cs="Calibri"/>
          <w:color w:val="000000"/>
        </w:rPr>
      </w:pPr>
      <w:r w:rsidRPr="002E60A2">
        <w:rPr>
          <w:rFonts w:ascii="Calibri" w:hAnsi="Calibri" w:cs="Calibri"/>
          <w:color w:val="000000"/>
        </w:rPr>
        <w:t xml:space="preserve">However, when a representative develops a substantive relationship at the conference and continues to play a meaningful role in the resulting sales process, </w:t>
      </w:r>
      <w:proofErr w:type="spellStart"/>
      <w:r w:rsidRPr="002E60A2">
        <w:rPr>
          <w:rFonts w:ascii="Calibri" w:hAnsi="Calibri" w:cs="Calibri"/>
          <w:color w:val="000000"/>
        </w:rPr>
        <w:t>NexCort</w:t>
      </w:r>
      <w:proofErr w:type="spellEnd"/>
      <w:r w:rsidRPr="002E60A2">
        <w:rPr>
          <w:rFonts w:ascii="Calibri" w:hAnsi="Calibri" w:cs="Calibri"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color w:val="000000"/>
        </w:rPr>
        <w:t>iQ</w:t>
      </w:r>
      <w:proofErr w:type="spellEnd"/>
      <w:r w:rsidRPr="002E60A2">
        <w:rPr>
          <w:rFonts w:ascii="Calibri" w:hAnsi="Calibri" w:cs="Calibri"/>
          <w:color w:val="000000"/>
        </w:rPr>
        <w:t xml:space="preserve"> may establish a commission-sharing arrangement between that representative and the territory Primary.</w:t>
      </w:r>
    </w:p>
    <w:p w14:paraId="1436CB5A" w14:textId="77777777" w:rsidR="002E60A2" w:rsidRDefault="002E60A2" w:rsidP="002E60A2">
      <w:pPr>
        <w:contextualSpacing/>
        <w:rPr>
          <w:rFonts w:ascii="Calibri" w:hAnsi="Calibri" w:cs="Calibri"/>
          <w:b/>
          <w:bCs/>
          <w:color w:val="000000"/>
        </w:rPr>
      </w:pPr>
    </w:p>
    <w:p w14:paraId="37F90D2E" w14:textId="3FBED46D" w:rsidR="002E60A2" w:rsidRPr="002E60A2" w:rsidRDefault="002E60A2" w:rsidP="002E60A2">
      <w:pPr>
        <w:contextualSpacing/>
        <w:rPr>
          <w:rFonts w:ascii="Calibri" w:hAnsi="Calibri" w:cs="Calibri"/>
          <w:color w:val="000000"/>
        </w:rPr>
      </w:pPr>
      <w:r>
        <w:rPr>
          <w:rFonts w:ascii="Calibri" w:hAnsi="Calibri" w:cs="Calibri"/>
          <w:b/>
          <w:bCs/>
          <w:color w:val="0070C0"/>
          <w:u w:val="single"/>
        </w:rPr>
        <w:t>To Sum it Up</w:t>
      </w:r>
      <w:r w:rsidRPr="002E60A2">
        <w:rPr>
          <w:rFonts w:ascii="Calibri" w:hAnsi="Calibri" w:cs="Calibri"/>
          <w:b/>
          <w:bCs/>
          <w:color w:val="0070C0"/>
          <w:u w:val="single"/>
        </w:rPr>
        <w:t>:</w:t>
      </w:r>
      <w:r w:rsidRPr="002E60A2">
        <w:rPr>
          <w:rFonts w:ascii="Calibri" w:hAnsi="Calibri" w:cs="Calibri"/>
          <w:color w:val="0070C0"/>
          <w:u w:val="single"/>
        </w:rPr>
        <w:br/>
      </w:r>
      <w:r w:rsidRPr="002E60A2">
        <w:rPr>
          <w:rFonts w:ascii="Calibri" w:hAnsi="Calibri" w:cs="Calibri"/>
          <w:b/>
          <w:bCs/>
          <w:color w:val="EE0000"/>
        </w:rPr>
        <w:t>Primary</w:t>
      </w:r>
      <w:r w:rsidRPr="002E60A2">
        <w:rPr>
          <w:rFonts w:ascii="Calibri" w:hAnsi="Calibri" w:cs="Calibri"/>
          <w:b/>
          <w:bCs/>
          <w:color w:val="000000"/>
        </w:rPr>
        <w:t xml:space="preserve"> = territory owner and first recipient of company-generated opportunities.</w:t>
      </w:r>
      <w:r w:rsidRPr="002E60A2">
        <w:rPr>
          <w:rFonts w:ascii="Calibri" w:hAnsi="Calibri" w:cs="Calibri"/>
          <w:color w:val="000000"/>
        </w:rPr>
        <w:br/>
      </w:r>
      <w:r w:rsidRPr="002E60A2">
        <w:rPr>
          <w:rFonts w:ascii="Calibri" w:hAnsi="Calibri" w:cs="Calibri"/>
          <w:b/>
          <w:bCs/>
          <w:color w:val="000000"/>
        </w:rPr>
        <w:t>Secondary = designated backup/support and first option for coverage.</w:t>
      </w:r>
      <w:r w:rsidRPr="002E60A2">
        <w:rPr>
          <w:rFonts w:ascii="Calibri" w:hAnsi="Calibri" w:cs="Calibri"/>
          <w:color w:val="000000"/>
        </w:rPr>
        <w:br/>
      </w:r>
      <w:r w:rsidRPr="002E60A2">
        <w:rPr>
          <w:rFonts w:ascii="Calibri" w:hAnsi="Calibri" w:cs="Calibri"/>
          <w:b/>
          <w:bCs/>
          <w:color w:val="0070C0"/>
        </w:rPr>
        <w:t xml:space="preserve">Commission sharing </w:t>
      </w:r>
      <w:r w:rsidRPr="002E60A2">
        <w:rPr>
          <w:rFonts w:ascii="Calibri" w:hAnsi="Calibri" w:cs="Calibri"/>
          <w:b/>
          <w:bCs/>
          <w:color w:val="000000"/>
        </w:rPr>
        <w:t xml:space="preserve">= based on meaningful contribution, not simply the Primary/Secondary designation, and must be approved by </w:t>
      </w:r>
      <w:proofErr w:type="spellStart"/>
      <w:r w:rsidRPr="002E60A2">
        <w:rPr>
          <w:rFonts w:ascii="Calibri" w:hAnsi="Calibri" w:cs="Calibri"/>
          <w:b/>
          <w:bCs/>
          <w:color w:val="000000"/>
        </w:rPr>
        <w:t>NexCort</w:t>
      </w:r>
      <w:proofErr w:type="spellEnd"/>
      <w:r w:rsidRPr="002E60A2">
        <w:rPr>
          <w:rFonts w:ascii="Calibri" w:hAnsi="Calibri" w:cs="Calibri"/>
          <w:b/>
          <w:bCs/>
          <w:color w:val="000000"/>
        </w:rPr>
        <w:t xml:space="preserve"> </w:t>
      </w:r>
      <w:proofErr w:type="spellStart"/>
      <w:r w:rsidRPr="002E60A2">
        <w:rPr>
          <w:rFonts w:ascii="Calibri" w:hAnsi="Calibri" w:cs="Calibri"/>
          <w:b/>
          <w:bCs/>
          <w:color w:val="000000"/>
        </w:rPr>
        <w:t>iQ</w:t>
      </w:r>
      <w:proofErr w:type="spellEnd"/>
      <w:r w:rsidRPr="002E60A2">
        <w:rPr>
          <w:rFonts w:ascii="Calibri" w:hAnsi="Calibri" w:cs="Calibri"/>
          <w:b/>
          <w:bCs/>
          <w:color w:val="000000"/>
        </w:rPr>
        <w:t>.</w:t>
      </w:r>
    </w:p>
    <w:p w14:paraId="7C1C2A8E" w14:textId="7E89B722" w:rsidR="002013B1" w:rsidRDefault="002013B1" w:rsidP="002E60A2">
      <w:pPr>
        <w:contextualSpacing/>
        <w:rPr>
          <w:rFonts w:ascii="Calibri" w:hAnsi="Calibri" w:cs="Calibri"/>
        </w:rPr>
      </w:pPr>
    </w:p>
    <w:p w14:paraId="2BEDB891" w14:textId="77777777" w:rsidR="002E60A2" w:rsidRDefault="002E60A2" w:rsidP="002E60A2">
      <w:pPr>
        <w:contextualSpacing/>
        <w:rPr>
          <w:rFonts w:ascii="Calibri" w:hAnsi="Calibri" w:cs="Calibri"/>
        </w:rPr>
      </w:pPr>
    </w:p>
    <w:p w14:paraId="5D348BFF" w14:textId="77777777" w:rsidR="002E60A2" w:rsidRDefault="002E60A2" w:rsidP="002E60A2">
      <w:pPr>
        <w:contextualSpacing/>
        <w:rPr>
          <w:rFonts w:ascii="Calibri" w:hAnsi="Calibri" w:cs="Calibri"/>
        </w:rPr>
      </w:pPr>
    </w:p>
    <w:p w14:paraId="71C42464" w14:textId="1288DF0C" w:rsidR="002E60A2" w:rsidRPr="002013B1" w:rsidRDefault="002E60A2" w:rsidP="002E60A2">
      <w:pPr>
        <w:contextualSpacing/>
        <w:rPr>
          <w:rFonts w:ascii="Calibri" w:hAnsi="Calibri" w:cs="Calibri"/>
        </w:rPr>
      </w:pPr>
      <w:r>
        <w:rPr>
          <w:rFonts w:ascii="Calibri" w:hAnsi="Calibri" w:cs="Calibri"/>
        </w:rPr>
        <w:t>Jeffrey W. Coleman</w:t>
      </w:r>
      <w:r>
        <w:rPr>
          <w:rFonts w:ascii="Calibri" w:hAnsi="Calibri" w:cs="Calibri"/>
        </w:rPr>
        <w:br/>
        <w:t>10/3/2026</w:t>
      </w:r>
    </w:p>
    <w:sectPr w:rsidR="002E60A2" w:rsidRPr="002013B1" w:rsidSect="00395F33">
      <w:headerReference w:type="default" r:id="rId7"/>
      <w:pgSz w:w="12240" w:h="15840"/>
      <w:pgMar w:top="1440" w:right="1584" w:bottom="1440" w:left="1584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DD45173" w14:textId="77777777" w:rsidR="00746DC1" w:rsidRDefault="00746DC1" w:rsidP="00395F33">
      <w:r>
        <w:separator/>
      </w:r>
    </w:p>
  </w:endnote>
  <w:endnote w:type="continuationSeparator" w:id="0">
    <w:p w14:paraId="6C5977F6" w14:textId="77777777" w:rsidR="00746DC1" w:rsidRDefault="00746DC1" w:rsidP="00395F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0D9AF7" w14:textId="77777777" w:rsidR="00746DC1" w:rsidRDefault="00746DC1" w:rsidP="00395F33">
      <w:r>
        <w:separator/>
      </w:r>
    </w:p>
  </w:footnote>
  <w:footnote w:type="continuationSeparator" w:id="0">
    <w:p w14:paraId="79C11672" w14:textId="77777777" w:rsidR="00746DC1" w:rsidRDefault="00746DC1" w:rsidP="00395F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181DDEB" w14:textId="140ACB59" w:rsidR="00395F33" w:rsidRDefault="00395F33" w:rsidP="00395F33">
    <w:pPr>
      <w:jc w:val="center"/>
    </w:pPr>
    <w:r>
      <w:rPr>
        <w:rFonts w:ascii="Calibri" w:eastAsia="Calibri" w:hAnsi="Calibri" w:cs="Calibri"/>
        <w:b/>
        <w:bCs/>
        <w:color w:val="0D2657"/>
        <w:sz w:val="52"/>
        <w:szCs w:val="52"/>
      </w:rPr>
      <w:t>NEXCORT</w:t>
    </w:r>
    <w:r>
      <w:rPr>
        <w:rFonts w:ascii="Calibri" w:eastAsia="Calibri" w:hAnsi="Calibri" w:cs="Calibri"/>
        <w:b/>
        <w:bCs/>
        <w:color w:val="CC1B2B"/>
        <w:sz w:val="52"/>
        <w:szCs w:val="52"/>
      </w:rPr>
      <w:t xml:space="preserve"> </w:t>
    </w:r>
    <w:proofErr w:type="spellStart"/>
    <w:r>
      <w:rPr>
        <w:rFonts w:ascii="Calibri" w:eastAsia="Calibri" w:hAnsi="Calibri" w:cs="Calibri"/>
        <w:b/>
        <w:bCs/>
        <w:color w:val="CC1B2B"/>
        <w:sz w:val="52"/>
        <w:szCs w:val="52"/>
      </w:rPr>
      <w:t>iQ</w:t>
    </w:r>
    <w:proofErr w:type="spellEnd"/>
    <w:r>
      <w:rPr>
        <w:rFonts w:ascii="Calibri" w:eastAsia="Calibri" w:hAnsi="Calibri" w:cs="Calibri"/>
        <w:color w:val="0D2657"/>
        <w:sz w:val="30"/>
        <w:szCs w:val="30"/>
      </w:rPr>
      <w:t>™</w:t>
    </w:r>
  </w:p>
  <w:p w14:paraId="6E2B3F9C" w14:textId="77777777" w:rsidR="00395F33" w:rsidRDefault="00395F33" w:rsidP="00395F33">
    <w:pPr>
      <w:jc w:val="center"/>
    </w:pPr>
    <w:r>
      <w:rPr>
        <w:rFonts w:ascii="Calibri" w:eastAsia="Calibri" w:hAnsi="Calibri" w:cs="Calibri"/>
        <w:i/>
        <w:iCs/>
        <w:color w:val="6B7280"/>
        <w:sz w:val="19"/>
        <w:szCs w:val="19"/>
      </w:rPr>
      <w:t>Intelligence at the speed of response.</w:t>
    </w:r>
  </w:p>
  <w:p w14:paraId="7CB4BE98" w14:textId="07A6B612" w:rsidR="00395F33" w:rsidRDefault="00395F33" w:rsidP="00395F33">
    <w:pPr>
      <w:pBdr>
        <w:bottom w:val="single" w:sz="6" w:space="1" w:color="C0C6D4"/>
      </w:pBdr>
      <w:spacing w:before="80"/>
      <w:jc w:val="center"/>
    </w:pPr>
    <w:r>
      <w:rPr>
        <w:rFonts w:ascii="Calibri" w:eastAsia="Calibri" w:hAnsi="Calibri" w:cs="Calibri"/>
        <w:color w:val="C0C6D4"/>
        <w:sz w:val="17"/>
        <w:szCs w:val="17"/>
      </w:rPr>
      <w:t xml:space="preserve">Apps on Demand </w:t>
    </w:r>
    <w:proofErr w:type="gramStart"/>
    <w:r>
      <w:rPr>
        <w:rFonts w:ascii="Calibri" w:eastAsia="Calibri" w:hAnsi="Calibri" w:cs="Calibri"/>
        <w:color w:val="C0C6D4"/>
        <w:sz w:val="17"/>
        <w:szCs w:val="17"/>
      </w:rPr>
      <w:t>LLC  |</w:t>
    </w:r>
    <w:proofErr w:type="gramEnd"/>
    <w:r>
      <w:rPr>
        <w:rFonts w:ascii="Calibri" w:eastAsia="Calibri" w:hAnsi="Calibri" w:cs="Calibri"/>
        <w:color w:val="C0C6D4"/>
        <w:sz w:val="17"/>
        <w:szCs w:val="17"/>
      </w:rPr>
      <w:t xml:space="preserve">  Confidential</w:t>
    </w:r>
  </w:p>
  <w:p w14:paraId="0C342934" w14:textId="39872F1A" w:rsidR="00395F33" w:rsidRDefault="00395F33" w:rsidP="00395F33">
    <w:pPr>
      <w:spacing w:before="40"/>
      <w:jc w:val="center"/>
    </w:pPr>
    <w:r>
      <w:rPr>
        <w:rFonts w:ascii="Calibri" w:eastAsia="Calibri" w:hAnsi="Calibri" w:cs="Calibri"/>
        <w:b/>
        <w:bCs/>
        <w:color w:val="0D2657"/>
        <w:sz w:val="32"/>
        <w:szCs w:val="32"/>
      </w:rPr>
      <w:t xml:space="preserve">Independent Sales Contractor </w:t>
    </w:r>
    <w:r w:rsidR="00C73F98">
      <w:rPr>
        <w:rFonts w:ascii="Calibri" w:eastAsia="Calibri" w:hAnsi="Calibri" w:cs="Calibri"/>
        <w:b/>
        <w:bCs/>
        <w:color w:val="0D2657"/>
        <w:sz w:val="32"/>
        <w:szCs w:val="32"/>
      </w:rPr>
      <w:t>Zones</w:t>
    </w:r>
  </w:p>
  <w:p w14:paraId="34279CFB" w14:textId="77777777" w:rsidR="00395F33" w:rsidRDefault="00395F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FC06E0"/>
    <w:multiLevelType w:val="hybridMultilevel"/>
    <w:tmpl w:val="D6343748"/>
    <w:lvl w:ilvl="0" w:tplc="48929D0A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sz w:val="20"/>
        <w:szCs w:val="20"/>
      </w:rPr>
    </w:lvl>
    <w:lvl w:ilvl="1" w:tplc="0F5A5A78">
      <w:start w:val="1"/>
      <w:numFmt w:val="bullet"/>
      <w:lvlText w:val="◦"/>
      <w:lvlJc w:val="left"/>
      <w:pPr>
        <w:ind w:left="1080" w:hanging="360"/>
      </w:pPr>
      <w:rPr>
        <w:rFonts w:ascii="Courier New" w:eastAsia="Courier New" w:hAnsi="Courier New" w:cs="Courier New"/>
        <w:sz w:val="20"/>
        <w:szCs w:val="20"/>
      </w:rPr>
    </w:lvl>
    <w:lvl w:ilvl="2" w:tplc="1434571C">
      <w:numFmt w:val="decimal"/>
      <w:lvlText w:val=""/>
      <w:lvlJc w:val="left"/>
    </w:lvl>
    <w:lvl w:ilvl="3" w:tplc="5004006A">
      <w:numFmt w:val="decimal"/>
      <w:lvlText w:val=""/>
      <w:lvlJc w:val="left"/>
    </w:lvl>
    <w:lvl w:ilvl="4" w:tplc="4C222740">
      <w:numFmt w:val="decimal"/>
      <w:lvlText w:val=""/>
      <w:lvlJc w:val="left"/>
    </w:lvl>
    <w:lvl w:ilvl="5" w:tplc="0FD6C03A">
      <w:numFmt w:val="decimal"/>
      <w:lvlText w:val=""/>
      <w:lvlJc w:val="left"/>
    </w:lvl>
    <w:lvl w:ilvl="6" w:tplc="EC32CE30">
      <w:numFmt w:val="decimal"/>
      <w:lvlText w:val=""/>
      <w:lvlJc w:val="left"/>
    </w:lvl>
    <w:lvl w:ilvl="7" w:tplc="7D50069C">
      <w:numFmt w:val="decimal"/>
      <w:lvlText w:val=""/>
      <w:lvlJc w:val="left"/>
    </w:lvl>
    <w:lvl w:ilvl="8" w:tplc="D1B243AC">
      <w:numFmt w:val="decimal"/>
      <w:lvlText w:val=""/>
      <w:lvlJc w:val="left"/>
    </w:lvl>
  </w:abstractNum>
  <w:abstractNum w:abstractNumId="1" w15:restartNumberingAfterBreak="0">
    <w:nsid w:val="62866963"/>
    <w:multiLevelType w:val="hybridMultilevel"/>
    <w:tmpl w:val="A1363506"/>
    <w:lvl w:ilvl="0" w:tplc="AB5A1406">
      <w:start w:val="1"/>
      <w:numFmt w:val="bullet"/>
      <w:lvlText w:val="●"/>
      <w:lvlJc w:val="left"/>
      <w:pPr>
        <w:ind w:left="720" w:hanging="360"/>
      </w:pPr>
    </w:lvl>
    <w:lvl w:ilvl="1" w:tplc="AD2273EA">
      <w:start w:val="1"/>
      <w:numFmt w:val="bullet"/>
      <w:lvlText w:val="○"/>
      <w:lvlJc w:val="left"/>
      <w:pPr>
        <w:ind w:left="1440" w:hanging="360"/>
      </w:pPr>
    </w:lvl>
    <w:lvl w:ilvl="2" w:tplc="49B4076E">
      <w:start w:val="1"/>
      <w:numFmt w:val="bullet"/>
      <w:lvlText w:val="■"/>
      <w:lvlJc w:val="left"/>
      <w:pPr>
        <w:ind w:left="2160" w:hanging="360"/>
      </w:pPr>
    </w:lvl>
    <w:lvl w:ilvl="3" w:tplc="451A840E">
      <w:start w:val="1"/>
      <w:numFmt w:val="bullet"/>
      <w:lvlText w:val="●"/>
      <w:lvlJc w:val="left"/>
      <w:pPr>
        <w:ind w:left="2880" w:hanging="360"/>
      </w:pPr>
    </w:lvl>
    <w:lvl w:ilvl="4" w:tplc="70D65E70">
      <w:start w:val="1"/>
      <w:numFmt w:val="bullet"/>
      <w:lvlText w:val="○"/>
      <w:lvlJc w:val="left"/>
      <w:pPr>
        <w:ind w:left="3600" w:hanging="360"/>
      </w:pPr>
    </w:lvl>
    <w:lvl w:ilvl="5" w:tplc="766EF9FC">
      <w:start w:val="1"/>
      <w:numFmt w:val="bullet"/>
      <w:lvlText w:val="■"/>
      <w:lvlJc w:val="left"/>
      <w:pPr>
        <w:ind w:left="4320" w:hanging="360"/>
      </w:pPr>
    </w:lvl>
    <w:lvl w:ilvl="6" w:tplc="C16CC21A">
      <w:start w:val="1"/>
      <w:numFmt w:val="bullet"/>
      <w:lvlText w:val="●"/>
      <w:lvlJc w:val="left"/>
      <w:pPr>
        <w:ind w:left="5040" w:hanging="360"/>
      </w:pPr>
    </w:lvl>
    <w:lvl w:ilvl="7" w:tplc="09426D5A">
      <w:start w:val="1"/>
      <w:numFmt w:val="bullet"/>
      <w:lvlText w:val="●"/>
      <w:lvlJc w:val="left"/>
      <w:pPr>
        <w:ind w:left="5760" w:hanging="360"/>
      </w:pPr>
    </w:lvl>
    <w:lvl w:ilvl="8" w:tplc="94AE6026">
      <w:start w:val="1"/>
      <w:numFmt w:val="bullet"/>
      <w:lvlText w:val="●"/>
      <w:lvlJc w:val="left"/>
      <w:pPr>
        <w:ind w:left="6480" w:hanging="360"/>
      </w:pPr>
    </w:lvl>
  </w:abstractNum>
  <w:num w:numId="1" w16cid:durableId="13761950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0BAF"/>
    <w:rsid w:val="00073912"/>
    <w:rsid w:val="00130BAF"/>
    <w:rsid w:val="002013B1"/>
    <w:rsid w:val="002E60A2"/>
    <w:rsid w:val="00395F33"/>
    <w:rsid w:val="00413111"/>
    <w:rsid w:val="004945EE"/>
    <w:rsid w:val="005C130F"/>
    <w:rsid w:val="00746DC1"/>
    <w:rsid w:val="008431C6"/>
    <w:rsid w:val="008A2AB9"/>
    <w:rsid w:val="00987755"/>
    <w:rsid w:val="009A5638"/>
    <w:rsid w:val="00BB5D0D"/>
    <w:rsid w:val="00BD69BE"/>
    <w:rsid w:val="00C06063"/>
    <w:rsid w:val="00C43D9D"/>
    <w:rsid w:val="00C73F98"/>
    <w:rsid w:val="00D3159D"/>
    <w:rsid w:val="00D32FE2"/>
    <w:rsid w:val="00E07783"/>
    <w:rsid w:val="00E7658F"/>
    <w:rsid w:val="00F60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B3CE"/>
  <w15:docId w15:val="{5E1571A4-A42F-5149-9922-728B4C9E2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link w:val="Heading3Char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5F3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F33"/>
  </w:style>
  <w:style w:type="paragraph" w:styleId="Footer">
    <w:name w:val="footer"/>
    <w:basedOn w:val="Normal"/>
    <w:link w:val="FooterChar"/>
    <w:uiPriority w:val="99"/>
    <w:unhideWhenUsed/>
    <w:rsid w:val="00395F3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F33"/>
  </w:style>
  <w:style w:type="character" w:styleId="Strong">
    <w:name w:val="Strong"/>
    <w:basedOn w:val="DefaultParagraphFont"/>
    <w:uiPriority w:val="22"/>
    <w:qFormat/>
    <w:rsid w:val="008431C6"/>
    <w:rPr>
      <w:b/>
      <w:bCs/>
    </w:rPr>
  </w:style>
  <w:style w:type="character" w:customStyle="1" w:styleId="apple-converted-space">
    <w:name w:val="apple-converted-space"/>
    <w:basedOn w:val="DefaultParagraphFont"/>
    <w:rsid w:val="008431C6"/>
  </w:style>
  <w:style w:type="paragraph" w:styleId="NormalWeb">
    <w:name w:val="Normal (Web)"/>
    <w:basedOn w:val="Normal"/>
    <w:uiPriority w:val="99"/>
    <w:semiHidden/>
    <w:unhideWhenUsed/>
    <w:rsid w:val="002013B1"/>
    <w:pPr>
      <w:spacing w:before="100" w:beforeAutospacing="1" w:after="100" w:afterAutospacing="1"/>
    </w:pPr>
    <w:rPr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2E60A2"/>
    <w:rPr>
      <w:color w:val="1F4D78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791</Words>
  <Characters>4510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J.W. Coleman</cp:lastModifiedBy>
  <cp:revision>3</cp:revision>
  <dcterms:created xsi:type="dcterms:W3CDTF">2026-10-05T00:46:00Z</dcterms:created>
  <dcterms:modified xsi:type="dcterms:W3CDTF">2026-10-05T01:00:00Z</dcterms:modified>
</cp:coreProperties>
</file>