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 ayrılmayacak. </w:t>
      </w:r>
      <w:r w:rsidDel="00000000" w:rsidR="00000000" w:rsidRPr="00000000">
        <w:rPr>
          <w:rtl w:val="0"/>
        </w:rPr>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Çıkarılacak tablo yok. </w:t>
      </w:r>
    </w:p>
    <w:p w:rsidR="00000000" w:rsidDel="00000000" w:rsidP="00000000" w:rsidRDefault="00000000" w:rsidRPr="00000000" w14:paraId="00000005">
      <w:pPr>
        <w:widowControl w:val="0"/>
        <w:spacing w:line="276" w:lineRule="auto"/>
        <w:rPr>
          <w:b w:val="1"/>
          <w:bCs w:val="1"/>
          <w:sz w:val="24"/>
          <w:szCs w:val="24"/>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widowControl w:val="0"/>
        <w:spacing w:line="302"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widowControl w:val="0"/>
        <w:spacing w:line="302" w:lineRule="auto"/>
        <w:jc w:val="center"/>
        <w:rPr>
          <w:b w:val="1"/>
          <w:bCs w:val="1"/>
          <w:sz w:val="24"/>
          <w:szCs w:val="24"/>
        </w:rPr>
      </w:pPr>
      <w:r w:rsidDel="00000000" w:rsidR="00000000" w:rsidRPr="00000000">
        <w:rPr>
          <w:rtl w:val="0"/>
        </w:rPr>
      </w:r>
    </w:p>
    <w:bookmarkStart w:colFirst="0" w:colLast="0" w:name="bookmark=id.vhmxnarx17fx" w:id="0"/>
    <w:bookmarkEnd w:id="0"/>
    <w:p w:rsidR="00000000" w:rsidDel="00000000" w:rsidP="00000000" w:rsidRDefault="00000000" w:rsidRPr="00000000" w14:paraId="00000008">
      <w:pPr>
        <w:widowControl w:val="0"/>
        <w:spacing w:line="302" w:lineRule="auto"/>
        <w:jc w:val="center"/>
        <w:rPr>
          <w:b w:val="0"/>
          <w:bCs w:val="0"/>
          <w:sz w:val="24"/>
          <w:szCs w:val="24"/>
          <w:vertAlign w:val="baseline"/>
        </w:rPr>
      </w:pPr>
      <w:r w:rsidDel="00000000" w:rsidR="00000000" w:rsidRPr="00000000">
        <w:rPr>
          <w:b w:val="1"/>
          <w:bCs w:val="1"/>
          <w:sz w:val="24"/>
          <w:szCs w:val="24"/>
          <w:vertAlign w:val="baseline"/>
          <w:rtl w:val="0"/>
        </w:rPr>
        <w:t xml:space="preserve">Asayişe Müessir Bazı Fiillerin Önlenmesi Hakkında Kanun</w:t>
      </w:r>
      <w:r w:rsidDel="00000000" w:rsidR="00000000" w:rsidRPr="00000000">
        <w:rPr>
          <w:rtl w:val="0"/>
        </w:rPr>
      </w:r>
    </w:p>
    <w:p w:rsidR="00000000" w:rsidDel="00000000" w:rsidP="00000000" w:rsidRDefault="00000000" w:rsidRPr="00000000" w14:paraId="00000009">
      <w:pPr>
        <w:widowControl w:val="0"/>
        <w:tabs>
          <w:tab w:val="left" w:leader="none" w:pos="3686"/>
          <w:tab w:val="left" w:leader="none" w:pos="4536"/>
          <w:tab w:val="left" w:leader="none" w:pos="4678"/>
          <w:tab w:val="left" w:leader="none" w:pos="6096"/>
          <w:tab w:val="left" w:leader="none" w:pos="6663"/>
          <w:tab w:val="left" w:leader="none" w:pos="7797"/>
          <w:tab w:val="right" w:leader="none" w:pos="9070"/>
        </w:tabs>
        <w:spacing w:line="302" w:lineRule="auto"/>
        <w:ind w:left="0" w:firstLine="0"/>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0A">
      <w:pPr>
        <w:widowControl w:val="0"/>
        <w:spacing w:line="302" w:lineRule="auto"/>
        <w:jc w:val="center"/>
        <w:rPr>
          <w:sz w:val="24"/>
          <w:szCs w:val="24"/>
          <w:vertAlign w:val="baseline"/>
        </w:rPr>
      </w:pPr>
      <w:r w:rsidDel="00000000" w:rsidR="00000000" w:rsidRPr="00000000">
        <w:rPr>
          <w:rtl w:val="0"/>
        </w:rPr>
      </w:r>
    </w:p>
    <w:p w:rsidR="00000000" w:rsidDel="00000000" w:rsidP="00000000" w:rsidRDefault="00000000" w:rsidRPr="00000000" w14:paraId="0000000B">
      <w:pPr>
        <w:widowControl w:val="0"/>
        <w:spacing w:line="302" w:lineRule="auto"/>
        <w:ind w:firstLine="709"/>
        <w:jc w:val="both"/>
        <w:rPr>
          <w:sz w:val="24"/>
          <w:szCs w:val="24"/>
          <w:vertAlign w:val="superscript"/>
        </w:rPr>
      </w:pPr>
      <w:r w:rsidDel="00000000" w:rsidR="00000000" w:rsidRPr="00000000">
        <w:rPr>
          <w:b w:val="1"/>
          <w:bCs w:val="1"/>
          <w:sz w:val="24"/>
          <w:szCs w:val="24"/>
          <w:vertAlign w:val="baseline"/>
          <w:rtl w:val="0"/>
        </w:rPr>
        <w:t xml:space="preserve">Madde 1 – </w:t>
      </w:r>
      <w:r w:rsidDel="00000000" w:rsidR="00000000" w:rsidRPr="00000000">
        <w:rPr>
          <w:sz w:val="24"/>
          <w:szCs w:val="24"/>
          <w:vertAlign w:val="baseline"/>
          <w:rtl w:val="0"/>
        </w:rPr>
        <w:t xml:space="preserve">Polis, jandarma ve sahil güvenlik, diğer kanunlarda yazılı yetkileri saklı kalmak üzere, aşağıda yazılı hallerde de silah kullanmaya yetkilidirler:</w:t>
      </w:r>
      <w:r w:rsidDel="00000000" w:rsidR="00000000" w:rsidRPr="00000000">
        <w:rPr>
          <w:sz w:val="24"/>
          <w:szCs w:val="24"/>
          <w:vertAlign w:val="superscript"/>
        </w:rPr>
        <w:footnoteReference w:customMarkFollows="0" w:id="0"/>
      </w:r>
      <w:r w:rsidDel="00000000" w:rsidR="00000000" w:rsidRPr="00000000">
        <w:rPr>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0C">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A) 2559 sayılı Polis Vazife ve Salahiyet Kanununun 16 ncı maddesinde yazılı hallerde,</w:t>
      </w:r>
    </w:p>
    <w:p w:rsidR="00000000" w:rsidDel="00000000" w:rsidP="00000000" w:rsidRDefault="00000000" w:rsidRPr="00000000" w14:paraId="0000000D">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B) (A) bendindeki yetkiler saklı kalmak üzere, ağırlaştırılmış müebbet ağır hapis veya ağır hapis cezasını gerektiren suçlardan bir veya birkaçını işlemekten sanık veya hükümlü olup da haklarında tevkif veya yakalama müzekkeresi çıkarılan ve silahlı dolaşarak emniyet ve asayişi tek başına veya toplu olarak fiilen tehdit ve ihlal ettikleri anlaşılanlardan, teslim olmaları için İçişleri Bakanlığınca tesbit edilen tarihte başlamak üzere 10 günden az ve 30 günden çok olmamak şartiyle verilecek mühlet ile ad, san ve eylemleri de belirtilerek sanık veya hükümlünün dolaştığı bölgelerde mutat vasıtalarla ve uygun görülen yayın organlariyle radyo ve televizyonla da ilan edilenlerin belirtilen süre sonuna kadar adli makamlara, zabıtaya veya herhangi bir resmi mercie teslim olmamaları hallerinde.</w:t>
      </w:r>
      <w:r w:rsidDel="00000000" w:rsidR="00000000" w:rsidRPr="00000000">
        <w:rPr>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0E">
      <w:pPr>
        <w:widowControl w:val="0"/>
        <w:spacing w:line="30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0F">
      <w:pPr>
        <w:widowControl w:val="0"/>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2 – </w:t>
      </w:r>
      <w:r w:rsidDel="00000000" w:rsidR="00000000" w:rsidRPr="00000000">
        <w:rPr>
          <w:sz w:val="24"/>
          <w:szCs w:val="24"/>
          <w:vertAlign w:val="baseline"/>
          <w:rtl w:val="0"/>
        </w:rPr>
        <w:t xml:space="preserve">Birinci maddenin (B) bendinde sayılan hallerde:</w:t>
      </w:r>
    </w:p>
    <w:p w:rsidR="00000000" w:rsidDel="00000000" w:rsidP="00000000" w:rsidRDefault="00000000" w:rsidRPr="00000000" w14:paraId="00000010">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a. Sanık veya hükümlünün teslim olması için yapılan (Teslim ol) ihtarından sonra,</w:t>
      </w:r>
    </w:p>
    <w:p w:rsidR="00000000" w:rsidDel="00000000" w:rsidP="00000000" w:rsidRDefault="00000000" w:rsidRPr="00000000" w14:paraId="00000011">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b. Polis, jandarma veya sahil güvenliğe karşı silah kullanmaya filhal teşebbüs etmeleri halinde ise ihtara lüzum olmaksızın,</w:t>
      </w:r>
      <w:r w:rsidDel="00000000" w:rsidR="00000000" w:rsidRPr="00000000">
        <w:rPr>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12">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Silah kullanılır.</w:t>
      </w:r>
    </w:p>
    <w:p w:rsidR="00000000" w:rsidDel="00000000" w:rsidP="00000000" w:rsidRDefault="00000000" w:rsidRPr="00000000" w14:paraId="00000013">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Müsademe sırasında; sanık veya hükümlüye müsademede veya kaçmada yardımcı olanlar haklarında da birinci fıkra hükmü uygulanır.</w:t>
      </w:r>
    </w:p>
    <w:p w:rsidR="00000000" w:rsidDel="00000000" w:rsidP="00000000" w:rsidRDefault="00000000" w:rsidRPr="00000000" w14:paraId="00000014">
      <w:pPr>
        <w:widowControl w:val="0"/>
        <w:spacing w:line="302"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15">
      <w:pPr>
        <w:widowControl w:val="0"/>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3 – </w:t>
      </w:r>
      <w:r w:rsidDel="00000000" w:rsidR="00000000" w:rsidRPr="00000000">
        <w:rPr>
          <w:sz w:val="24"/>
          <w:szCs w:val="24"/>
          <w:vertAlign w:val="baseline"/>
          <w:rtl w:val="0"/>
        </w:rPr>
        <w:t xml:space="preserve">Bu kanun hükümleri dairesinde silah kullanan polis veya jandarma hakkında hazırlık soruşturması Cumhuriyet Savcıları veya yardımcıları tarafından bizzat yapılır. Dava açıldığında sanık duruşmadan vareste tutulabilir ve hakkında açığa alma, işten el çektirme işlemi uygulanmaz.</w:t>
      </w:r>
    </w:p>
    <w:p w:rsidR="00000000" w:rsidDel="00000000" w:rsidP="00000000" w:rsidRDefault="00000000" w:rsidRPr="00000000" w14:paraId="00000016">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4 – </w:t>
      </w:r>
      <w:r w:rsidDel="00000000" w:rsidR="00000000" w:rsidRPr="00000000">
        <w:rPr>
          <w:sz w:val="24"/>
          <w:szCs w:val="24"/>
          <w:vertAlign w:val="baseline"/>
          <w:rtl w:val="0"/>
        </w:rPr>
        <w:t xml:space="preserve">Her kim birinci maddenin (B) bendinde sayılan sanık veya hükümlüyü saklar veya silah, cephane temin eder veyahut bunların sağlanmasında yardımcı olursa, eylemi daha ağır bir cezayı gerektirmediği takdirde üç yıldan aşağı olmamak üzere ağır hapis cezasiyle cezalandırılır. Şu kadar ki, bu ceza müddeti asıl cürüm için kanunda tayin edilen cezanın yarısını geçemez.</w:t>
      </w:r>
    </w:p>
    <w:p w:rsidR="00000000" w:rsidDel="00000000" w:rsidP="00000000" w:rsidRDefault="00000000" w:rsidRPr="00000000" w14:paraId="00000017">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Bu fiili usul ve füruunun ve karı veya kocasının ve kardeşinin lehinde olarak işleyen kimse, asıl cürüm için kanunda tayin edilen cezanın dörtte birini geçmemek üzere cezalandırılır.</w:t>
      </w:r>
    </w:p>
    <w:p w:rsidR="00000000" w:rsidDel="00000000" w:rsidP="00000000" w:rsidRDefault="00000000" w:rsidRPr="00000000" w14:paraId="00000018">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Fiilin icrasında faillerle evvelce ittifak etmiş ve cürümü neticelendirmekte yardımı dokunmuş olmaksızın usul ve füruunu ve karı veya kocasını ve kardeşini saklayan kimseye ceza verilmez.</w:t>
      </w:r>
    </w:p>
    <w:p w:rsidR="00000000" w:rsidDel="00000000" w:rsidP="00000000" w:rsidRDefault="00000000" w:rsidRPr="00000000" w14:paraId="00000019">
      <w:pPr>
        <w:widowControl w:val="0"/>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1A">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5 – </w:t>
      </w:r>
      <w:r w:rsidDel="00000000" w:rsidR="00000000" w:rsidRPr="00000000">
        <w:rPr>
          <w:sz w:val="24"/>
          <w:szCs w:val="24"/>
          <w:vertAlign w:val="baseline"/>
          <w:rtl w:val="0"/>
        </w:rPr>
        <w:t xml:space="preserve">Birinci maddenin (B) bendinde yazılı ilanın başlangıcı ve ne suretle yapılacağı Adalet ve İçişleri Bakanlıklarınca 6 ay içinde müştereken düzenlenecek bir yönetmelikte gösterilir.</w:t>
      </w:r>
    </w:p>
    <w:p w:rsidR="00000000" w:rsidDel="00000000" w:rsidP="00000000" w:rsidRDefault="00000000" w:rsidRPr="00000000" w14:paraId="0000001B">
      <w:pPr>
        <w:widowControl w:val="0"/>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1C">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1 – (Ek: 17/6/1987 - 3387/1 md.)</w:t>
      </w:r>
      <w:r w:rsidDel="00000000" w:rsidR="00000000" w:rsidRPr="00000000">
        <w:rPr>
          <w:rtl w:val="0"/>
        </w:rPr>
      </w:r>
    </w:p>
    <w:p w:rsidR="00000000" w:rsidDel="00000000" w:rsidP="00000000" w:rsidRDefault="00000000" w:rsidRPr="00000000" w14:paraId="0000001D">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Devletin ülkesi ve milletiyle bölünmez bütünlüğünü bozmak, Türk Devletinin ve Cumhuriyetin varlığını tehlikeye düşürmek, Anayasa düzenine ve genel güvenliğe aykırı suçlarla ilgili; İçişleri Bakanlığınca belirlenecek kişilerin veya bu suçlardan sayılan olayların faillerinin yakalanabilmesine yardımcı olanlara veya yerlerini yahut kimliklerini bildirenlere para ödülü verilebilir.</w:t>
        <w:tab/>
        <w:t xml:space="preserve">İçişleri Bakanlığınca ödül verilenler hakkında koruyucu tedbir alınır. Bu kişilerin kimlikleri açıklanamaz.</w:t>
      </w:r>
    </w:p>
    <w:p w:rsidR="00000000" w:rsidDel="00000000" w:rsidP="00000000" w:rsidRDefault="00000000" w:rsidRPr="00000000" w14:paraId="0000001E">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Verilecek ödülün miktarı, şekil ve ilana ait esaslar İçişleri Bakanlığınca çıkarılacak bir yönetmelikle gösterilir.</w:t>
      </w:r>
    </w:p>
    <w:p w:rsidR="00000000" w:rsidDel="00000000" w:rsidP="00000000" w:rsidRDefault="00000000" w:rsidRPr="00000000" w14:paraId="0000001F">
      <w:pPr>
        <w:widowControl w:val="0"/>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20">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6 – </w:t>
      </w:r>
      <w:r w:rsidDel="00000000" w:rsidR="00000000" w:rsidRPr="00000000">
        <w:rPr>
          <w:sz w:val="24"/>
          <w:szCs w:val="24"/>
          <w:vertAlign w:val="baseline"/>
          <w:rtl w:val="0"/>
        </w:rPr>
        <w:t xml:space="preserve">Bu Kanun yayımı tarihinde yürürlüğe girer.</w:t>
      </w:r>
    </w:p>
    <w:p w:rsidR="00000000" w:rsidDel="00000000" w:rsidP="00000000" w:rsidRDefault="00000000" w:rsidRPr="00000000" w14:paraId="00000021">
      <w:pPr>
        <w:widowControl w:val="0"/>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22">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7 – </w:t>
      </w:r>
      <w:r w:rsidDel="00000000" w:rsidR="00000000" w:rsidRPr="00000000">
        <w:rPr>
          <w:sz w:val="24"/>
          <w:szCs w:val="24"/>
          <w:vertAlign w:val="baseline"/>
          <w:rtl w:val="0"/>
        </w:rPr>
        <w:t xml:space="preserve">Bu Kanunun hükümlerini Bakanlar Kurulu yürütür.</w:t>
      </w:r>
    </w:p>
    <w:p w:rsidR="00000000" w:rsidDel="00000000" w:rsidP="00000000" w:rsidRDefault="00000000" w:rsidRPr="00000000" w14:paraId="00000023">
      <w:pPr>
        <w:widowControl w:val="0"/>
        <w:spacing w:line="306.99999999999994" w:lineRule="auto"/>
        <w:rPr>
          <w:sz w:val="24"/>
          <w:szCs w:val="24"/>
          <w:vertAlign w:val="baseline"/>
        </w:rPr>
      </w:pPr>
      <w:r w:rsidDel="00000000" w:rsidR="00000000" w:rsidRPr="00000000">
        <w:rPr>
          <w:rtl w:val="0"/>
        </w:rPr>
      </w:r>
    </w:p>
    <w:sectPr>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2/1/2017 tarihli ve 680 sayılı KHK’nin 37 nci maddesiyle, bu maddenin birinci fıkrasının birinci cümlesinde yer alan “Polis ve jandarma” ibaresi “Polis, jandarma ve sahil güvenlik” şeklinde değiştirilmiş, daha sonra bu hüküm 1/2/2018 tarihli ve 7072 sayılı Kanunun 36 ncı maddesiyle aynen kabul edilerek kanunlaşmıştır.</w:t>
      </w:r>
      <w:r w:rsidDel="00000000" w:rsidR="00000000" w:rsidRPr="00000000">
        <w:rPr>
          <w:rtl w:val="0"/>
        </w:rPr>
      </w:r>
    </w:p>
  </w:footnote>
  <w:footnote w:id="1">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700 sayılı KHK’nin 61 inci maddesiyle, bu fıkrada yer alan “kanun ve tüzüklerde” ibaresi “kanunlarda” şeklinde değiştirilmiştir.</w:t>
      </w:r>
      <w:r w:rsidDel="00000000" w:rsidR="00000000" w:rsidRPr="00000000">
        <w:rPr>
          <w:rtl w:val="0"/>
        </w:rPr>
      </w:r>
    </w:p>
  </w:footnote>
  <w:footnote w:id="2">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14/7/2004 tarihli ve 5218 sayılı Kanunun 1 inci maddesiyle bu bentte yer alan “idam” ibaresi, “ağırlaştırılmış müebbet ağır hapis” olarak değiştirilmiştir.</w:t>
      </w:r>
      <w:r w:rsidDel="00000000" w:rsidR="00000000" w:rsidRPr="00000000">
        <w:rPr>
          <w:rtl w:val="0"/>
        </w:rPr>
      </w:r>
    </w:p>
  </w:footnote>
  <w:footnote w:id="3">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2/1/2017 tarihli ve 680 sayılı KHK’nin 38 inci maddesiyle, bu bentte yer alan “Polis veya jandarmaya” ibaresi “Polis, jandarma veya sahil güvenliğe” şeklinde değiştirilmiş, daha sonra bu hüküm 1/2/2018 tarihli ve 7072 sayılı Kanunun 37 nci maddesiyle aynen kabul edilerek kanunlaşmıştır.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lI2FWJfQ/8bQd/hQLyVPM2P1g==">CgMxLjAyD2lkLnZobXhuYXJ4MTdmeDgAciExY3Q4VFAtT3BLVzdnLTFNd1BUVVo2NmthdFRXLUFXV3Y=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