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76" w:lineRule="auto"/>
        <w:rPr>
          <w:rFonts w:ascii="Arial" w:cs="Arial" w:eastAsia="Arial" w:hAnsi="Arial"/>
          <w:color w:val="ff0000"/>
          <w:sz w:val="22"/>
          <w:szCs w:val="22"/>
        </w:rPr>
      </w:pPr>
      <w:r w:rsidDel="00000000" w:rsidR="00000000" w:rsidRPr="00000000">
        <w:rPr>
          <w:rFonts w:ascii="Arial" w:cs="Arial" w:eastAsia="Arial" w:hAnsi="Arial"/>
          <w:color w:val="ff0000"/>
          <w:sz w:val="22"/>
          <w:szCs w:val="22"/>
          <w:rtl w:val="0"/>
        </w:rPr>
        <w:t xml:space="preserve">Konular neye göre ayrılacak?</w:t>
      </w:r>
    </w:p>
    <w:p w:rsidR="00000000" w:rsidDel="00000000" w:rsidP="00000000" w:rsidRDefault="00000000" w:rsidRPr="00000000" w14:paraId="00000002">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Konu BÖLÜM’lere göre ayrılacak. </w:t>
      </w:r>
    </w:p>
    <w:p w:rsidR="00000000" w:rsidDel="00000000" w:rsidP="00000000" w:rsidRDefault="00000000" w:rsidRPr="00000000" w14:paraId="00000003">
      <w:pPr>
        <w:widowControl w:val="0"/>
        <w:spacing w:line="276" w:lineRule="auto"/>
        <w:rPr>
          <w:rFonts w:ascii="Arial" w:cs="Arial" w:eastAsia="Arial" w:hAnsi="Arial"/>
          <w:color w:val="ff0000"/>
          <w:sz w:val="22"/>
          <w:szCs w:val="22"/>
        </w:rPr>
      </w:pPr>
      <w:r w:rsidDel="00000000" w:rsidR="00000000" w:rsidRPr="00000000">
        <w:rPr>
          <w:rFonts w:ascii="Arial" w:cs="Arial" w:eastAsia="Arial" w:hAnsi="Arial"/>
          <w:color w:val="ff0000"/>
          <w:sz w:val="22"/>
          <w:szCs w:val="22"/>
          <w:rtl w:val="0"/>
        </w:rPr>
        <w:t xml:space="preserve">Çıkartılacak ve Ekstra Dahil edilecek tablolar hangileri?</w:t>
      </w:r>
    </w:p>
    <w:p w:rsidR="00000000" w:rsidDel="00000000" w:rsidP="00000000" w:rsidRDefault="00000000" w:rsidRPr="00000000" w14:paraId="00000004">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Ç</w:t>
      </w:r>
      <w:r w:rsidDel="00000000" w:rsidR="00000000" w:rsidRPr="00000000">
        <w:rPr>
          <w:rFonts w:ascii="Arial" w:cs="Arial" w:eastAsia="Arial" w:hAnsi="Arial"/>
          <w:sz w:val="22"/>
          <w:szCs w:val="22"/>
          <w:rtl w:val="0"/>
        </w:rPr>
        <w:t xml:space="preserve">ıkarılacak ve ekstra dahil edilecek tablo yok.</w:t>
      </w:r>
    </w:p>
    <w:p w:rsidR="00000000" w:rsidDel="00000000" w:rsidP="00000000" w:rsidRDefault="00000000" w:rsidRPr="00000000" w14:paraId="00000005">
      <w:pPr>
        <w:widowControl w:val="0"/>
        <w:spacing w:line="276" w:lineRule="auto"/>
        <w:rPr>
          <w:b w:val="1"/>
          <w:bCs w:val="1"/>
          <w:sz w:val="24"/>
          <w:szCs w:val="24"/>
        </w:rPr>
      </w:pPr>
      <w:r w:rsidDel="00000000" w:rsidR="00000000" w:rsidRPr="00000000">
        <w:rPr>
          <w:rFonts w:ascii="Arial" w:cs="Arial" w:eastAsia="Arial" w:hAnsi="Arial"/>
          <w:color w:val="ff0000"/>
          <w:sz w:val="22"/>
          <w:szCs w:val="22"/>
          <w:rtl w:val="0"/>
        </w:rPr>
        <w:t xml:space="preserve">Mülga, Dipnotlar, parantez içinde yazan Ek fıkra yazısı, yine parantez içindeki üç nokta (...), parantez içindeki değişik (yani özetle parantez içinde bold yazılı ek, değişik, mülga, aynen kabul gibi ibareler ve tarihleri) ile Geçici Maddeler içerikten kaldırılacak.</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3543"/>
        </w:tabs>
        <w:spacing w:after="0" w:before="0" w:line="306.99999999999994" w:lineRule="auto"/>
        <w:ind w:left="0" w:right="0" w:firstLine="709"/>
        <w:jc w:val="center"/>
        <w:rPr>
          <w:b w:val="1"/>
          <w:bCs w:val="1"/>
          <w:sz w:val="24"/>
          <w:szCs w:val="24"/>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3543"/>
        </w:tabs>
        <w:spacing w:after="0" w:before="0" w:line="306.99999999999994" w:lineRule="auto"/>
        <w:ind w:left="0" w:right="0" w:firstLine="709"/>
        <w:jc w:val="center"/>
        <w:rPr>
          <w:b w:val="1"/>
          <w:bCs w:val="1"/>
          <w:sz w:val="24"/>
          <w:szCs w:val="24"/>
        </w:rPr>
      </w:pPr>
      <w:r w:rsidDel="00000000" w:rsidR="00000000" w:rsidRPr="00000000">
        <w:rPr>
          <w:rtl w:val="0"/>
        </w:rPr>
      </w:r>
    </w:p>
    <w:bookmarkStart w:colFirst="0" w:colLast="0" w:name="bookmark=id.kxeswywfp18e" w:id="0"/>
    <w:bookmarkEnd w:id="0"/>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3543"/>
        </w:tabs>
        <w:spacing w:after="0" w:before="0" w:line="306.99999999999994" w:lineRule="auto"/>
        <w:ind w:left="0" w:right="0" w:firstLine="709"/>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Mal Bildiriminde Bulunulması, Rüşvet Ve Yolsuzluklarla Mücadele Kanunu</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3543"/>
        </w:tabs>
        <w:spacing w:after="0" w:before="0" w:line="306.99999999999994" w:lineRule="auto"/>
        <w:ind w:left="0" w:right="0"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3543"/>
        </w:tabs>
        <w:spacing w:after="0" w:before="0" w:line="306.99999999999994"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3543"/>
        </w:tabs>
        <w:spacing w:after="0" w:before="0" w:line="306.99999999999994"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BİRİNCİ BÖLÜM</w: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3543"/>
        </w:tabs>
        <w:spacing w:after="0" w:before="0" w:line="306.99999999999994"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Genel Hükümler</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06.99999999999994" w:lineRule="auto"/>
        <w:ind w:left="0" w:right="0" w:firstLine="70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Amaç</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1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Kanunun amacı, rüşvet ve yolsuzluklarla mücadele cümlesinden olarak; bu Kanunda sayılanların mal bildiriminde bulunmalarını, bildirimlerin yenilenmesini, mal edinmelerin denetimiyle, haksız mal edinme veya gerçeğe aykırı bildirimde bulunma halinde uygulanacak hükümleri, bu Kanunda belirlenen suçlarla bazı suçlardan dolayı kamu görevlileri ve suç ortakları hakkında takip ve muhakeme usulünü düzenlemektir.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06.99999999999994" w:lineRule="auto"/>
        <w:ind w:left="0" w:right="0" w:firstLine="709"/>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06.99999999999994" w:lineRule="auto"/>
        <w:ind w:left="0" w:right="0" w:firstLine="70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Mal bildiriminde bulunacaklar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0"/>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2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Her tür seçimle iş başına gelen kamu görevlileri ile Cumhurbaşkanı yardımcıları ve bakanlar (Muhtarlar ve ihtiyar heyeti üyeleri hariç)</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Noterler,</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Türk Hava Kurumunun genel yönetim ve merkez denetleme kurulu üyeleri ile genel merkez teşkilatında ve Türk Kuşu Genel Müdürlüğünde, Türkiye Kızılay Derneğinin merkez kurullarında ve Genel Müdürlük teşkilatında görev alanlar ve bunların şube başkanları,</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Genel ve katma bütçeli daireler, il özel idareleri, belediyeler ve bunlara bağlı kuruluş veya alt kuruluşlarda, kamu iktisadi teşebbüsleri (İktisadi devlet teşekkülleri ve kamu iktisadi kuruluşları) ile bunlara bağlı müessese, bağlı ortaklık ve işletmelerde, özel kanunlarla veya Cumhurbaşkanlığı kararnamesiyle kurulan ve kamu hizmeti gören kurum ve kuruluşlar ile bunların alt kuruluşlarında veya komisyonlarında aylık, ücret ve ödenek almak suretiyle kamu hizmeti gören memurları, işçi niteliği taşımayan diğer kamu görevlileri ile yönetim ve denetim kurulu üyeleri,</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(Mülga: 24/6/1995 - KHK - 557/21 md.)</w:t>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 Siyasi parti genel başkanları, vakıfların idare organlarında görev alanlar, kooperatiflerin ve birliklerinin başkanları, yönetim kurulun üyeleri ve genel müdürleri, yeminli mali müşavirler, kamu yararına sayılan dernek yönetici ve deneticileri,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 Gazete sahibi gerçek kişiler ile, gazete sahibi şirketlerin yönetim ve denetim kurulu üyeleri, sorumlu müdürleri, başyazarları ve fıkra yazarları,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Mal bildiriminde bulunmak zorundadırlar.</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Özel Kanunlarına göre mal bildiriminde bulunmak zorunda olanlar da bu Kanun hükümlerine tabidir.</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06.99999999999994" w:lineRule="auto"/>
        <w:ind w:left="0" w:right="0" w:firstLine="709"/>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06.99999999999994" w:lineRule="auto"/>
        <w:ind w:left="0" w:right="0" w:firstLine="70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Hediye</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3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Yukarıdaki maddede sayılan kamu görevlileri, milletlerarası protokol, mücamele veya nezaket kaideleri uyarınca veya diğer herhangi bir sebeple, yabancı devletlerden, milletlerarası kuruluşlardan, sair milletlerarası hukuk tüzelkişiliklerinden, Türk uyruğunda olmayan herhangi bir özel veya tüzelkişi veya kuruluştan; aldıkları tarihteki değeri on aylık net asgari ücret toplamını aşan hediye veya hibe niteliğindeki eşyayı aldıkları tarihten itibaren bir ay içinde kendi kurumlarına teslim etmek zorundadırlar. Ancak, yabancı devlet adamları ve milletlerarası kuruluş temsilcileri tarafından verilen imzalı hatıra fotoğraflarının çerçeveleri bu madde hükümlerine dahil değildir.</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Hediyelerin bedellerinin tespiti çıkarılacak yönetmeliğe göre Maliye ve Gümrük Bakanlığınca yapılır.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06.99999999999994" w:lineRule="auto"/>
        <w:ind w:left="0" w:right="0" w:firstLine="709"/>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06.99999999999994" w:lineRule="auto"/>
        <w:ind w:left="0" w:right="0" w:firstLine="70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Haksız mal edinme </w:t>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4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Kanuna veya genel ahlaka uygun olarak sağlandığı ispat edilmeyen mallar veya ilgilinin sosyal yaşantısı bakımından geliriyle uygun olduğu kabul edilemeyecek harcamalar şeklinde ortaya çıkan artışlar, bu Kanunun uygulanmasında haksız mal edinme sayılır. </w:t>
      </w:r>
    </w:p>
    <w:p w:rsidR="00000000" w:rsidDel="00000000" w:rsidP="00000000" w:rsidRDefault="00000000" w:rsidRPr="00000000" w14:paraId="00000021">
      <w:pPr>
        <w:jc w:val="center"/>
        <w:rPr>
          <w:b w:val="0"/>
          <w:bCs w:val="0"/>
          <w:sz w:val="24"/>
          <w:szCs w:val="24"/>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3543"/>
        </w:tabs>
        <w:spacing w:after="0" w:before="0" w:line="306.99999999999994"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İKİNCİ BÖLÜM</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3543"/>
        </w:tabs>
        <w:spacing w:after="0" w:before="0" w:line="306.99999999999994"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Mal Bildirimleri</w:t>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06.99999999999994" w:lineRule="auto"/>
        <w:ind w:left="0" w:right="0" w:firstLine="70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Bildirimlerin konusu</w:t>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5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Kanun kapsamına giren görevlilerin kendilerine, eşlerine ve velayetleri altındaki çocuklarına ait bulunan taşınmaz malları ile görevliye yapılan aylık net ödemenin, ödeme yapılmayan görevlilerin ise, 1 inci derece Devlet Memurlarına yapılan aylık net ödemenin beş katından fazla tutarındaki her biri için ayrı olmak üzere, para, hisse senetleri ve tahviller ile altın, mücevher ve diğer taşınır malları, hakları, alacakları ve gelirleriyle bunların kaynakları, borçları ve sebepleri mal bildiriminin konusunu teşkil eder.</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06.99999999999994" w:lineRule="auto"/>
        <w:ind w:left="0" w:right="0" w:firstLine="709"/>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06.99999999999994" w:lineRule="auto"/>
        <w:ind w:left="0" w:right="0" w:firstLine="70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Bildirimin zamanı </w:t>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6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Mal Bildirimlerinin;</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Bu Kanun kapsamındaki göreve atanmada, göreve giriş için gerekli belgelerle,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Cumhurbaşkanı yardımcısı veya bakan olarak atanmalarda, atamayı izleyen bir ay içinde,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1"/>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Seçimle gelinen görevlerde seçimin kesinleşmesi tarihini izleyen iki ay içinde,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Mal varlığında önemli bir değişiklik olduğunda bir ay içinde,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 Yönetim ve denetim kurulu üyelikleri ile komisyon üyeliklerine seçim ve atamalarda göreve başlama tarihini izleyen bir ay içinde,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 Görevin sona ermesi halinde, ayrılma tarihini izleyen bir ay içinde,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 Gazete sahibi gerçek kişiler ile, gazete sahibi şirketlerin yönetim ve denetim kurulu üyeleri faaliyete geçme tarihini, sorumlu müdürleri, başyazarları ve fıkra yazarları bu işe veya görevlerine başlama tarihini izleyen bir ay içinde,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Verilmesi zorunludur.</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Bendinde yazılı bildirim verilmedikçe göreve atama yapılamaz.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06.99999999999994" w:lineRule="auto"/>
        <w:ind w:left="0" w:right="0" w:firstLine="709"/>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06.99999999999994" w:lineRule="auto"/>
        <w:ind w:left="0" w:right="0" w:firstLine="70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Bildirimin yenilenmesi</w:t>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7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Kanun kapsamındaki görevlere devam edenler, sonu (0) ve (5) ile biten yılların en geç şubat ayı sonuna kadar bildirimlerini yenilerler. Yeni bildirimler yetkili merci tarafından daha önceki bildirimler ile karşılaştırılırlar.</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06.99999999999994" w:lineRule="auto"/>
        <w:ind w:left="0" w:right="0" w:firstLine="709"/>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06.99999999999994" w:lineRule="auto"/>
        <w:ind w:left="0" w:right="0" w:firstLine="70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Bildirimlerin verileceği merciler </w:t>
      </w: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8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Bildirimlerin verileceği merciler şunlardır:</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nu3kh04iyrzd" w:id="1"/>
      <w:bookmarkEnd w:id="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Türkiye Büyük Millet Meclisi (…)</w:t>
      </w:r>
      <w:r w:rsidDel="00000000" w:rsidR="00000000" w:rsidRPr="00000000">
        <w:rPr>
          <w:rFonts w:ascii="New York" w:cs="New York" w:eastAsia="New York" w:hAnsi="New York"/>
          <w:b w:val="0"/>
          <w:bCs w:val="0"/>
          <w:i w:val="0"/>
          <w:iCs w:val="0"/>
          <w:smallCaps w:val="0"/>
          <w:strike w:val="0"/>
          <w:color w:val="000000"/>
          <w:sz w:val="22"/>
          <w:szCs w:val="22"/>
          <w:u w:val="none"/>
          <w:shd w:fill="auto" w:val="clear"/>
          <w:vertAlign w:val="baseline"/>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Üyeleri için Türkiye Büyük Millet Meclisi Başkanlığı, Cumhurbaşkanı yardımcıları ve bakanlar için Cumhurbaşkanlığı,</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2"/>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Kamu kurum ve kuruluşlarında görevli personel için özlük işleriyle ilgili sicil ve belge raporlarının bulunduğu makam veya merci,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Kurum, teşebbüs, teşekkül ve kuruluşların Genel Müdürleri, yönetim ve denetim kurulu için ilgili Bakanlık,</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Yüksek mahkemelerin daire başkan ve üyeleri için mahkemenin başkanı,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 Noterler için Adalet Bakanlığı,</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 Diğer kurum ve kuruluşların memur ve hizmetlileri için atamaya yetkili makam veya merci,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 Türk Hava Kurumu ile Türkiye Kızılay Derneğinde görev alanlar için kurum ve dernek genel başkanlığı,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(Mülga: 24/6/1995 - KHK - 557/21 md.)</w:t>
      </w: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Görevlerinden ayrılanlar için bu görevlerinde iken bildirimlerinin vermeleri gereken makam veya merci,</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02"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 Siyasi parti genel başkanları için Yargıtay Cumhuriyet Başsavcılığı,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02"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 Kooperatifler ve birliklerin başkanları, yönetim kurulu üyeleri ve genel müdürleri için kooperatiflerin ve birliklerin denetimlerinin yapıldığı kuruluşlar,</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02"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 Yeminli mali müşavirler için Maliye ve Gümrük Bakanlığı,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02"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 Türk Hava Kurumunun, Türkiye Kızılay Derneğinin ve Kamu yararına sayılan derneklerin genel yönetim ve merkez denetleme kurulu üyeleri için İçişleri Bakanlığı, bunların şube başkanları için bulundukları İl Valilikleri,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02"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 İl Genel Meclisi Üyeleri için Valiler, Belediye Meclis Üyeleri için Belediye Başkanları, Belediye Başkanları için İçişleri Bakanlığı,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02"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Mal bildirimi verecek son merciler için, kendi kuruluşlarının özlük işleri ile ilgili makam veya merci,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02"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 Gazete sahibi gerçek kişiler ile, gazete sahibi şirketlerin yönetim ve denetim kurulu üyeleri, sorumlu müdürleri, başyazarları ve fıkra yazarları bulundukları yer en büyük mülki amirliği,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02"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 Vakıfların idare organlarında görev alanlar için Vakıflar Genel Müdürlüğü,</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02"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Görevleri sebebiyle birden fazla mal bildiriminde bulunması gerekenler asli görevlerinden dolayı bir tek mal bildiriminde bulunurlar.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02" w:lineRule="auto"/>
        <w:ind w:left="0" w:right="0" w:firstLine="709"/>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02" w:lineRule="auto"/>
        <w:ind w:left="0" w:right="0" w:firstLine="70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Bildirimlerin gizliliği </w:t>
      </w: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02"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9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Mal bildirimleri, özel kanunlardaki hükümler saklı kalmak kaydıyla bildirimde bulunanın özel dosyasında saklanır. Bildirimlerin içeriği hakkında, 20 nci madde hükmü dışında hiçbir şekilde açıklama yapılamaz ve bilgi verilemez. Ayrıca mal bildirimlerindeki bilgiler ve kayıtlar esas alınarak içeriği hakkında yayında bulunulamaz.</w:t>
      </w:r>
    </w:p>
    <w:p w:rsidR="00000000" w:rsidDel="00000000" w:rsidP="00000000" w:rsidRDefault="00000000" w:rsidRPr="00000000" w14:paraId="0000004D">
      <w:pPr>
        <w:widowControl w:val="0"/>
        <w:tabs>
          <w:tab w:val="left" w:leader="none" w:pos="567"/>
        </w:tabs>
        <w:spacing w:line="302" w:lineRule="auto"/>
        <w:ind w:firstLine="709"/>
        <w:jc w:val="both"/>
        <w:rPr>
          <w:sz w:val="24"/>
          <w:szCs w:val="24"/>
          <w:vertAlign w:val="baseline"/>
        </w:rPr>
      </w:pPr>
      <w:r w:rsidDel="00000000" w:rsidR="00000000" w:rsidRPr="00000000">
        <w:rPr>
          <w:b w:val="1"/>
          <w:bCs w:val="1"/>
          <w:sz w:val="24"/>
          <w:szCs w:val="24"/>
          <w:vertAlign w:val="baseline"/>
          <w:rtl w:val="0"/>
        </w:rPr>
        <w:t xml:space="preserve">(Ek fıkra: 25/5/2004-5176/8 md.) </w:t>
      </w:r>
      <w:r w:rsidDel="00000000" w:rsidR="00000000" w:rsidRPr="00000000">
        <w:rPr>
          <w:sz w:val="24"/>
          <w:szCs w:val="24"/>
          <w:vertAlign w:val="baseline"/>
          <w:rtl w:val="0"/>
        </w:rPr>
        <w:t xml:space="preserve">Ancak, Kamu Görevlileri Etik Kurulu mal bildirimlerini gerektiğinde inceleme yetkisine sahiptir. Mal bildirimlerindeki bilgilerin doğruluğunun kontrolü amacıyla ilgili kişi ve kuruluşlar (bankalar ve özel finans kurumları dahil) talep edilen bilgileri en geç otuz gün içinde Kurula vermekle yükümlüdürler.</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3543"/>
        </w:tabs>
        <w:spacing w:after="0" w:before="0" w:line="302"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3543"/>
        </w:tabs>
        <w:spacing w:after="0" w:before="0" w:line="302"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ÜÇÜNCÜ BÖLÜM</w:t>
      </w: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3543"/>
        </w:tabs>
        <w:spacing w:after="0" w:before="0" w:line="302"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Ceza Hükümleri</w:t>
      </w: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02"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10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ncı maddede belirtilen sürelerde mal bildiriminde bulunmayana bildirimlerin verileceği mercilerce ihtarda bulunulur. İhtarın kendisine tebliğinden itibaren otuz gün içinde mazeretsiz olarak bildirimde bulunmayana üç aya kadar hapis cezası verilir.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02"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Soruşturma ile ilgili olarak verilen süre zarfında mal bildiriminde bulunmayana üç aydan bir yıla kadar hapis cezası verilir.</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02" w:lineRule="auto"/>
        <w:ind w:left="0" w:right="0" w:firstLine="709"/>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02" w:lineRule="auto"/>
        <w:ind w:left="0" w:right="0" w:firstLine="70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Gerçeğe aykırı açıklama </w:t>
      </w: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02"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11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Mal bildiriminin muhtevası hakkında 9 uncu maddeye aykırı davranan üç aydan bir yıla kadar hapis cezası ile cezalandırılır.</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02"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fiilin basın yoluyla işlenmesi halinde verilecek ceza yarı oranında artırılır.</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02" w:lineRule="auto"/>
        <w:ind w:left="0" w:right="0" w:firstLine="70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Gerçeğe aykırı bildirimde bulunma </w:t>
      </w: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02"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12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Kanunen daha ağır bir cezayı gerektirmediği takdirde gerçeğe aykırı bildirimde bulunana altı aydan üç yıla kadar hapis cezası verilir.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02" w:lineRule="auto"/>
        <w:ind w:left="0" w:right="0" w:firstLine="709"/>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02" w:lineRule="auto"/>
        <w:ind w:left="0" w:right="0" w:firstLine="70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Haksız mal edinme, mal kaçırma veya gizleme </w:t>
      </w: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02"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13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Kanunun daha ağır bir cezayı gerektirmediği takdirde haksız mal edinene üç yıldan beş yıla kadar hapis ve beş milyon liradan on milyon liraya kadar ağır para cezası verilir.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02"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Haksız edinilen malı kaçıran veya gizleyene de aynı ceza verilir.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02" w:lineRule="auto"/>
        <w:ind w:left="0" w:right="0" w:firstLine="709"/>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02" w:lineRule="auto"/>
        <w:ind w:left="0" w:right="0" w:firstLine="70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Zoralım </w:t>
      </w: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02"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14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Haksız edinilmiş olan malların zoralımına hükmolunur. Bu malların elde edilememesi veya bir malın tümünün haksız mal edinme konusu teşkil etmemesi sebepleri ile zoralımın mümkün olmadığı hallerde haksız edinilen değere eşit bedelinin hazineye ödenmesine karar verilir. Bu bedel, Amme Alacaklarının Tahsil Usulü Hakkında Kanun Hükümlerine göre tahsil olunur.</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02" w:lineRule="auto"/>
        <w:ind w:left="0" w:right="0" w:firstLine="709"/>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02" w:lineRule="auto"/>
        <w:ind w:left="0" w:right="0" w:firstLine="70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Kamu hizmetlerinden yasaklanma</w:t>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02"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15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Kanunun 11 ve 12 nci maddeler hükümleri ile cezalandırılanlara ceza süresi kadar; 13 üncü madde hükmüne göre cezalandırılanlara müebbeten kamu hizmetlerinden yasaklanma cezası hükmolunur.</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02" w:lineRule="auto"/>
        <w:ind w:left="0" w:right="0" w:firstLine="709"/>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02" w:lineRule="auto"/>
        <w:ind w:left="0" w:right="0" w:firstLine="70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Tecil, paraya çevirme ve ön ödeme yasağı</w:t>
      </w: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02"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16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bölümde yazılı olan cezalar 10 uncu maddenin birinci fıkrası hariç tecil edilemez, şahsi hürriyeti bağlayıcı olanlar para veya tedbire çevrilemez, failleri hakkında Türk Ceza Kanununun 119 uncu maddesi hükümleri uygulanamaz.</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3543"/>
        </w:tabs>
        <w:spacing w:after="0" w:before="0" w:line="302"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3543"/>
        </w:tabs>
        <w:spacing w:after="0" w:before="0" w:line="302"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DÖRDÜNCÜ BÖLÜM</w:t>
      </w: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3543"/>
        </w:tabs>
        <w:spacing w:after="0" w:before="0" w:line="302"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Bu Kanunda Yazılı Suçlar ile Bazı Suçlardan Dolayı Soruşturma Usulü</w:t>
      </w: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02" w:lineRule="auto"/>
        <w:ind w:left="0" w:right="0" w:firstLine="70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Soruşturma</w:t>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02"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17 – (Değişik birinci fıkra: 12/12/2003-5020/12 md.)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Bu Kanunda ve 18.6.1999 tarihli ve 4389 sayılı Bankalar Kanununda yazılı suçlarla, irtikâp, rüşvet, basit ve nitelikli zimmet, görev sırasında veya görevinden dolayı kaçakçılık, resmî ihale ve alım ve satımlara fesat karıştırma, Devlet sırlarının açıklanması veya açıklanmasına sebebiyet verme suçlarından veya bu suçlara iştirak etmekten sanık olanlar hakkında 2.12.1999 tarihli ve 4483 sayılı Memurlar ve Diğer Kamu Görevlilerinin Yargılanması Hakkında Kanun hükümleri uygulanmaz.</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02"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Yukarıdaki fıkra hükmü müsteşarlar, valiler ve kaymakamlar hakkında uygulanamaz.</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02"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Görevleri veya sıfatları sebebi ile özel soruşturma ve kovuşturma usulüne tabi olan sanıklarla ilgili kanun hükümleri saklıdır.</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12"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Suçun ihbarı</w:t>
      </w: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12"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18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Yukarıdaki maddede yazılı suçlara ilişkin ihbarlar doğrudan Cumhuriyet Başsavcılıklarına yapılır. İhbar üzerine derhal bir ihbar tutanağı düzenlenir ve bir örneği muhbire verilir. Acele ve gecikmesinde sakınca umulan hallerde tutanak düzenlenmesi sonraya bırakılabilir. Muhbirlerin kimlikleri, rızaları olmadıkça açıklanmaz. İhbar asılsız çıktığında aleyhine takibat yapılanın istemi üzerine muhbirin kimliği açıklanır.</w:t>
      </w:r>
    </w:p>
    <w:p w:rsidR="00000000" w:rsidDel="00000000" w:rsidP="00000000" w:rsidRDefault="00000000" w:rsidRPr="00000000" w14:paraId="0000006F">
      <w:pPr>
        <w:widowControl w:val="0"/>
        <w:spacing w:line="312" w:lineRule="auto"/>
        <w:ind w:firstLine="709"/>
        <w:jc w:val="both"/>
        <w:rPr>
          <w:sz w:val="24"/>
          <w:szCs w:val="24"/>
          <w:vertAlign w:val="baseline"/>
        </w:rPr>
      </w:pPr>
      <w:r w:rsidDel="00000000" w:rsidR="00000000" w:rsidRPr="00000000">
        <w:rPr>
          <w:b w:val="1"/>
          <w:bCs w:val="1"/>
          <w:sz w:val="24"/>
          <w:szCs w:val="24"/>
          <w:vertAlign w:val="baseline"/>
          <w:rtl w:val="0"/>
        </w:rPr>
        <w:t xml:space="preserve">(Ek fıkra: 12/12/2003-5020/13 md.) </w:t>
      </w:r>
      <w:r w:rsidDel="00000000" w:rsidR="00000000" w:rsidRPr="00000000">
        <w:rPr>
          <w:sz w:val="24"/>
          <w:szCs w:val="24"/>
          <w:vertAlign w:val="baseline"/>
          <w:rtl w:val="0"/>
        </w:rPr>
        <w:t xml:space="preserve">Yukarıdaki fıkraya göre yapılan ihbar veya takipsizlik kararı ve iddianame Cumhuriyet başsavcılığınca, ilgili kamu kurum veya kuruluşlarına bildirilir. </w:t>
      </w:r>
      <w:r w:rsidDel="00000000" w:rsidR="00000000" w:rsidRPr="00000000">
        <w:rPr>
          <w:b w:val="1"/>
          <w:bCs w:val="1"/>
          <w:sz w:val="24"/>
          <w:szCs w:val="24"/>
          <w:vertAlign w:val="baseline"/>
          <w:rtl w:val="0"/>
        </w:rPr>
        <w:t xml:space="preserve">(Değişik cümle: 1/7/2022-7417/40 md.)</w:t>
      </w:r>
      <w:r w:rsidDel="00000000" w:rsidR="00000000" w:rsidRPr="00000000">
        <w:rPr>
          <w:sz w:val="24"/>
          <w:szCs w:val="24"/>
          <w:vertAlign w:val="baseline"/>
          <w:rtl w:val="0"/>
        </w:rPr>
        <w:t xml:space="preserve"> İlgili kamu kurum veya kuruluşları tarafından yazılı başvuruda bulunulması halinde bu kurum veya kuruluşlar, başvuru tarihinde müdahil sıfatını kazanır.</w:t>
      </w:r>
      <w:r w:rsidDel="00000000" w:rsidR="00000000" w:rsidRPr="00000000">
        <w:rPr>
          <w:sz w:val="24"/>
          <w:szCs w:val="24"/>
          <w:vertAlign w:val="superscript"/>
        </w:rPr>
        <w:footnoteReference w:customMarkFollows="0" w:id="3"/>
      </w: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12"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suçlardan dolayı müfettiş ve muhakkikler de soruşturma neticesinde delil veya emare elde ettikleri takdirde, işi yetkili ve görevli Cumhuriyet Başsavcılığına ihbar ve evrakı tevdi ederler. Cumhuriyet Başsavcılığı müfettiş ve muhakkikler tarafından kendisine tevdiine lüzum görülmediği halde dahi evrakın taalluk ettiği iş hakkında soruşturma yapmak üzere gerekçe göstererek evrakı ait olduğu merciden isteyebilir.</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12"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 nci maddede yazılı suçlardan dolayı delil veya emare elde eden müfettiş ve muhakkikler durumu yetkili ve görevli Cumhuriyet Başsavcılığına ihbar ve evrakı tevdi etmedikleri takdirde bunlar hakkında da yapılacak takibattan dolayı Memurin Muhakematı Hakkında Kanunu Muvakkat Hükümleri uygulanmaz.</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12"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İhbar konusu müsnet suç hakkında dava açılıncaya kadar bilgi vermek ve yayın yapmak yasaktır.</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12"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12"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Soruşturma usulü</w:t>
      </w: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12"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19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Cumhuriyet Savcısı 17 nci maddede yazılı suçların işlendiğini öğrendiğinde sanıklar hakkında doğrudan doğruya ve bizzat soruşturmaya başlamakla beraber durumu atamaya yetkili amirine veya 8 inci maddede sayılan mercilere bildirir.</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12"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Cumhuriyet Savcısı soruşturmaya başladığında ihbarı doğrulayan emareler bulduğu takdirde sanıktan, haksız edinilen malın kaçırıldığı yolunda delil ve emare elde edildiği takdirde sanığın ikinci dereceye kadar kan ve sıhri hısımları ile gelini ve damadından mal bildiriminde bulunmalarını ister. Bu istemin sanığa ve diğer ilgililere ulaştığı tarihten itibaren yedi gün içinde Cumhuriyet Savcısına mal bildiriminin verilmesi zorunludur. Soruşturmanın müfettiş veya muhakkik tarafından yapılması halinde müfettiş veya muhakkik de sanıktan ve yukarıda sayılan ilgililerden mal bildirimi isteminde bulunurlar. Bu istemin sanık ve ilgililere ulaştığı tarihten itibaren yedi gün içinde müfettiş veya muhakkike mal bildiriminin verilmesi keza zorunludur.</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17"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Cumhuriyet Savcısı, kamu davası açılmadan önce haksız edinildiği yolunda delil veya emare elde edilen para veya mal ile ilgili tedbirin alınmasını görevli mahkemeden veya para veya malın bulunduğu yer hukuk mahkemesinden isteyebilir.</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3543"/>
        </w:tabs>
        <w:spacing w:after="0" w:before="0" w:line="317" w:lineRule="auto"/>
        <w:ind w:left="0" w:right="0" w:firstLine="709"/>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17" w:lineRule="auto"/>
        <w:ind w:left="0" w:right="0" w:firstLine="70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Bilgi verme zorunluluğu </w:t>
      </w: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17"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20 – (Değişik: 12/12/2003-5020/14 md.)</w:t>
      </w: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3543"/>
        </w:tabs>
        <w:spacing w:after="0" w:before="0" w:line="317"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Özel kanunlarında aksine bir hüküm bulunsa bile ilgili gerçek veya tüzel kişiler veya kamu kurum ve kuruluşları; bu Kanuna göre takip, soruşturma ve kovuşturmaya yetkili kişi ve bu Kanundaki diğer mercilerce istenen bilgileri gecikmeksizin makul sürede eksiksiz vermek zorundadır. Aksine davranan kişiler hakkında bir yıldan üç yıla kadar hapis cezası verilir. Bu ceza, para cezasına veya tedbirlerden birine çevrilemez ve ertelenemez.</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4"/>
      </w: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17" w:lineRule="auto"/>
        <w:ind w:left="0" w:right="0" w:firstLine="709"/>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17" w:lineRule="auto"/>
        <w:ind w:left="0" w:right="0" w:firstLine="70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Asker kişilerin soruşturması</w:t>
      </w: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3543"/>
        </w:tabs>
        <w:spacing w:after="0" w:before="0" w:line="317"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21 – (Mülga: 2/7/2018 – KHK/700/114 md.)</w:t>
      </w: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3543"/>
        </w:tabs>
        <w:spacing w:after="0" w:before="0" w:line="317"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3543"/>
        </w:tabs>
        <w:spacing w:after="0" w:before="0" w:line="317"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BEŞİNCİ BÖLÜM</w:t>
      </w: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3543"/>
        </w:tabs>
        <w:spacing w:after="0" w:before="0" w:line="317"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Çeşitli Hükümler</w:t>
      </w: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17" w:lineRule="auto"/>
        <w:ind w:left="0" w:right="0" w:firstLine="70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Yönetmelik</w:t>
      </w: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17"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22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Mal bildiriminin şekli, düzenleniş biçimi, sayısı, neleri kapsayacağı ve merciine nasıl ulaştırılacağı hususları ile Kanunun uygulanması bakımından gerekli görülecek diğer konular, Cumhurbaşkanı tarafından çıkarılacak bir yönetmelikle düzenlenir ve bu yönetmelik Resmi Gazete'de yayımlanır.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5"/>
      </w: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17" w:lineRule="auto"/>
        <w:ind w:left="0" w:right="0" w:firstLine="709"/>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17" w:lineRule="auto"/>
        <w:ind w:left="0" w:right="0" w:firstLine="70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Kaldırılan hükümler </w:t>
      </w: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17"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23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Ağustos 1983 tarih ve 2871 sayılı Kamu Görevlileri ile ilgili Mal Bildirimi Kanunu ile bu Kanunun yürürlükten kaldırdığı Kanunlar ve 15.5.1930 tarih ve 1609 sayılı Bazı Cürümlerden Dolayı Memurlar ve Şerikleri Hakkında Takip ve Muhakeme Usulüne Dair Kanun yürürlükten kaldırılmıştır.</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17"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17"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Geçici Madde 1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Kanunun yürürlüğe girdiği tarihi takip eden bir ay içinde 2 nci maddede sayılanlar mal bildiriminde bulunurlar.</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17"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Mal bildiriminde bulunmayan veya gerçeğe aykırı beyanda bulunanlar hakkında üçüncü bölümdeki ceza hükümleri uygulanır.</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17"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17"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Geçici Madde 2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Kanunun 2 nci maddesinde sayılanlardan 22 nci maddeye müsteniden çıkartılacak yönetmeliğin yürürlüğe girdiği tarihe kadar 9 Ağustos 1983 tarih ve 2871 sayılı Kanuna göre hazırlanan beyannamenin alınmasına devam olunur.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17"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17"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Geçici Madde 3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Kanunun yürürlüğe girdiği tarihten önce bu Kanunla kapsama yeni alınan suçlardan dolayı, Memurin Muhakematı Hakkında Kanunu Muvakkat Hükümlerine göre,kesinleşmiş lüzumu muhakeme veya meni muhakeme kararları hariç, yapılan tahkikat evrakı derhal ilgili Cumhuriyet Başsavcılıklarına gereği için tevdi olunur.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17" w:lineRule="auto"/>
        <w:ind w:left="0" w:right="0" w:firstLine="709"/>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17" w:lineRule="auto"/>
        <w:ind w:left="0" w:right="0" w:firstLine="70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Yürürlük</w:t>
      </w: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17"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24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Kanun yayımı tarihinde yürürlüğe girer.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17" w:lineRule="auto"/>
        <w:ind w:left="0" w:right="0" w:firstLine="709"/>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17" w:lineRule="auto"/>
        <w:ind w:left="0" w:right="0" w:firstLine="70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Yürütme </w:t>
      </w: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17"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25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Kanun hükümlerini Bakanlar Kurulu yürütür.</w:t>
      </w:r>
    </w:p>
    <w:p w:rsidR="00000000" w:rsidDel="00000000" w:rsidP="00000000" w:rsidRDefault="00000000" w:rsidRPr="00000000" w14:paraId="00000094">
      <w:pPr>
        <w:widowControl w:val="0"/>
        <w:spacing w:line="306.99999999999994" w:lineRule="auto"/>
        <w:ind w:firstLine="709"/>
        <w:rPr>
          <w:vertAlign w:val="baseline"/>
        </w:rPr>
      </w:pPr>
      <w:r w:rsidDel="00000000" w:rsidR="00000000" w:rsidRPr="00000000">
        <w:rPr>
          <w:rtl w:val="0"/>
        </w:rPr>
      </w:r>
    </w:p>
    <w:sectPr>
      <w:pgSz w:h="16838" w:w="11906" w:orient="portrait"/>
      <w:pgMar w:bottom="1418" w:top="1418"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New York"/>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2/7/2018 tarihli ve 700 sayılı KHK’nin 114 üncü maddesiyle, bu maddenin birinci fıkrasının (a) bendinde yer alan “ve dışardan atanan Bakanlar Kurulu üyeleri,” ibaresi “ile Cumhurbaşkanı yardımcıları ve bakanlar” şeklinde ve (d) bendinde yer alan “özel kanunların verdiği yetkiye dayanılarak” ibaresi “Cumhurbaşkanlığı kararnamesiyle” şeklinde değiştirilmiştir.</w:t>
      </w:r>
      <w:r w:rsidDel="00000000" w:rsidR="00000000" w:rsidRPr="00000000">
        <w:rPr>
          <w:rtl w:val="0"/>
        </w:rPr>
      </w:r>
    </w:p>
  </w:footnote>
  <w:footnote w:id="1">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2/7/2018 tarihli ve 700 sayılı KHK’nin 114 üncü maddesiyle, bu fıkrada yer alan “Bakanlar Kurulu üyeliğine” ibaresi “Cumhurbaşkanı yardımcısı veya bakan olarak” şeklinde değiştirilmiştir.</w:t>
      </w:r>
      <w:r w:rsidDel="00000000" w:rsidR="00000000" w:rsidRPr="00000000">
        <w:rPr>
          <w:rtl w:val="0"/>
        </w:rPr>
      </w:r>
    </w:p>
  </w:footnote>
  <w:footnote w:id="2">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2/7/2018 tarihli ve 700 sayılı KHK’nin 114 üncü maddesiyle, bu bentte yer alan “ve Bakanlar Kurulu” ibaresi madde metninden çıkarılmış ve aynı bende “Başkanlığı,” ibaresinden sonra gelmek üzere “Cumhurbaşkanı yardımcıları ve bakanlar için Cumhurbaşkanlığı,” ibaresi eklenmiştir.</w:t>
      </w:r>
      <w:r w:rsidDel="00000000" w:rsidR="00000000" w:rsidRPr="00000000">
        <w:rPr>
          <w:rtl w:val="0"/>
        </w:rPr>
      </w:r>
    </w:p>
  </w:footnote>
  <w:footnote w:id="3">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1/7/2022 tarihli ve 7417 sayılı Kanunun 40 ıncı maddesiyle bu fıkranın birinci cümlesinde yer alan “Maliye Bakanlığı Baş Hukuk Müşavirliği ve Muhakemat Genel Müdürlüğü ile varsa diğer” ibaresi madde metninden çıkarılmıştır.</w:t>
      </w:r>
      <w:r w:rsidDel="00000000" w:rsidR="00000000" w:rsidRPr="00000000">
        <w:rPr>
          <w:rtl w:val="0"/>
        </w:rPr>
      </w:r>
    </w:p>
  </w:footnote>
  <w:footnote w:id="4">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1/7/2022 tarihli ve 7417 sayılı Kanunun 41 inci maddesiyle bu fıkranın birinci cümlesinde yer alan “, Maliye Bakanlığı Baş Hukuk Müşavirliği ve Muhakemat Genel Müdürlüğü veya temsilcisi” ibaresi madde metninden çıkarılmıştır.</w:t>
      </w:r>
      <w:r w:rsidDel="00000000" w:rsidR="00000000" w:rsidRPr="00000000">
        <w:rPr>
          <w:rtl w:val="0"/>
        </w:rPr>
      </w:r>
    </w:p>
  </w:footnote>
  <w:footnote w:id="5">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2/7/2018 tarihli ve 700 sayılı KHK’nin 114 üncü maddesiyle, bu fıkrada yer alan “Kanunun yayımını izleyen altı ay içinde Bakanlar Kurulu” ibaresi “Cumhurbaşkanı” şeklinde değiştirilmiştir.</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t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TIs7GKmUbFkiIDdrgW3Huh/oOw==">CgMxLjAyD2lkLmt4ZXN3eXdmcDE4ZTIOaC5udTNraDA0aXlyemQ4AHIhMUFHVTlCZTFlZmVWTmNTbm1FVkV1c3VhbFprd1Z4UXRz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