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SECRETARIA DE ESTADO DE SAÚDE DE MATO GROSSO • CIEVS-MT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RADAR LACEN • CIEVS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Monitoramento Laboratorial e Alertas Epidemiológicos — Semana Epidemiológica 30/2026 (Versão Revisada)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31 de agosto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RADAR LACEN • CIEVS — SE 30/2026 (Versão Revisada)</w:t>
      </w:r>
    </w:p>
    <w:p>
      <w:pPr>
        <w:spacing w:before="60" w:after="120" w:line="276"/>
        <w:jc w:val="both"/>
      </w:pPr>
      <w:r>
        <w:rPr>
          <w:b/>
          <w:bCs/>
        </w:rPr>
        <w:t xml:space="preserve">Versão de referência:</w:t>
      </w:r>
      <w:r>
        <w:t xml:space="preserve"> v1 — </w:t>
      </w:r>
      <w:r>
        <w:rPr>
          <w:b/>
          <w:bCs/>
        </w:rPr>
        <w:t xml:space="preserve">Status:</w:t>
      </w:r>
      <w:r>
        <w:t xml:space="preserve"> PRELIMINAR • aguarda validação da Vigilância Epidemiológica (VE)</w:t>
      </w:r>
      <w:r>
        <w:br/>
      </w:r>
      <w:r>
        <w:rPr>
          <w:b/>
          <w:bCs/>
        </w:rPr>
        <w:t xml:space="preserve">Emissão:</w:t>
      </w:r>
      <w:r>
        <w:t xml:space="preserve"> 2026-08-30 21:31 (Horário Padrão Brasil Central)</w:t>
      </w:r>
      <w:r>
        <w:br/>
      </w:r>
      <w:r>
        <w:rPr>
          <w:b/>
          <w:bCs/>
        </w:rPr>
        <w:t xml:space="preserve">Responsável pela validação:</w:t>
      </w:r>
      <w:r>
        <w:t xml:space="preserve"> [nome — CIEVS/VE]</w:t>
      </w:r>
      <w:r>
        <w:br/>
      </w:r>
      <w:r>
        <w:rPr>
          <w:b/>
          <w:bCs/>
        </w:rPr>
        <w:t xml:space="preserve">Fontes de dados:</w:t>
      </w:r>
      <w:r>
        <w:t xml:space="preserve"> DW • staging (VW_GAL) + saida_pipeline (laboratório = uma fonte; cruzar com notificação) • bases atrasadas 4 semanas (esperada 2026-SE34)</w:t>
      </w:r>
    </w:p>
    <w:p>
      <w:pPr>
        <w:spacing w:before="60" w:after="120" w:line="276"/>
      </w:pPr>
      <w:r>
        <w:rPr>
          <w:b/>
          <w:bCs/>
        </w:rPr>
        <w:t xml:space="preserve">Alerta metodológico (censura à direita):</w:t>
      </w:r>
      <w:r>
        <w:t xml:space="preserve"> Com a base atrasada em 4 semanas, a semana mais recente tende a apresentar subnotificação por atraso de digitação. Quedas abruptas de demanda observadas nesta rodada (Tuberculose −62%, COVID-19 −35%, Hepatite B −23%) são consistentes com artefato de lançamento pendente, não correspondendo necessariamente à redução real da circulação ou procura por exames. Recomenda-se comparar exclusivamente semanas com completude consolidada ou parametrizar explicitamente o indicador de completude da série.</w:t>
      </w:r>
    </w:p>
    <w:p>
      <w:pPr>
        <w:pStyle w:val="Heading3"/>
        <w:spacing w:before="240" w:after="120"/>
      </w:pPr>
      <w:r>
        <w:t xml:space="preserve">1. Painel Executivo (One-Pager)</w:t>
      </w:r>
    </w:p>
    <w:p>
      <w:pPr>
        <w:spacing w:before="60" w:after="120" w:line="276"/>
        <w:jc w:val="both"/>
      </w:pPr>
      <w:r>
        <w:t xml:space="preserve">Síntese dos sinais priorizados para a Semana Epidemiológica 30/2026 com detalhamento de evidência, encaminhamento técnico, órgão responsável, prazo de resposta e status situacional: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Recomendação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Juína × hepatite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 exames; Δ +24 vs SE ant. [derivado: +109%], 52,2% do total semanal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na sala de situação; confrontar mediana de 8 semanas; quebrar por marcador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VE Juína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2.130 exames (+162% vs SE ant.); positividade 0,1%; completude [requer dado]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aumento; confrontar notificações; positividade por teste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 municipais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Meningite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exames (+15%)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Investigar; confrontar notificações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TB Cuiabá/VG/Chapada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+4 / +3 / +1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Vigilância coordenada intermunicipal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municipais + regional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Lacunas de notificação (dengue)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municípios; nº exames órfãos [requer dado]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fluxo exame × notificação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liberação laboratorial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23% ≤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kits/reagentes; meta ≥ 80% em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Contínuo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SRAG / respiratório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monitorado nesta rodada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SIVEP-Gripe na 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</w:tr>
    </w:tbl>
    <w:p>
      <w:pPr>
        <w:pStyle w:val="Heading3"/>
        <w:spacing w:before="240" w:after="120"/>
      </w:pPr>
      <w:r>
        <w:t xml:space="preserve">2. Sinais de Atenção</w:t>
      </w:r>
    </w:p>
    <w:p>
      <w:pPr>
        <w:spacing w:before="60" w:after="120" w:line="276"/>
        <w:jc w:val="both"/>
      </w:pPr>
      <w:r>
        <w:t xml:space="preserve">Detalhamento dos eventos que demandam investigação ativa, triagem de surto ou medidas de contingência laboratorial e epidemiológica: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 × hepatite B:</w:t>
      </w:r>
      <w:r>
        <w:t xml:space="preserve"> 46 exames registrados na SE (variação de Δ +24 em relação à semana anterior; [derivado: +109%]); concentração de 52,2% do volume total estadual no município. </w:t>
      </w:r>
      <w:r>
        <w:rPr>
          <w:b/>
          <w:bCs/>
        </w:rPr>
        <w:t xml:space="preserve">Veredito preliminar (não substitui a VE):</w:t>
      </w:r>
      <w:r>
        <w:t xml:space="preserve"> há sinal laboratorial relevante de hepatite B a investigar; não declarar surto/epidemia automaticamente sem confirmação por marcadores específicos.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1ª detecção / sinal novo na SE:</w:t>
      </w:r>
      <w:r>
        <w:t xml:space="preserve"> 1 município identificado [identificar] — avaliar se configura emergência pontual ou evento ainda não captado pela rotina da Vigilância Epidemiológica.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Pico de demanda dengue:</w:t>
      </w:r>
      <w:r>
        <w:t xml:space="preserve"> 2.130 exames processados (+162% em relação à semana anterior; [derivado: SE anterior ≈ 813]) — indica possível aumento expressivo de casos suspeitos ou sobrecarga da rede assistencial sobre a VE. A taxa de positividade de 0,1% sugere hipótese de triagem ampliada de casos indiferenciados ou represamento de laudos pendentes; verificar completude da base antes de conclusões.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Pico de demanda meningite:</w:t>
      </w:r>
      <w:r>
        <w:t xml:space="preserve"> 31 exames processados (+15% em relação à semana anterior; [derivado: SE anterior ≈ 27]) — sinaliza potencial incremento de casos sob investigação e pressão sobre os estoques diagnósticos.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Risco previsto crítico:</w:t>
      </w:r>
      <w:r>
        <w:t xml:space="preserve"> Cuiabá (hepatite) — ressalva técnica: a metodologia do modelo de "risco previsto" não foi formalmente validada nesta versão; o indicador deve ser interpretado como sinal qualitativo até consolidação do rastro metodológico.</w:t>
      </w:r>
    </w:p>
    <w:p>
      <w:pPr>
        <w:pStyle w:val="Heading3"/>
        <w:spacing w:before="240" w:after="120"/>
      </w:pPr>
      <w:r>
        <w:t xml:space="preserve">3. Demanda e Positividade</w:t>
      </w:r>
    </w:p>
    <w:p>
      <w:pPr>
        <w:spacing w:before="60" w:after="120" w:line="276"/>
        <w:jc w:val="both"/>
      </w:pPr>
      <w:r>
        <w:t xml:space="preserve">Panorama da demanda diagnóstica processada pelo GAL/LACEN na SE 30/2026, discriminada por agravo, variação percentual e taxa bruta de positividade: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Dengue:</w:t>
      </w:r>
      <w:r>
        <w:t xml:space="preserve"> 2.130 exames • SE ant. [derivado: ≈ 813] • Δ +162% • completude [requer dado] • 3 positivos (0,1%)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 222 exames • SE ant. [derivado: ≈ 584] • Δ −62% </w:t>
      </w:r>
      <w:r>
        <w:rPr>
          <w:i/>
          <w:iCs/>
        </w:rPr>
        <w:t xml:space="preserve">(provável censura)</w:t>
      </w:r>
      <w:r>
        <w:t xml:space="preserve"> • completude [requer dado] • 25 positivos (11,3%)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 B:</w:t>
      </w:r>
      <w:r>
        <w:t xml:space="preserve"> 155 exames • SE ant. [derivado: ≈ 201] • Δ −23% </w:t>
      </w:r>
      <w:r>
        <w:rPr>
          <w:i/>
          <w:iCs/>
        </w:rPr>
        <w:t xml:space="preserve">(provável censura)</w:t>
      </w:r>
      <w:r>
        <w:t xml:space="preserve"> • completude [requer dado] • 101 positivos (65,2%)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Chikungunya:</w:t>
      </w:r>
      <w:r>
        <w:t xml:space="preserve"> 116 exames • SE ant. [derivado: ≈ 113] • Δ +2,7% • completude [requer dado] • 0 positivos (0,0%)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COVID-19:</w:t>
      </w:r>
      <w:r>
        <w:t xml:space="preserve"> 39 exames • SE ant. [derivado: ≈ 60] • Δ −35% </w:t>
      </w:r>
      <w:r>
        <w:rPr>
          <w:i/>
          <w:iCs/>
        </w:rPr>
        <w:t xml:space="preserve">(provável censura)</w:t>
      </w:r>
      <w:r>
        <w:t xml:space="preserve"> • completude [requer dado] • 0 positivos (0,0%)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Meningite:</w:t>
      </w:r>
      <w:r>
        <w:t xml:space="preserve"> 31 exames • SE ant. [derivado: ≈ 27] • Δ +15% • completude [requer dado] • positivos [requer dado]</w:t>
      </w:r>
    </w:p>
    <w:p>
      <w:pPr>
        <w:spacing w:before="60" w:after="120" w:line="276"/>
      </w:pPr>
      <w:r>
        <w:rPr>
          <w:b/>
          <w:bCs/>
        </w:rPr>
        <w:t xml:space="preserve">Nota de deduplicação:</w:t>
      </w:r>
      <w:r>
        <w:t xml:space="preserve"> Os resultados positivos apresentados refletem a contagem bruta por exame realizado. O sistema GAL rotineiramente processa múltiplos exames para um mesmo indivíduo (painéis sorológicos compostos). Recomenda-se a implementação de rotina de deduplicação por CPF ou ID único do paciente antes do cômputo final dos numeradores de incidência.</w:t>
      </w:r>
    </w:p>
    <w:p>
      <w:pPr>
        <w:pStyle w:val="Heading3"/>
        <w:spacing w:before="240" w:after="120"/>
      </w:pPr>
      <w:r>
        <w:t xml:space="preserve">4. Positividade Discriminada</w:t>
      </w:r>
    </w:p>
    <w:p>
      <w:pPr>
        <w:spacing w:before="60" w:after="120" w:line="276"/>
        <w:jc w:val="both"/>
      </w:pPr>
      <w:r>
        <w:t xml:space="preserve">A discriminação técnica da positividade por marcador sorológico ou metodologia de teste é indispensável para mitigar falsos vereditos de surto:</w:t>
      </w:r>
    </w:p>
    <w:p>
      <w:r>
        <w:t xml:space="preserve">4.1. Hepatite B (Positividade Geral: 65,2% — 101/155)</w:t>
      </w:r>
    </w:p>
    <w:p>
      <w:pPr>
        <w:spacing w:before="60" w:after="120" w:line="276"/>
        <w:jc w:val="both"/>
      </w:pPr>
      <w:r>
        <w:t xml:space="preserve">É imperativo estratificar os resultados por marcador sorológico antes de qualquer inferência quanto à existência de surto ativo: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HBsAg</w:t>
      </w:r>
      <w:r>
        <w:rPr>
          <w:i/>
          <w:iCs/>
        </w:rPr>
        <w:t xml:space="preserve">(indicativo de infecção atual/aguda ou portador crônico)</w:t>
      </w:r>
      <w:r>
        <w:t xml:space="preserve">: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Anti-HBc total</w:t>
      </w:r>
      <w:r>
        <w:rPr>
          <w:i/>
          <w:iCs/>
        </w:rPr>
        <w:t xml:space="preserve">(marcador de contato prévio/cicatriz sorológica, frequente em áreas de alta endemicidade)</w:t>
      </w:r>
      <w:r>
        <w:t xml:space="preserve">: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Anti-HBc IgM</w:t>
      </w:r>
      <w:r>
        <w:rPr>
          <w:i/>
          <w:iCs/>
        </w:rPr>
        <w:t xml:space="preserve">(marcador exclusivo de infecção aguda recente)</w:t>
      </w:r>
      <w:r>
        <w:t xml:space="preserve">: [n / % — requer dado]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A ausência de discriminação por marcador induz à superestimação de transmissão aguda, quando os dados podem refletir tão somente o perfil sorológico histórico e a prevalência de base da população submetida à testagem.</w:t>
      </w:r>
    </w:p>
    <w:p>
      <w:r>
        <w:t xml:space="preserve">4.2. Dengue (Positividade Geral: 0,1% — 3/2.130)</w:t>
      </w:r>
    </w:p>
    <w:p>
      <w:pPr>
        <w:spacing w:before="60" w:after="120" w:line="276"/>
        <w:jc w:val="both"/>
      </w:pPr>
      <w:r>
        <w:t xml:space="preserve">Estratificação requerida por método diagnóstico: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NS1 (Antígeno viral precoce):</w:t>
      </w:r>
      <w:r>
        <w:t xml:space="preserve">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RT-PCR (Biologia molecular):</w:t>
      </w:r>
      <w:r>
        <w:t xml:space="preserve">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Sorologia IgM (Fase de convalescença/tardia):</w:t>
      </w:r>
      <w:r>
        <w:t xml:space="preserve"> [n / % — requer dado]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Essa discriminação impede que demandas infladas por triagem clínica inespecífica sejam interpretadas erroneamente como expansão epidêmica de transmissão viral ativa.</w:t>
      </w:r>
    </w:p>
    <w:p>
      <w:pPr>
        <w:pStyle w:val="Heading3"/>
        <w:spacing w:before="240" w:after="120"/>
      </w:pPr>
      <w:r>
        <w:t xml:space="preserve">5. Território / Clusters</w:t>
      </w:r>
    </w:p>
    <w:p>
      <w:pPr>
        <w:spacing w:before="60" w:after="120" w:line="276"/>
        <w:jc w:val="both"/>
      </w:pPr>
      <w:r>
        <w:rPr>
          <w:b/>
          <w:bCs/>
        </w:rPr>
        <w:t xml:space="preserve">Critério formal aplicado nesta versão:</w:t>
      </w:r>
      <w:r>
        <w:t xml:space="preserve"> Identificação de municípios contíguos que apresentem simultaneamente n ≥ 3 casos positivos e elevação ≥ 100% em relação à mediana das 8 semanas anteriores, dentro da mesma janela temporal. Como aprimoramento metodológico futuro, recomenda-se o uso de algoritmos de varredura espacial puramente espacial e espaço-temporal (SaTScan / estatística de Kulldorff).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
Cuiabá (+4) e Várzea Grande (+3)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Cuiabá (+4) e Chapada dos Guimarães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Várzea Grande (+3) e Chapada dos Guimarães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 B:</w:t>
      </w:r>
      <w:r>
        <w:t xml:space="preserve">
Juína (+24) e Castanheira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Cuiabá (+21) e Várzea Grande (+1)</w:t>
      </w:r>
    </w:p>
    <w:p>
      <w:pPr>
        <w:pStyle w:val="Heading3"/>
        <w:spacing w:before="240" w:after="120"/>
      </w:pPr>
      <w:r>
        <w:t xml:space="preserve">6. Internações Correlatas (Gravidade)</w:t>
      </w:r>
    </w:p>
    <w:p>
      <w:pPr>
        <w:spacing w:before="60" w:after="120" w:line="276"/>
        <w:jc w:val="both"/>
      </w:pPr>
      <w:r>
        <w:rPr>
          <w:b/>
          <w:bCs/>
        </w:rPr>
        <w:t xml:space="preserve">Fonte dos dados:</w:t>
      </w:r>
      <w:r>
        <w:t xml:space="preserve"> [IndicaSUS/SIHD — CID-10 explícitos: Hepatite B15–B19; Tuberculose A15–A19; Dengue A90–A91]. Distribuição das internações por município notificante: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Hepatite:</w:t>
      </w:r>
      <w:r>
        <w:t xml:space="preserve"> Pontes e Lacerda (3); Campo Novo do Parecis (2); Jaciara (1); Cuiabá (1); Araputanga (1).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 Cuiabá (13); Rondonópolis (7); Tangará da Serra (6); Várzea Grande (4); Peixoto de Azevedo (2).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Dengue:</w:t>
      </w:r>
      <w:r>
        <w:t xml:space="preserve"> Canarana (42); Diamantino (39); Tangará da Serra (35); Cuiabá (31); Nova Xavantina (23).</w:t>
      </w:r>
    </w:p>
    <w:p>
      <w:pPr>
        <w:spacing w:before="60" w:after="120" w:line="276"/>
      </w:pPr>
      <w:r>
        <w:rPr>
          <w:b/>
          <w:bCs/>
        </w:rPr>
        <w:t xml:space="preserve">Nota de comparabilidade e risco populacional:</w:t>
      </w:r>
      <w:r>
        <w:t xml:space="preserve"> Contagens absolutas de internação não são diretamente comparáveis entre municípios com portes demográficos discrepantes. Canarana (≈ 20 mil habitantes) e Cuiabá (≈ 650 mil habitantes) apresentam bases populacionais de ordens de magnitude distintas. Faz-se obrigatório o cálculo da taxa por 100 mil habitantes (base demográfica IBGE 2026): Canarana (42 internações) → [x]/100 mil hab.; Cuiabá (31 internações) → [y]/100 mil hab. [requer dado de população]. A aplicação de taxas padronizadas frequentemente inverte a ordem de prioridade para intervenção hospitalar e assistência intensiva.</w:t>
      </w:r>
    </w:p>
    <w:p>
      <w:pPr>
        <w:pStyle w:val="Heading3"/>
        <w:spacing w:before="240" w:after="120"/>
      </w:pPr>
      <w:r>
        <w:t xml:space="preserve">7. Lacunas de Vigilância (Quantificadas)</w:t>
      </w:r>
    </w:p>
    <w:p>
      <w:pPr>
        <w:spacing w:before="60" w:after="120" w:line="276"/>
        <w:jc w:val="both"/>
      </w:pPr>
      <w:r>
        <w:t xml:space="preserve">Municípios que registraram envio e processamento de exames laboratoriais no GAL sem a correspondente notificação individual de agravo no SINAN (foco em Dengue):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Municípios identificados com inconsistência de fluxo:</w:t>
      </w:r>
      <w:r>
        <w:t xml:space="preserve"> Lucas do Rio Verde, Várzea Grande, Sorriso, Cuiabá e Campinápolis.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Volume de exames sem vínculo de notificação (órfãos):</w:t>
      </w:r>
      <w:r>
        <w:t xml:space="preserve"> [requer dado nominal por município].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KPIs operacionais propostos:</w:t>
      </w:r>
      <w:r>
        <w:t xml:space="preserve">
Taxa de completude de notificação: (Notificações vinculadas / Exames processados) * 100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Tempo mediano do fluxo: Coleta -&gt; Liberação do laudo -&gt; Notificação SINAN (em dias corridos).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 imediata requerida:</w:t>
      </w:r>
      <w:r>
        <w:t xml:space="preserve"> Desencadeamento de busca ativa e auditoria técnica de integração do fluxo GAL → SINAN junto aos 5 municípios listados.</w:t>
      </w:r>
    </w:p>
    <w:p>
      <w:pPr>
        <w:pStyle w:val="Heading3"/>
        <w:spacing w:before="240" w:after="120"/>
      </w:pPr>
      <w:r>
        <w:t xml:space="preserve">8. Agravos Respiratórios (Lacuna Declarada)</w:t>
      </w:r>
    </w:p>
    <w:p>
      <w:pPr>
        <w:spacing w:before="60" w:after="120" w:line="276"/>
        <w:jc w:val="both"/>
      </w:pPr>
      <w:r>
        <w:t xml:space="preserve">Registra-se que Síndrome Respiratória Aguda Grave (SRAG/SIVEP-Gripe), exacerbações de asma/DPOC e casos de intoxicação exógena por inalação de fumaça não foram contemplados no pipeline de extração desta rodada.</w:t>
      </w:r>
    </w:p>
    <w:p>
      <w:pPr>
        <w:spacing w:before="60" w:after="120" w:line="276"/>
        <w:jc w:val="both"/>
      </w:pPr>
      <w:r>
        <w:t xml:space="preserve">Trata-se de omissão crítica de vigilância para o contexto epidemiológico atual de Mato Grosso, marcado pelo aumento sazonal de focos de queimadas, concentrações críticas de material particulado fino (PM2,5) e alertas emitidos pelo Sistema ARARAS apontando aproximadamente 79% do território estadual sob faixas de risco elevado (vermelho/roxo). </w:t>
      </w:r>
      <w:r>
        <w:rPr>
          <w:b/>
          <w:bCs/>
        </w:rPr>
        <w:t xml:space="preserve">Recomenda-se formalmente a integração dos dados do SIVEP-Gripe a partir da SE 31/2026.</w:t>
      </w:r>
    </w:p>
    <w:p>
      <w:pPr>
        <w:pStyle w:val="Heading3"/>
        <w:spacing w:before="240" w:after="120"/>
      </w:pPr>
      <w:r>
        <w:t xml:space="preserve">9. Recomendações Estruturadas</w:t>
      </w:r>
    </w:p>
    <w:p>
      <w:pPr>
        <w:spacing w:before="60" w:after="120" w:line="276"/>
        <w:jc w:val="both"/>
      </w:pPr>
      <w:r>
        <w:t xml:space="preserve">Plano de ação direcionado às áreas técnicas, coordenações regionais e instâncias municipais de saúde: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Recomendação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Juína × hepatite B na sala de situação; confrontar com mediana de 8 semanas e quebrar por marcador sorológico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VE Juína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 de dengue (2.130 exames, +162%): confrontar com notificações e executar busca 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 municipais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positividade de hepatite B (65,2%): revisar definição de caso e critérios de encerramento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técnica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de TB Cuiabá/Várzea Grande/Chapada dos Guimarães: reforçar vigilância coordenada intermunicipal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municipais + Regional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Lacunas de notificação de dengue (5 municípios): auditar e corrigir o fluxo exame × notificação no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 de meningite (31 exames, +15%): confrontar com fichas de notificação e amostras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positividade de tuberculose (11,3%): revisar critérios clínicos e laboratoriais de definição de caso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técnica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Arboviroses: tempo de liberação crítico (23% ≤ 48h) — auditar insumos/kits; atingir meta ≥ 80% em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monitoramento ativo de SRAG e agravos respiratórios no escopo semanal do Radar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SES-MT: prestar apoio técnico e institucional à investigação em Juína conforme diretrizes do Guia do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SES-MT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</w:tbl>
    <w:p>
      <w:pPr>
        <w:pStyle w:val="Heading3"/>
        <w:spacing w:before="240" w:after="120"/>
      </w:pPr>
      <w:r>
        <w:t xml:space="preserve">10. Apoio Laboratorial</w:t>
      </w:r>
    </w:p>
    <w:p>
      <w:pPr>
        <w:spacing w:before="60" w:after="120" w:line="276"/>
        <w:jc w:val="both"/>
      </w:pPr>
      <w:r>
        <w:t xml:space="preserve">Ações de suporte diagnóstico operacional e contingencial sob responsabilidade do LACEN-MT: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Arboviroses sob sinal de elevação:</w:t>
      </w:r>
      <w:r>
        <w:t xml:space="preserve"> Auditoria imediata na capacidade de estoque de reagentes e kits de extração/amplificação. O indicador atual de tempo de liberação de laudos (23% ≤ 48h) compromete o tempo de resposta da VE de campo. Estabelece-se como </w:t>
      </w:r>
      <w:r>
        <w:rPr>
          <w:b/>
          <w:bCs/>
        </w:rPr>
        <w:t xml:space="preserve">meta operacional mínima ≥ 80% dos laudos liberados em até 48 horas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 (Hepatite B):</w:t>
      </w:r>
      <w:r>
        <w:t xml:space="preserve"> Disponibilização de suporte técnico para realização ágil de painel sorológico confirmatório (HBsAg, anti-HBc IgM e carga viral por biologia molecular), mediante requisição fundamentada da equipe de Vigilância Epidemiológica local.</w:t>
      </w:r>
    </w:p>
    <w:p>
      <w:pPr>
        <w:pStyle w:val="Heading3"/>
        <w:spacing w:before="240" w:after="120"/>
      </w:pPr>
      <w:r>
        <w:t xml:space="preserve">11. Parecer Técnico</w:t>
      </w:r>
    </w:p>
    <w:p>
      <w:pPr>
        <w:spacing w:before="60" w:after="120" w:line="276"/>
        <w:jc w:val="both"/>
      </w:pPr>
      <w:r>
        <w:rPr>
          <w:b/>
          <w:bCs/>
        </w:rPr>
        <w:t xml:space="preserve">Evento:</w:t>
      </w:r>
      <w:r>
        <w:t xml:space="preserve"> Juína × Hepatite B — 46 exames / Δ +24 (+109% em relação à SE anterior).</w:t>
      </w:r>
    </w:p>
    <w:p>
      <w:pPr>
        <w:spacing w:before="60" w:after="120" w:line="276"/>
        <w:jc w:val="both"/>
      </w:pPr>
      <w:r>
        <w:t xml:space="preserve">Trata-se de um </w:t>
      </w:r>
      <w:r>
        <w:rPr>
          <w:b/>
          <w:bCs/>
        </w:rPr>
        <w:t xml:space="preserve">sinal laboratorial relevante</w:t>
      </w:r>
      <w:r>
        <w:t xml:space="preserve"> que impõe ação investigativa imediata, conforme preconizado pelo Guia de Vigilância em Saúde do Ministério da Saúde. Contudo, </w:t>
      </w:r>
      <w:r>
        <w:rPr>
          <w:b/>
          <w:bCs/>
        </w:rPr>
        <w:t xml:space="preserve">não se deve declarar formalmente surto ou epidemia de forma automática</w:t>
      </w:r>
      <w:r>
        <w:t xml:space="preserve">, em razão do risco de viés gerado pela inclusão de testes de cicatriz sorológica (anti-HBc total) sem a correspondente confirmação de casos agudos (anti-HBc IgM / HBsAg).</w:t>
      </w:r>
    </w:p>
    <w:p>
      <w:pPr>
        <w:spacing w:before="60" w:after="120" w:line="276"/>
        <w:jc w:val="both"/>
      </w:pPr>
      <w:r>
        <w:t xml:space="preserve">Determina-se a reavaliação obrigatória deste veredito no prazo de </w:t>
      </w:r>
      <w:r>
        <w:rPr>
          <w:b/>
          <w:bCs/>
        </w:rPr>
        <w:t xml:space="preserve">48 a 72 horas</w:t>
      </w:r>
      <w:r>
        <w:t xml:space="preserve">, período no qual deverão ser integrados os dados da semana epidemiológica consolidada e a estratificação nominal por marcador sorológico.</w:t>
      </w:r>
    </w:p>
    <w:p>
      <w:pPr>
        <w:pStyle w:val="Heading3"/>
        <w:spacing w:before="240" w:after="120"/>
      </w:pPr>
      <w:r>
        <w:t xml:space="preserve">12. Notas Metodológicas e Lacunas de Dados</w:t>
      </w:r>
    </w:p>
    <w:p>
      <w:pPr>
        <w:spacing w:before="60" w:after="120" w:line="276"/>
        <w:jc w:val="both"/>
      </w:pPr>
      <w:r>
        <w:rPr>
          <w:b/>
          <w:bCs/>
        </w:rPr>
        <w:t xml:space="preserve">Aprimoramentos aplicados nesta revisão:</w:t>
      </w:r>
      <w:r>
        <w:t xml:space="preserve"> Recuperação da integridade textual de todos os campos sem truncamentos; dedução percentual (Δ%) com base na série da semana anterior; inserção de alerta explícito de censura à direita; explicitação dos parâmetros para formação de clusters territoriais; estruturação de matriz de recomendações com designação de responsável, prazo e status; requisição formal de estratificação diagnóstica por marcador/teste; introdução de seção dedicada à saúde respiratória; e formalização de KPIs para auditoria de fluxo e tempo de resposta laboratorial.</w:t>
      </w:r>
    </w:p>
    <w:p>
      <w:pPr>
        <w:spacing w:before="60" w:after="120" w:line="276"/>
        <w:jc w:val="both"/>
      </w:pPr>
      <w:r>
        <w:rPr>
          <w:b/>
          <w:bCs/>
        </w:rPr>
        <w:t xml:space="preserve">Dados pendentes para fechamento do modelo definitivo: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Coeficiente de completude semanal por base de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Rastreio de razão contra a mediana histórica de 5 anos (Canal Endêmico de Bortman).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Detalhamento nominal da positividade por marcador sorológico específico e metodologia de ensaio.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Dados demográficos atualizados (estimativa IBGE 2026) para padronização de taxas por 100 mil habitantes.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Quantitativo consolidado de exames órfãos por município.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Rotina automatizada de deduplicação por identificador único de paciente.</w:t>
      </w:r>
    </w:p>
    <w:p>
      <w:pPr>
        <w:spacing w:before="60" w:after="120" w:line="276"/>
        <w:jc w:val="both"/>
      </w:pPr>
      <w:r>
        <w:rPr>
          <w:b/>
          <w:bCs/>
        </w:rPr>
        <w:t xml:space="preserve">Score de prioridade municipal integrado (Proposta para homologação):</w:t>
      </w:r>
      <w:r>
        <w:t xml:space="preserve"> Índice sintético baseado no somatório ponderado das seguintes dimensões: Excesso estatístico laboratorial (peso 3) + Positividade anômala (peso 2) + Lacuna de notificação SINAN (peso 1) + Volume de internações graves (peso 1). Aplicação piloto preliminar: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Juína:</w:t>
      </w:r>
      <w:r>
        <w:t xml:space="preserve"> Pontuação 6 — </w:t>
      </w:r>
      <w:r>
        <w:rPr>
          <w:i/>
          <w:iCs/>
        </w:rPr>
        <w:t xml:space="preserve">Classificação: Crítico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Cuiabá:</w:t>
      </w:r>
      <w:r>
        <w:t xml:space="preserve"> Pontuação 5 — </w:t>
      </w:r>
      <w:r>
        <w:rPr>
          <w:i/>
          <w:iCs/>
        </w:rPr>
        <w:t xml:space="preserve">Classificação: Crítico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Canarana:</w:t>
      </w:r>
      <w:r>
        <w:t xml:space="preserve"> Pontuação 2 — </w:t>
      </w:r>
      <w:r>
        <w:rPr>
          <w:i/>
          <w:iCs/>
        </w:rPr>
        <w:t xml:space="preserve">Classificação: Médio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A composição de pesos do índice deverá ser formalmente validada em conjunto com o colegiado técnico do CIEVS-MT antes de sua incorporação definitiva ao painel de tomada de decisão.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t xml:space="preserve">Documento de circulação interna preliminar — aguarda validação da Vigilância Epidemiológica antes de comunicação oficial interinstitucional.</w:t>
      </w:r>
      <w:r>
        <w:br/>
      </w:r>
      <w:r>
        <w:t xml:space="preserve">Centro de Informações Estratégicas em Vigilância em Saúde (CIEVS-MT) • Secretaria de Estado de Saúde de Mato Grosso (SES-MT)</w:t>
      </w:r>
      <w:r>
        <w:br/>
      </w:r>
      <w:r>
        <w:t xml:space="preserve">Fontes: DW (VW_GAL) + saida_pipeline + Sistemas Oficiais de Notificação • 31 de agosto de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/>
        <w:b w:val="0"/>
        <w:color w:val="5A6A85"/>
        <w:sz w:val="14"/>
      </w:rPr>
      <w:t>Documento institucional — sem microdado nominal · Circulação interna CIEVS/VE · 2026-08-31 · SE 30/2026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3118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96000" cy="511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s_governo_mt_bann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511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  <w:r>
            <w:rPr>
              <w:rFonts w:ascii="Calibri" w:hAnsi="Calibri"/>
              <w:b w:val="0"/>
              <w:color w:val="5A6A85"/>
              <w:sz w:val="14"/>
            </w:rPr>
            <w:t>SES-MT</w:t>
          </w:r>
        </w:p>
      </w:tc>
      <w:tc>
        <w:tcPr>
          <w:tcW w:type="dxa" w:w="3118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96000" cy="11137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ievs_ses_faixa_pret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1113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  <w:r>
            <w:rPr>
              <w:rFonts w:ascii="Calibri" w:hAnsi="Calibri"/>
              <w:b w:val="0"/>
              <w:color w:val="5A6A85"/>
              <w:sz w:val="14"/>
            </w:rPr>
            <w:t>CIEVS-MT</w:t>
          </w:r>
        </w:p>
      </w:tc>
      <w:tc>
        <w:tcPr>
          <w:tcW w:type="dxa" w:w="3118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96000" cy="148078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ievs_rede_ses_banner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14807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  <w:r>
            <w:rPr>
              <w:rFonts w:ascii="Calibri" w:hAnsi="Calibri"/>
              <w:b w:val="0"/>
              <w:color w:val="5A6A85"/>
              <w:sz w:val="14"/>
            </w:rPr>
            <w:t>Rede CIEVS</w:t>
          </w:r>
        </w:p>
      </w:tc>
    </w:tr>
  </w:tbl>
  <w:p>
    <w:pPr>
      <w:spacing w:before="80" w:after="40"/>
      <w:jc w:val="center"/>
    </w:pPr>
    <w:r>
      <w:rPr>
        <w:rFonts w:ascii="Calibri" w:hAnsi="Calibri"/>
        <w:b/>
        <w:color w:val="1B3281"/>
        <w:sz w:val="20"/>
      </w:rPr>
      <w:t>SES-MT · CIEVS-MT · Radar LACEN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2026-08-31T11:57:13.579Z</dcterms:created>
  <dcterms:modified xsi:type="dcterms:W3CDTF">2026-08-31T11:57:13.579Z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