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619B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sz w:val="24"/>
        </w:rPr>
        <w:t>GOVERNO DO ESTADO DE MATO GROSSO</w:t>
      </w:r>
    </w:p>
    <w:p w14:paraId="7CB63A24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sz w:val="24"/>
        </w:rPr>
        <w:t>SECRETARIA DE ESTADO DE SAÚDE</w:t>
      </w:r>
    </w:p>
    <w:p w14:paraId="75E1782D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sz w:val="24"/>
        </w:rPr>
        <w:t>GABINETE DO SECRETÁRIO</w:t>
      </w:r>
    </w:p>
    <w:p w14:paraId="65CC5559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b/>
          <w:sz w:val="24"/>
        </w:rPr>
        <w:t>PORTARIA Nº ____/2026/GBSES</w:t>
      </w:r>
    </w:p>
    <w:p w14:paraId="6AF33309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 xml:space="preserve">Institui o </w:t>
      </w:r>
      <w:r>
        <w:rPr>
          <w:rFonts w:ascii="Times New Roman" w:hAnsi="Times New Roman"/>
          <w:b/>
          <w:sz w:val="24"/>
        </w:rPr>
        <w:t>ARARAS MT – Análise, Resposta e Acompanhamento de Riscos, Agravos e Saúde</w:t>
      </w:r>
      <w:r>
        <w:rPr>
          <w:rFonts w:ascii="Times New Roman" w:hAnsi="Times New Roman"/>
          <w:sz w:val="24"/>
        </w:rPr>
        <w:t xml:space="preserve"> como ferramenta oficial da Secretaria de Estado de Saúde de Mato Grosso para monitoramento integrado clima–ambiente–saúde, apoio à Sala de Situação em Saúde de que trata a Portaria nº 0590/2026/GBSES, registro eletrônico de indicadores e ações do Plano El Niño, produção de boletins, alertas, memória histórica e demais módulos correlatos; reconhece a autoria técnico-intelectual do desenvolvimento e disciplina os direitos de uso institucionais; e dá outras providências.</w:t>
      </w:r>
    </w:p>
    <w:p w14:paraId="0EF9DC34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O SECRETÁRIO DE ESTADO DE SAÚDE DE MATO GROSSO, no uso das atribuições que lhe confere o art. 71 da Constituição do Estado de Mato Grosso e a legislação vigente,</w:t>
      </w:r>
    </w:p>
    <w:p w14:paraId="22817B2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CONSIDERANDO o art. 196 da Constituição Federal e a Lei Federal nº 8.080, de 19 de setembro de 1990;</w:t>
      </w:r>
    </w:p>
    <w:p w14:paraId="5C5E4CD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CONSIDERANDO as Leis Federais nº 12.187, de 29 de dezembro de 2009, e nº 14.904, de 27 de junho de 2024, bem como a Resolução CNS nº 588, de 12 de julho de 2018;</w:t>
      </w:r>
    </w:p>
    <w:p w14:paraId="28B71E30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CONSIDERANDO as Portarias GM/MS nº 3.232, de 1º de março de 2024, e nº 6.918, de 7 de maio de 2025, o Decreto Federal nº 12.560, de 23 de julho de 2025, e as diretrizes do AdaptaSUS / Guia de Mudanças Climáticas e Saúde;</w:t>
      </w:r>
    </w:p>
    <w:p w14:paraId="140DECDC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CONSIDERANDO as Leis Federais nº 9.609, de 19 de fevereiro de 1998 (proteção da propriedade intelectual de programa de computador), e nº 9.610, de 19 de fevereiro de 1998 (direitos autorais), bem como as Leis Federais nº 12.527, de 18 de novembro de 2011, e nº 13.709, de 14 de agosto de 2018;</w:t>
      </w:r>
    </w:p>
    <w:p w14:paraId="75446A1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CONSIDERANDO o Decreto Estadual nº 1.976, de 30 de março de 2026; o Decreto Estadual nº 130, de 24 de fevereiro de 2023, e a Portaria nº 0650/2025/GBSES; e a Portaria nº 0590/2026/GBSES, que institui a Sala de Situação em Saúde para o El Niño 2026–2027 e extremos climáticos;</w:t>
      </w:r>
    </w:p>
    <w:p w14:paraId="5CA70112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CONSIDERANDO que o ARARAS MT foi desenvolvido no âmbito do CIEVS-MT, sob responsabilidade técnica do servidor </w:t>
      </w:r>
      <w:r>
        <w:rPr>
          <w:rFonts w:ascii="Times New Roman" w:hAnsi="Times New Roman"/>
          <w:b/>
          <w:sz w:val="24"/>
        </w:rPr>
        <w:t>Menandes Alves de Souza Neto</w:t>
      </w:r>
      <w:r>
        <w:rPr>
          <w:rFonts w:ascii="Times New Roman" w:hAnsi="Times New Roman"/>
          <w:sz w:val="24"/>
        </w:rPr>
        <w:t xml:space="preserve">, matrícula funcional </w:t>
      </w:r>
      <w:r>
        <w:rPr>
          <w:rFonts w:ascii="Times New Roman" w:hAnsi="Times New Roman"/>
          <w:b/>
          <w:sz w:val="24"/>
        </w:rPr>
        <w:t>214089</w:t>
      </w:r>
      <w:r>
        <w:rPr>
          <w:rFonts w:ascii="Times New Roman" w:hAnsi="Times New Roman"/>
          <w:sz w:val="24"/>
        </w:rPr>
        <w:t>, para integrar dados, apoiar a Sala de Situação e registrar ações e indicadores de forma auditável, com supervisão humana, transparência e segurança,</w:t>
      </w:r>
    </w:p>
    <w:p w14:paraId="0DE0EE2D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b/>
          <w:sz w:val="24"/>
        </w:rPr>
        <w:t>RESOLVE:</w:t>
      </w:r>
    </w:p>
    <w:p w14:paraId="091DF7A3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I – DAS DISPOSIÇÕES GERAIS</w:t>
      </w:r>
    </w:p>
    <w:p w14:paraId="5DB1E00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1º</w:t>
      </w:r>
      <w:r>
        <w:rPr>
          <w:rFonts w:ascii="Times New Roman" w:hAnsi="Times New Roman"/>
          <w:sz w:val="24"/>
        </w:rPr>
        <w:t xml:space="preserve"> Fica instituído, no âmbito da Secretaria de Estado de Saúde de Mato Grosso – SES-MT, o </w:t>
      </w:r>
      <w:r>
        <w:rPr>
          <w:rFonts w:ascii="Times New Roman" w:hAnsi="Times New Roman"/>
          <w:b/>
          <w:sz w:val="24"/>
        </w:rPr>
        <w:t>ARARAS MT</w:t>
      </w:r>
      <w:r>
        <w:rPr>
          <w:rFonts w:ascii="Times New Roman" w:hAnsi="Times New Roman"/>
          <w:sz w:val="24"/>
        </w:rPr>
        <w:t xml:space="preserve">, como </w:t>
      </w:r>
      <w:r>
        <w:rPr>
          <w:rFonts w:ascii="Times New Roman" w:hAnsi="Times New Roman"/>
          <w:b/>
          <w:sz w:val="24"/>
        </w:rPr>
        <w:t>ferramenta oficial</w:t>
      </w:r>
      <w:r>
        <w:rPr>
          <w:rFonts w:ascii="Times New Roman" w:hAnsi="Times New Roman"/>
          <w:sz w:val="24"/>
        </w:rPr>
        <w:t xml:space="preserve"> de inteligência, monitoramento integrado, registro operacional e apoio à gestão de riscos, agravos e eventos de interesse para a saúde pública.</w:t>
      </w:r>
    </w:p>
    <w:p w14:paraId="0BEC9F7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lastRenderedPageBreak/>
        <w:t>§ 1º</w:t>
      </w:r>
      <w:r>
        <w:rPr>
          <w:rFonts w:ascii="Times New Roman" w:hAnsi="Times New Roman"/>
          <w:sz w:val="24"/>
        </w:rPr>
        <w:t xml:space="preserve"> ARARAS corresponde a </w:t>
      </w:r>
      <w:r>
        <w:rPr>
          <w:rFonts w:ascii="Times New Roman" w:hAnsi="Times New Roman"/>
          <w:b/>
          <w:sz w:val="24"/>
        </w:rPr>
        <w:t>Análise, Resposta e Acompanhamento de Riscos, Agravos e Saúde</w:t>
      </w:r>
      <w:r>
        <w:rPr>
          <w:rFonts w:ascii="Times New Roman" w:hAnsi="Times New Roman"/>
          <w:sz w:val="24"/>
        </w:rPr>
        <w:t>.</w:t>
      </w:r>
    </w:p>
    <w:p w14:paraId="0FAEB582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2º</w:t>
      </w:r>
      <w:r>
        <w:rPr>
          <w:rFonts w:ascii="Times New Roman" w:hAnsi="Times New Roman"/>
          <w:sz w:val="24"/>
        </w:rPr>
        <w:t xml:space="preserve"> O ARARAS MT é o </w:t>
      </w:r>
      <w:r>
        <w:rPr>
          <w:rFonts w:ascii="Times New Roman" w:hAnsi="Times New Roman"/>
          <w:b/>
          <w:sz w:val="24"/>
        </w:rPr>
        <w:t>instrumento tecnológico oficial</w:t>
      </w:r>
      <w:r>
        <w:rPr>
          <w:rFonts w:ascii="Times New Roman" w:hAnsi="Times New Roman"/>
          <w:sz w:val="24"/>
        </w:rPr>
        <w:t xml:space="preserve"> de apoio à Sala de Situação de que trata a Portaria nº 0590/2026/GBSES, inclusive para:</w:t>
      </w:r>
    </w:p>
    <w:p w14:paraId="3C75F9D1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 – monitoramento climático, ambiental e sanitário territorial;</w:t>
      </w:r>
    </w:p>
    <w:p w14:paraId="14FDAC9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 – classificação de risco e priorização;</w:t>
      </w:r>
    </w:p>
    <w:p w14:paraId="62D37C71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III – produção de boletim e sínteses da Sala;</w:t>
      </w:r>
    </w:p>
    <w:p w14:paraId="6659D57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IV – </w:t>
      </w:r>
      <w:r>
        <w:rPr>
          <w:rFonts w:ascii="Times New Roman" w:hAnsi="Times New Roman"/>
          <w:b/>
          <w:sz w:val="24"/>
        </w:rPr>
        <w:t>registro eletrônico de indicadores, ações, evidências e validações</w:t>
      </w:r>
      <w:r>
        <w:rPr>
          <w:rFonts w:ascii="Times New Roman" w:hAnsi="Times New Roman"/>
          <w:sz w:val="24"/>
        </w:rPr>
        <w:t xml:space="preserve"> do Plano El Niño / Sala de Situação;</w:t>
      </w:r>
    </w:p>
    <w:p w14:paraId="1F5FFF7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 – cobrança, escalonamento e acompanhamento de completude;</w:t>
      </w:r>
    </w:p>
    <w:p w14:paraId="40D85704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VI – alertas institucionais com trilha de auditoria; e</w:t>
      </w:r>
    </w:p>
    <w:p w14:paraId="468F05A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VII – memória histórica e validação de projeções.</w:t>
      </w:r>
    </w:p>
    <w:p w14:paraId="77D993C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3º</w:t>
      </w:r>
      <w:r>
        <w:rPr>
          <w:rFonts w:ascii="Times New Roman" w:hAnsi="Times New Roman"/>
          <w:sz w:val="24"/>
        </w:rPr>
        <w:t xml:space="preserve"> A plataforma é complementar e </w:t>
      </w:r>
      <w:r>
        <w:rPr>
          <w:rFonts w:ascii="Times New Roman" w:hAnsi="Times New Roman"/>
          <w:b/>
          <w:sz w:val="24"/>
        </w:rPr>
        <w:t>não substitui</w:t>
      </w:r>
      <w:r>
        <w:rPr>
          <w:rFonts w:ascii="Times New Roman" w:hAnsi="Times New Roman"/>
          <w:sz w:val="24"/>
        </w:rPr>
        <w:t xml:space="preserve"> sistemas oficiais do SUS, notificação compulsória, avisos de órgãos competentes, protocolos, planos de contingência, processo administrativo (SEI) nem a decisão da autoridade responsável.</w:t>
      </w:r>
    </w:p>
    <w:p w14:paraId="7107935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4º</w:t>
      </w:r>
      <w:r>
        <w:rPr>
          <w:rFonts w:ascii="Times New Roman" w:hAnsi="Times New Roman"/>
          <w:sz w:val="24"/>
        </w:rPr>
        <w:t xml:space="preserve"> É vedado o uso para diagnóstico individual, prescrição clínica, regulação automática de pacientes, sanção ou decisão automatizada com efeito jurídico ou assistencial sobre pessoa natural.</w:t>
      </w:r>
    </w:p>
    <w:p w14:paraId="4AAC13E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2º</w:t>
      </w:r>
      <w:r>
        <w:rPr>
          <w:rFonts w:ascii="Times New Roman" w:hAnsi="Times New Roman"/>
          <w:sz w:val="24"/>
        </w:rPr>
        <w:t xml:space="preserve"> A abrangência é estadual, com recortes por região de saúde e município, podendo contemplar calor extremo, seca e estiagem, fumaça e qualidade do ar, chuvas e inundações, agravos sensíveis ao clima, capacidade assistencial, territórios vulneráveis e povos tradicionais, atos oficiais de emergência correlatos e demais indicadores definidos pela governança da Sala.</w:t>
      </w:r>
    </w:p>
    <w:p w14:paraId="4684274F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3º</w:t>
      </w:r>
      <w:r>
        <w:rPr>
          <w:rFonts w:ascii="Times New Roman" w:hAnsi="Times New Roman"/>
          <w:sz w:val="24"/>
        </w:rPr>
        <w:t xml:space="preserve"> São finalidades do ARARAS MT:</w:t>
      </w:r>
    </w:p>
    <w:p w14:paraId="56E4E9D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 – integrar indicadores clima–ambiente–saúde–território;</w:t>
      </w:r>
    </w:p>
    <w:p w14:paraId="26EC161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 – antecipar cenários de curto prazo e priorizar resposta;</w:t>
      </w:r>
    </w:p>
    <w:p w14:paraId="4A18CF5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III – comunicar risco de forma controlada e auditável;</w:t>
      </w:r>
    </w:p>
    <w:p w14:paraId="34D72C0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IV – registrar eletronicamente indicadores e ações do Plano El Niño / Sala, com evidência e validação do CIEVS, articulado ao SEI;</w:t>
      </w:r>
    </w:p>
    <w:p w14:paraId="3DC0BFD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 – produzir boletim periódico e produtos de rodada semanal;</w:t>
      </w:r>
    </w:p>
    <w:p w14:paraId="268C76E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VI – manter memória histórica e validação de projeções;</w:t>
      </w:r>
    </w:p>
    <w:p w14:paraId="75B9F63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VII – apoiar adaptação do setor saúde, inclusive no alinhamento ao AdaptaSUS; e</w:t>
      </w:r>
    </w:p>
    <w:p w14:paraId="7A27CA0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VIII – disponibilizar site institucional e painéis com perfis de acesso diferenciados.</w:t>
      </w:r>
    </w:p>
    <w:p w14:paraId="637EB9AC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4º</w:t>
      </w:r>
      <w:r>
        <w:rPr>
          <w:rFonts w:ascii="Times New Roman" w:hAnsi="Times New Roman"/>
          <w:sz w:val="24"/>
        </w:rPr>
        <w:t xml:space="preserve"> São princípios: proteção da vida e equidade; evidência com supervisão humana; transparência de fontes e limitações; interoperabilidade e rastreabilidade; privacidade e segurança; proporcionalidade; respeito às competências interfederativas; auditabilidade; e </w:t>
      </w:r>
      <w:r>
        <w:rPr>
          <w:rFonts w:ascii="Times New Roman" w:hAnsi="Times New Roman"/>
          <w:b/>
          <w:sz w:val="24"/>
        </w:rPr>
        <w:t>vedação a inventar</w:t>
      </w:r>
      <w:r>
        <w:rPr>
          <w:rFonts w:ascii="Times New Roman" w:hAnsi="Times New Roman"/>
          <w:sz w:val="24"/>
        </w:rPr>
        <w:t xml:space="preserve"> valores ausentes ou fora do recorte metodológico.</w:t>
      </w:r>
    </w:p>
    <w:p w14:paraId="0FA5E5D0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lastRenderedPageBreak/>
        <w:t>CAPÍTULO II – DOS COMPONENTES E DAS FUNCIONALIDADES</w:t>
      </w:r>
    </w:p>
    <w:p w14:paraId="6A6E065F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5º</w:t>
      </w:r>
      <w:r>
        <w:rPr>
          <w:rFonts w:ascii="Times New Roman" w:hAnsi="Times New Roman"/>
          <w:sz w:val="24"/>
        </w:rPr>
        <w:t xml:space="preserve"> Constituem componentes do ARARAS MT, conforme implantação progressiva e documentação técnico-operacional vigente:</w:t>
      </w:r>
    </w:p>
    <w:p w14:paraId="19F751FE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 – </w:t>
      </w:r>
      <w:r>
        <w:rPr>
          <w:rFonts w:ascii="Times New Roman" w:hAnsi="Times New Roman"/>
          <w:b/>
          <w:sz w:val="24"/>
        </w:rPr>
        <w:t>site institucional</w:t>
      </w:r>
      <w:r>
        <w:rPr>
          <w:rFonts w:ascii="Times New Roman" w:hAnsi="Times New Roman"/>
          <w:sz w:val="24"/>
        </w:rPr>
        <w:t xml:space="preserve"> (vitrine pública) e </w:t>
      </w:r>
      <w:r>
        <w:rPr>
          <w:rFonts w:ascii="Times New Roman" w:hAnsi="Times New Roman"/>
          <w:b/>
          <w:sz w:val="24"/>
        </w:rPr>
        <w:t>painel operacional</w:t>
      </w:r>
      <w:r>
        <w:rPr>
          <w:rFonts w:ascii="Times New Roman" w:hAnsi="Times New Roman"/>
          <w:sz w:val="24"/>
        </w:rPr>
        <w:t xml:space="preserve"> autenticado;</w:t>
      </w:r>
    </w:p>
    <w:p w14:paraId="40112AD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 – motor de integração, carga e atualização de dados (ETL) e base operacional;</w:t>
      </w:r>
    </w:p>
    <w:p w14:paraId="6DA4F1A3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III – módulos de clima e extremos; ambiente e qualidade do ar; agravos e saúde; assistência, ocupação e regulação; resposta territorial e cobertura;</w:t>
      </w:r>
    </w:p>
    <w:p w14:paraId="6BD6E642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IV – </w:t>
      </w:r>
      <w:r>
        <w:rPr>
          <w:rFonts w:ascii="Times New Roman" w:hAnsi="Times New Roman"/>
          <w:b/>
          <w:sz w:val="24"/>
        </w:rPr>
        <w:t>Sala de Situação / Plano El Niño</w:t>
      </w:r>
      <w:r>
        <w:rPr>
          <w:rFonts w:ascii="Times New Roman" w:hAnsi="Times New Roman"/>
          <w:sz w:val="24"/>
        </w:rPr>
        <w:t>, com catálogo de indicadores, registro por área técnica, evidências, validação CIEVS, briefing, cobrança, ações, acessos e plano de ação imediata (PAI), quando aplicável;</w:t>
      </w:r>
    </w:p>
    <w:p w14:paraId="2E4C6F7C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 – classificação de risco e estágios de ativação / escalonamento operacional;</w:t>
      </w:r>
    </w:p>
    <w:p w14:paraId="455DA51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VI – módulo de </w:t>
      </w:r>
      <w:r>
        <w:rPr>
          <w:rFonts w:ascii="Times New Roman" w:hAnsi="Times New Roman"/>
          <w:b/>
          <w:sz w:val="24"/>
        </w:rPr>
        <w:t>alertas multinível</w:t>
      </w:r>
      <w:r>
        <w:rPr>
          <w:rFonts w:ascii="Times New Roman" w:hAnsi="Times New Roman"/>
          <w:sz w:val="24"/>
        </w:rPr>
        <w:t xml:space="preserve"> (estadual, regional, municipal e territoriais específicos), com estados de validação e auditoria;</w:t>
      </w:r>
    </w:p>
    <w:p w14:paraId="349424C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VII – </w:t>
      </w:r>
      <w:r>
        <w:rPr>
          <w:rFonts w:ascii="Times New Roman" w:hAnsi="Times New Roman"/>
          <w:b/>
          <w:sz w:val="24"/>
        </w:rPr>
        <w:t>boletim semanal</w:t>
      </w:r>
      <w:r>
        <w:rPr>
          <w:rFonts w:ascii="Times New Roman" w:hAnsi="Times New Roman"/>
          <w:sz w:val="24"/>
        </w:rPr>
        <w:t xml:space="preserve"> da Sala (semana epidemiológica SINAN), mapas e exportações de rodada;</w:t>
      </w:r>
    </w:p>
    <w:p w14:paraId="3254891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VIII – indexação de </w:t>
      </w:r>
      <w:r>
        <w:rPr>
          <w:rFonts w:ascii="Times New Roman" w:hAnsi="Times New Roman"/>
          <w:b/>
          <w:sz w:val="24"/>
        </w:rPr>
        <w:t>atos oficiais</w:t>
      </w:r>
      <w:r>
        <w:rPr>
          <w:rFonts w:ascii="Times New Roman" w:hAnsi="Times New Roman"/>
          <w:sz w:val="24"/>
        </w:rPr>
        <w:t xml:space="preserve"> de emergência climática (IOMAT e correlatos), para contextualização;</w:t>
      </w:r>
    </w:p>
    <w:p w14:paraId="701C0F2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IX – </w:t>
      </w:r>
      <w:r>
        <w:rPr>
          <w:rFonts w:ascii="Times New Roman" w:hAnsi="Times New Roman"/>
          <w:b/>
          <w:sz w:val="24"/>
        </w:rPr>
        <w:t>memória histórica</w:t>
      </w:r>
      <w:r>
        <w:rPr>
          <w:rFonts w:ascii="Times New Roman" w:hAnsi="Times New Roman"/>
          <w:sz w:val="24"/>
        </w:rPr>
        <w:t xml:space="preserve"> e validação projeção × observado;</w:t>
      </w:r>
    </w:p>
    <w:p w14:paraId="7F7EE053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X – comunicações institucionais (e-mail e canais homologados pela STI); e</w:t>
      </w:r>
    </w:p>
    <w:p w14:paraId="4170CC2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XI – serviços de interoperabilidade e identidade homologados pela STI/SES-MT.</w:t>
      </w:r>
    </w:p>
    <w:p w14:paraId="1F550C0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1º</w:t>
      </w:r>
      <w:r>
        <w:rPr>
          <w:rFonts w:ascii="Times New Roman" w:hAnsi="Times New Roman"/>
          <w:sz w:val="24"/>
        </w:rPr>
        <w:t xml:space="preserve"> O acesso observará, no mínimo, perfis </w:t>
      </w:r>
      <w:r>
        <w:rPr>
          <w:rFonts w:ascii="Times New Roman" w:hAnsi="Times New Roman"/>
          <w:b/>
          <w:sz w:val="24"/>
        </w:rPr>
        <w:t>público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municipal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regional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b/>
          <w:sz w:val="24"/>
        </w:rPr>
        <w:t>SES</w:t>
      </w:r>
      <w:r>
        <w:rPr>
          <w:rFonts w:ascii="Times New Roman" w:hAnsi="Times New Roman"/>
          <w:sz w:val="24"/>
        </w:rPr>
        <w:t xml:space="preserve"> e </w:t>
      </w:r>
      <w:r>
        <w:rPr>
          <w:rFonts w:ascii="Times New Roman" w:hAnsi="Times New Roman"/>
          <w:b/>
          <w:sz w:val="24"/>
        </w:rPr>
        <w:t>administrativo</w:t>
      </w:r>
      <w:r>
        <w:rPr>
          <w:rFonts w:ascii="Times New Roman" w:hAnsi="Times New Roman"/>
          <w:sz w:val="24"/>
        </w:rPr>
        <w:t>, com segregação da Sala de Situação para perfis autorizados.</w:t>
      </w:r>
    </w:p>
    <w:p w14:paraId="1CBC0952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2º</w:t>
      </w:r>
      <w:r>
        <w:rPr>
          <w:rFonts w:ascii="Times New Roman" w:hAnsi="Times New Roman"/>
          <w:sz w:val="24"/>
        </w:rPr>
        <w:t xml:space="preserve"> A atualização operacional preferirá carga completa diária, sob governança tecnológica da SES-MT, sem prejuízo de rotinas complementares homologadas.</w:t>
      </w:r>
    </w:p>
    <w:p w14:paraId="74BE43E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6º</w:t>
      </w:r>
      <w:r>
        <w:rPr>
          <w:rFonts w:ascii="Times New Roman" w:hAnsi="Times New Roman"/>
          <w:sz w:val="24"/>
        </w:rPr>
        <w:t xml:space="preserve"> As fontes constarão do Manual Técnico-Operacional, com responsável, periodicidade, qualidade e limites de uso, priorizando bases oficiais (climáticas e ambientais; SINAN, SIVEP, SIM, CNES, IndicaSUS/BdSES, SISREG; dados territoriais; atos oficiais correlatos; e demais integrações homologadas).</w:t>
      </w:r>
    </w:p>
    <w:p w14:paraId="42403988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b/>
          <w:sz w:val="24"/>
        </w:rPr>
        <w:t>Parágrafo único.</w:t>
      </w:r>
      <w:r>
        <w:rPr>
          <w:rFonts w:ascii="Times New Roman" w:hAnsi="Times New Roman"/>
          <w:sz w:val="24"/>
        </w:rPr>
        <w:t xml:space="preserve"> Ausência, defasagem ou inconsistência relevante suspende o alerta ou ativa modo degradado, </w:t>
      </w:r>
      <w:r>
        <w:rPr>
          <w:rFonts w:ascii="Times New Roman" w:hAnsi="Times New Roman"/>
          <w:b/>
          <w:sz w:val="24"/>
        </w:rPr>
        <w:t>sem inventar valor</w:t>
      </w:r>
      <w:r>
        <w:rPr>
          <w:rFonts w:ascii="Times New Roman" w:hAnsi="Times New Roman"/>
          <w:sz w:val="24"/>
        </w:rPr>
        <w:t>.</w:t>
      </w:r>
    </w:p>
    <w:p w14:paraId="34EBE1DC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7º</w:t>
      </w:r>
      <w:r>
        <w:rPr>
          <w:rFonts w:ascii="Times New Roman" w:hAnsi="Times New Roman"/>
          <w:sz w:val="24"/>
        </w:rPr>
        <w:t xml:space="preserve"> Indicadores, limiares, classes de escalonamento e modelos serão documentados, versionados, testados e aprovados antes da produção.</w:t>
      </w:r>
    </w:p>
    <w:p w14:paraId="58448B63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8º</w:t>
      </w:r>
      <w:r>
        <w:rPr>
          <w:rFonts w:ascii="Times New Roman" w:hAnsi="Times New Roman"/>
          <w:sz w:val="24"/>
        </w:rPr>
        <w:t xml:space="preserve"> A classificação de risco usará as categorias </w:t>
      </w:r>
      <w:r>
        <w:rPr>
          <w:rFonts w:ascii="Times New Roman" w:hAnsi="Times New Roman"/>
          <w:b/>
          <w:sz w:val="24"/>
        </w:rPr>
        <w:t>verde, amarela, laranja, vermelha e roxa</w:t>
      </w:r>
      <w:r>
        <w:rPr>
          <w:rFonts w:ascii="Times New Roman" w:hAnsi="Times New Roman"/>
          <w:sz w:val="24"/>
        </w:rPr>
        <w:t xml:space="preserve">, podendo usar </w:t>
      </w:r>
      <w:r>
        <w:rPr>
          <w:rFonts w:ascii="Times New Roman" w:hAnsi="Times New Roman"/>
          <w:b/>
          <w:sz w:val="24"/>
        </w:rPr>
        <w:t>cinza</w:t>
      </w:r>
      <w:r>
        <w:rPr>
          <w:rFonts w:ascii="Times New Roman" w:hAnsi="Times New Roman"/>
          <w:sz w:val="24"/>
        </w:rPr>
        <w:t xml:space="preserve"> para dados insuficientes.</w:t>
      </w:r>
    </w:p>
    <w:p w14:paraId="58A4465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1º</w:t>
      </w:r>
      <w:r>
        <w:rPr>
          <w:rFonts w:ascii="Times New Roman" w:hAnsi="Times New Roman"/>
          <w:sz w:val="24"/>
        </w:rPr>
        <w:t xml:space="preserve"> A mudança de nível </w:t>
      </w:r>
      <w:r>
        <w:rPr>
          <w:rFonts w:ascii="Times New Roman" w:hAnsi="Times New Roman"/>
          <w:b/>
          <w:sz w:val="24"/>
        </w:rPr>
        <w:t>não ativa automaticamente</w:t>
      </w:r>
      <w:r>
        <w:rPr>
          <w:rFonts w:ascii="Times New Roman" w:hAnsi="Times New Roman"/>
          <w:sz w:val="24"/>
        </w:rPr>
        <w:t xml:space="preserve"> COE, Sala ou medida administrativa.</w:t>
      </w:r>
    </w:p>
    <w:p w14:paraId="312AFDE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lastRenderedPageBreak/>
        <w:t>§ 2º</w:t>
      </w:r>
      <w:r>
        <w:rPr>
          <w:rFonts w:ascii="Times New Roman" w:hAnsi="Times New Roman"/>
          <w:sz w:val="24"/>
        </w:rPr>
        <w:t xml:space="preserve"> Distinguir-se-ão, quando aplicável, o </w:t>
      </w:r>
      <w:r>
        <w:rPr>
          <w:rFonts w:ascii="Times New Roman" w:hAnsi="Times New Roman"/>
          <w:b/>
          <w:sz w:val="24"/>
        </w:rPr>
        <w:t>nível de risco</w:t>
      </w:r>
      <w:r>
        <w:rPr>
          <w:rFonts w:ascii="Times New Roman" w:hAnsi="Times New Roman"/>
          <w:sz w:val="24"/>
        </w:rPr>
        <w:t xml:space="preserve"> e o </w:t>
      </w:r>
      <w:r>
        <w:rPr>
          <w:rFonts w:ascii="Times New Roman" w:hAnsi="Times New Roman"/>
          <w:b/>
          <w:sz w:val="24"/>
        </w:rPr>
        <w:t>estágio de ativação</w:t>
      </w:r>
      <w:r>
        <w:rPr>
          <w:rFonts w:ascii="Times New Roman" w:hAnsi="Times New Roman"/>
          <w:sz w:val="24"/>
        </w:rPr>
        <w:t xml:space="preserve"> operacional da resposta, de modo a não confundir sinal epidemiológico-climático com prontidão institucional.</w:t>
      </w:r>
    </w:p>
    <w:p w14:paraId="595B444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3º</w:t>
      </w:r>
      <w:r>
        <w:rPr>
          <w:rFonts w:ascii="Times New Roman" w:hAnsi="Times New Roman"/>
          <w:sz w:val="24"/>
        </w:rPr>
        <w:t xml:space="preserve"> A projeção operacional de cerca de sete dias </w:t>
      </w:r>
      <w:r>
        <w:rPr>
          <w:rFonts w:ascii="Times New Roman" w:hAnsi="Times New Roman"/>
          <w:b/>
          <w:sz w:val="24"/>
        </w:rPr>
        <w:t>não substitui</w:t>
      </w:r>
      <w:r>
        <w:rPr>
          <w:rFonts w:ascii="Times New Roman" w:hAnsi="Times New Roman"/>
          <w:sz w:val="24"/>
        </w:rPr>
        <w:t xml:space="preserve"> a previsão climática sazonal oficial.</w:t>
      </w:r>
    </w:p>
    <w:p w14:paraId="1D57754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9º</w:t>
      </w:r>
      <w:r>
        <w:rPr>
          <w:rFonts w:ascii="Times New Roman" w:hAnsi="Times New Roman"/>
          <w:sz w:val="24"/>
        </w:rPr>
        <w:t xml:space="preserve"> Distinguir-se-ão, de forma explícita:</w:t>
      </w:r>
    </w:p>
    <w:p w14:paraId="3F3B90BE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 – </w:t>
      </w:r>
      <w:r>
        <w:rPr>
          <w:rFonts w:ascii="Times New Roman" w:hAnsi="Times New Roman"/>
          <w:b/>
          <w:sz w:val="24"/>
        </w:rPr>
        <w:t>ocupação hospitalar</w:t>
      </w:r>
      <w:r>
        <w:rPr>
          <w:rFonts w:ascii="Times New Roman" w:hAnsi="Times New Roman"/>
          <w:sz w:val="24"/>
        </w:rPr>
        <w:t xml:space="preserve"> (IndicaSUS/BdSES), somente onde houver leitos elegíveis; e</w:t>
      </w:r>
    </w:p>
    <w:p w14:paraId="6B2CA25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II – </w:t>
      </w:r>
      <w:r>
        <w:rPr>
          <w:rFonts w:ascii="Times New Roman" w:hAnsi="Times New Roman"/>
          <w:b/>
          <w:sz w:val="24"/>
        </w:rPr>
        <w:t>pressão hospitalar / regulação</w:t>
      </w:r>
      <w:r>
        <w:rPr>
          <w:rFonts w:ascii="Times New Roman" w:hAnsi="Times New Roman"/>
          <w:sz w:val="24"/>
        </w:rPr>
        <w:t xml:space="preserve"> (SISREG).</w:t>
      </w:r>
    </w:p>
    <w:p w14:paraId="2A5CAADD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b/>
          <w:sz w:val="24"/>
        </w:rPr>
        <w:t>Parágrafo único.</w:t>
      </w:r>
      <w:r>
        <w:rPr>
          <w:rFonts w:ascii="Times New Roman" w:hAnsi="Times New Roman"/>
          <w:sz w:val="24"/>
        </w:rPr>
        <w:t xml:space="preserve"> É vedado mapear SISREG como percentual de ocupação; municípios sem leitos elegíveis serão identificados como tais, sem inventar taxa.</w:t>
      </w:r>
    </w:p>
    <w:p w14:paraId="4013B03C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III – DOS ALERTAS E DA COMUNICAÇÃO</w:t>
      </w:r>
    </w:p>
    <w:p w14:paraId="4E5CC05E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10.</w:t>
      </w:r>
      <w:r>
        <w:rPr>
          <w:rFonts w:ascii="Times New Roman" w:hAnsi="Times New Roman"/>
          <w:sz w:val="24"/>
        </w:rPr>
        <w:t xml:space="preserve"> Os alertas observarão estados de validação (sinal interno, pré-alerta, alerta restrito e alerta externo), trilha de auditoria e, quando exigido, atualização operacional recente.</w:t>
      </w:r>
    </w:p>
    <w:p w14:paraId="574CB66E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11.</w:t>
      </w:r>
      <w:r>
        <w:rPr>
          <w:rFonts w:ascii="Times New Roman" w:hAnsi="Times New Roman"/>
          <w:sz w:val="24"/>
        </w:rPr>
        <w:t xml:space="preserve"> As camadas de comunicação compreenderão, no mínimo, estadual (CIEVS/SES), regional, municipal e territoriais específicos, mediante cadastro homologado e liberação operacional.</w:t>
      </w:r>
    </w:p>
    <w:p w14:paraId="34FF837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1º</w:t>
      </w:r>
      <w:r>
        <w:rPr>
          <w:rFonts w:ascii="Times New Roman" w:hAnsi="Times New Roman"/>
          <w:sz w:val="24"/>
        </w:rPr>
        <w:t xml:space="preserve"> O envio externo poderá ocorrer por painel, e-mail institucional e canais homologados pela STI, inclusive WhatsApp Business API sob ativos da SES-MT, vedado número pessoal ou automação não oficial.</w:t>
      </w:r>
    </w:p>
    <w:p w14:paraId="4963161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2º</w:t>
      </w:r>
      <w:r>
        <w:rPr>
          <w:rFonts w:ascii="Times New Roman" w:hAnsi="Times New Roman"/>
          <w:sz w:val="24"/>
        </w:rPr>
        <w:t xml:space="preserve"> Enquanto não houver liberação de envio, o sistema poderá gerar apenas prévias para validação.</w:t>
      </w:r>
    </w:p>
    <w:p w14:paraId="795444F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12.</w:t>
      </w:r>
      <w:r>
        <w:rPr>
          <w:rFonts w:ascii="Times New Roman" w:hAnsi="Times New Roman"/>
          <w:sz w:val="24"/>
        </w:rPr>
        <w:t xml:space="preserve"> Produtos públicos usarão dados agregados, com fonte, data, abrangência e limitações; dados pessoais não constarão de painel ou mensagem pública.</w:t>
      </w:r>
    </w:p>
    <w:p w14:paraId="30E720FC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IV – DO BOLETIM, DO PLANO EL NIÑO, DAS AÇÕES DA SALA E DA MEMÓRIA HISTÓRICA</w:t>
      </w:r>
    </w:p>
    <w:p w14:paraId="2DE92842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13.</w:t>
      </w:r>
      <w:r>
        <w:rPr>
          <w:rFonts w:ascii="Times New Roman" w:hAnsi="Times New Roman"/>
          <w:sz w:val="24"/>
        </w:rPr>
        <w:t xml:space="preserve"> O boletim semanal da Sala consolidará a leitura da semana epidemiológica (calendário SINAN), a situação observada, a projeção operacional de curto prazo, alertas correlatos, impactos potenciais, priorização territorial e encaminhamentos, distinguindo horizonte sazonal, observado e projetado.</w:t>
      </w:r>
    </w:p>
    <w:p w14:paraId="64BA351B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b/>
          <w:sz w:val="24"/>
        </w:rPr>
        <w:t>Parágrafo único.</w:t>
      </w:r>
      <w:r>
        <w:rPr>
          <w:rFonts w:ascii="Times New Roman" w:hAnsi="Times New Roman"/>
          <w:sz w:val="24"/>
        </w:rPr>
        <w:t xml:space="preserve"> Associação espacial ou temporal </w:t>
      </w:r>
      <w:r>
        <w:rPr>
          <w:rFonts w:ascii="Times New Roman" w:hAnsi="Times New Roman"/>
          <w:b/>
          <w:sz w:val="24"/>
        </w:rPr>
        <w:t>não implica causalidade</w:t>
      </w:r>
      <w:r>
        <w:rPr>
          <w:rFonts w:ascii="Times New Roman" w:hAnsi="Times New Roman"/>
          <w:sz w:val="24"/>
        </w:rPr>
        <w:t>.</w:t>
      </w:r>
    </w:p>
    <w:p w14:paraId="56943170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14.</w:t>
      </w:r>
      <w:r>
        <w:rPr>
          <w:rFonts w:ascii="Times New Roman" w:hAnsi="Times New Roman"/>
          <w:sz w:val="24"/>
        </w:rPr>
        <w:t xml:space="preserve"> O ARARAS MT constitui o </w:t>
      </w:r>
      <w:r>
        <w:rPr>
          <w:rFonts w:ascii="Times New Roman" w:hAnsi="Times New Roman"/>
          <w:b/>
          <w:sz w:val="24"/>
        </w:rPr>
        <w:t>registro eletrônico oficial</w:t>
      </w:r>
      <w:r>
        <w:rPr>
          <w:rFonts w:ascii="Times New Roman" w:hAnsi="Times New Roman"/>
          <w:sz w:val="24"/>
        </w:rPr>
        <w:t xml:space="preserve"> dos indicadores e das ações do Plano El Niño / Sala de Situação no âmbito desta Portaria, observadas as regras de:</w:t>
      </w:r>
    </w:p>
    <w:p w14:paraId="0E396D5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 – atualização pela área técnica responsável;</w:t>
      </w:r>
    </w:p>
    <w:p w14:paraId="4C25037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II – anexação de evidência, quando exigida;</w:t>
      </w:r>
    </w:p>
    <w:p w14:paraId="4302CA0A" w14:textId="6CDAE7D3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 xml:space="preserve">III – </w:t>
      </w:r>
      <w:r>
        <w:rPr>
          <w:rFonts w:ascii="Times New Roman" w:hAnsi="Times New Roman"/>
          <w:b/>
          <w:sz w:val="24"/>
        </w:rPr>
        <w:t>validação do CIEVS</w:t>
      </w:r>
      <w:r>
        <w:rPr>
          <w:rFonts w:ascii="Times New Roman" w:hAnsi="Times New Roman"/>
          <w:sz w:val="24"/>
        </w:rPr>
        <w:t xml:space="preserve"> </w:t>
      </w:r>
      <w:r w:rsidR="008F28D7">
        <w:rPr>
          <w:rFonts w:ascii="Times New Roman" w:hAnsi="Times New Roman"/>
          <w:sz w:val="24"/>
        </w:rPr>
        <w:t xml:space="preserve">e ou Sala de Situação </w:t>
      </w:r>
      <w:r>
        <w:rPr>
          <w:rFonts w:ascii="Times New Roman" w:hAnsi="Times New Roman"/>
          <w:sz w:val="24"/>
        </w:rPr>
        <w:t>para efeito de consolidação oficial;</w:t>
      </w:r>
    </w:p>
    <w:p w14:paraId="5D0DCB5B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IV – cobrança e escalonamento de pendências;</w:t>
      </w:r>
    </w:p>
    <w:p w14:paraId="753F473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t>V – geração de briefing, painéis e relatórios da Sala; e</w:t>
      </w:r>
    </w:p>
    <w:p w14:paraId="179BC4B3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sz w:val="24"/>
        </w:rPr>
        <w:lastRenderedPageBreak/>
        <w:t>VI – articulação com o SEI, que permanece o processo administrativo.</w:t>
      </w:r>
    </w:p>
    <w:p w14:paraId="4DD5D80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1º</w:t>
      </w:r>
      <w:r>
        <w:rPr>
          <w:rFonts w:ascii="Times New Roman" w:hAnsi="Times New Roman"/>
          <w:sz w:val="24"/>
        </w:rPr>
        <w:t xml:space="preserve"> E-mail e mensageria </w:t>
      </w:r>
      <w:r>
        <w:rPr>
          <w:rFonts w:ascii="Times New Roman" w:hAnsi="Times New Roman"/>
          <w:b/>
          <w:sz w:val="24"/>
        </w:rPr>
        <w:t>notificam e cobram</w:t>
      </w:r>
      <w:r>
        <w:rPr>
          <w:rFonts w:ascii="Times New Roman" w:hAnsi="Times New Roman"/>
          <w:sz w:val="24"/>
        </w:rPr>
        <w:t>, sem substituir o registro no ARARAS MT nem o processo no SEI.</w:t>
      </w:r>
    </w:p>
    <w:p w14:paraId="1FCD459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2º</w:t>
      </w:r>
      <w:r>
        <w:rPr>
          <w:rFonts w:ascii="Times New Roman" w:hAnsi="Times New Roman"/>
          <w:sz w:val="24"/>
        </w:rPr>
        <w:t xml:space="preserve"> É vedado informar zero na ausência de dado; ausência deve ser registrada como tal.</w:t>
      </w:r>
    </w:p>
    <w:p w14:paraId="20F33215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15.</w:t>
      </w:r>
      <w:r>
        <w:rPr>
          <w:rFonts w:ascii="Times New Roman" w:hAnsi="Times New Roman"/>
          <w:sz w:val="24"/>
        </w:rPr>
        <w:t xml:space="preserve"> Será mantida memória histórica das rodadas semanais e séries relevantes para acompanhamento longitudinal, validação projeção × observado, calibração de limiares e prestação de contas, sob supervisão humana.</w:t>
      </w:r>
    </w:p>
    <w:p w14:paraId="2CD51803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16.</w:t>
      </w:r>
      <w:r>
        <w:rPr>
          <w:rFonts w:ascii="Times New Roman" w:hAnsi="Times New Roman"/>
          <w:sz w:val="24"/>
        </w:rPr>
        <w:t xml:space="preserve"> Atos oficiais de emergência climática poderão ser indexados para contextualização, sem equivaler à ativação automática do Plano nem à substituição do alerta operacional.</w:t>
      </w:r>
    </w:p>
    <w:p w14:paraId="0606F067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V – DA AUTORIA E DOS DIREITOS DE USO</w:t>
      </w:r>
    </w:p>
    <w:p w14:paraId="53415391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17.</w:t>
      </w:r>
      <w:r>
        <w:rPr>
          <w:rFonts w:ascii="Times New Roman" w:hAnsi="Times New Roman"/>
          <w:sz w:val="24"/>
        </w:rPr>
        <w:t xml:space="preserve"> Reconhece-se que o ARARAS MT foi </w:t>
      </w:r>
      <w:r>
        <w:rPr>
          <w:rFonts w:ascii="Times New Roman" w:hAnsi="Times New Roman"/>
          <w:b/>
          <w:sz w:val="24"/>
        </w:rPr>
        <w:t>desenvolvido</w:t>
      </w:r>
      <w:r>
        <w:rPr>
          <w:rFonts w:ascii="Times New Roman" w:hAnsi="Times New Roman"/>
          <w:sz w:val="24"/>
        </w:rPr>
        <w:t xml:space="preserve"> no âmbito do Centro de Informações Estratégicas em Vigilância em Saúde – </w:t>
      </w:r>
      <w:r>
        <w:rPr>
          <w:rFonts w:ascii="Times New Roman" w:hAnsi="Times New Roman"/>
          <w:b/>
          <w:sz w:val="24"/>
        </w:rPr>
        <w:t>CIEVS-MT</w:t>
      </w:r>
      <w:r>
        <w:rPr>
          <w:rFonts w:ascii="Times New Roman" w:hAnsi="Times New Roman"/>
          <w:sz w:val="24"/>
        </w:rPr>
        <w:t xml:space="preserve"> / SES-MT pelo servidor público </w:t>
      </w:r>
      <w:r>
        <w:rPr>
          <w:rFonts w:ascii="Times New Roman" w:hAnsi="Times New Roman"/>
          <w:b/>
          <w:sz w:val="24"/>
        </w:rPr>
        <w:t>Menandes Alves de Souza Neto</w:t>
      </w:r>
      <w:r>
        <w:rPr>
          <w:rFonts w:ascii="Times New Roman" w:hAnsi="Times New Roman"/>
          <w:sz w:val="24"/>
        </w:rPr>
        <w:t xml:space="preserve">, matrícula funcional </w:t>
      </w:r>
      <w:r>
        <w:rPr>
          <w:rFonts w:ascii="Times New Roman" w:hAnsi="Times New Roman"/>
          <w:b/>
          <w:sz w:val="24"/>
        </w:rPr>
        <w:t>214089</w:t>
      </w:r>
      <w:r>
        <w:rPr>
          <w:rFonts w:ascii="Times New Roman" w:hAnsi="Times New Roman"/>
          <w:sz w:val="24"/>
        </w:rPr>
        <w:t>, Responsável Técnico pelo CIEVS-MT, para uso institucional da Secretaria de Estado de Saúde e apoio à Rede CIEVS e à Sala de Situação.</w:t>
      </w:r>
    </w:p>
    <w:p w14:paraId="0C2FCBB4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1º</w:t>
      </w:r>
      <w:r>
        <w:rPr>
          <w:rFonts w:ascii="Times New Roman" w:hAnsi="Times New Roman"/>
          <w:sz w:val="24"/>
        </w:rPr>
        <w:t xml:space="preserve"> Ficam preservados os </w:t>
      </w:r>
      <w:r>
        <w:rPr>
          <w:rFonts w:ascii="Times New Roman" w:hAnsi="Times New Roman"/>
          <w:b/>
          <w:sz w:val="24"/>
        </w:rPr>
        <w:t>direitos morais de autoria</w:t>
      </w:r>
      <w:r>
        <w:rPr>
          <w:rFonts w:ascii="Times New Roman" w:hAnsi="Times New Roman"/>
          <w:sz w:val="24"/>
        </w:rPr>
        <w:t xml:space="preserve"> do desenvolvedor, nos termos da Lei Federal nº 9.610, de 19 de fevereiro de 1998, e da Lei Federal nº 9.609, de 19 de fevereiro de 1998, inclusive o direito de ter seu nome indicado na documentação institucional, manuais, créditos técnicos e comunicações oficiais da plataforma, quando cabível.</w:t>
      </w:r>
    </w:p>
    <w:p w14:paraId="20A66CB1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2º</w:t>
      </w:r>
      <w:r>
        <w:rPr>
          <w:rFonts w:ascii="Times New Roman" w:hAnsi="Times New Roman"/>
          <w:sz w:val="24"/>
        </w:rPr>
        <w:t xml:space="preserve"> Os </w:t>
      </w:r>
      <w:r>
        <w:rPr>
          <w:rFonts w:ascii="Times New Roman" w:hAnsi="Times New Roman"/>
          <w:b/>
          <w:sz w:val="24"/>
        </w:rPr>
        <w:t>direitos patrimoniais de uso, custódia, manutenção, evolução e exploração institucional</w:t>
      </w:r>
      <w:r>
        <w:rPr>
          <w:rFonts w:ascii="Times New Roman" w:hAnsi="Times New Roman"/>
          <w:sz w:val="24"/>
        </w:rPr>
        <w:t xml:space="preserve"> do software, da documentação técnica, dos manuais, das marcas operacionais internas e dos demais artefatos correlatos ao ARARAS MT, para fins públicos da SES-MT e do SUS em Mato Grosso, cabem à </w:t>
      </w:r>
      <w:r>
        <w:rPr>
          <w:rFonts w:ascii="Times New Roman" w:hAnsi="Times New Roman"/>
          <w:b/>
          <w:sz w:val="24"/>
        </w:rPr>
        <w:t>Secretaria de Estado de Saúde de Mato Grosso</w:t>
      </w:r>
      <w:r>
        <w:rPr>
          <w:rFonts w:ascii="Times New Roman" w:hAnsi="Times New Roman"/>
          <w:sz w:val="24"/>
        </w:rPr>
        <w:t>, nos termos da legislação aplicável à propriedade intelectual de programa de computador e aos bens e serviços da Administração Pública.</w:t>
      </w:r>
    </w:p>
    <w:p w14:paraId="2BA493E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3º</w:t>
      </w:r>
      <w:r>
        <w:rPr>
          <w:rFonts w:ascii="Times New Roman" w:hAnsi="Times New Roman"/>
          <w:sz w:val="24"/>
        </w:rPr>
        <w:t xml:space="preserve"> É vedada a cessão, licenciamento comercial, transferência ou disponibilização do código-fonte, da base operacional ou de módulos restritos a terceiros estranhos à SES-MT sem ato próprio da autoridade competente, observado o interesse público, a segurança da informação e a LGPD.</w:t>
      </w:r>
    </w:p>
    <w:p w14:paraId="63CAB0F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4º</w:t>
      </w:r>
      <w:r>
        <w:rPr>
          <w:rFonts w:ascii="Times New Roman" w:hAnsi="Times New Roman"/>
          <w:sz w:val="24"/>
        </w:rPr>
        <w:t xml:space="preserve"> A SES-MT poderá celebrar instrumentos de cooperação, convênios ou termos de uso com municípios, regionais, instituições de ensino e pesquisa e órgãos da Rede CIEVS, para uso não comercial alinhado às finalidades desta Portaria, sem transferência de titularidade institucional.</w:t>
      </w:r>
    </w:p>
    <w:p w14:paraId="71F4392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§ 5º</w:t>
      </w:r>
      <w:r>
        <w:rPr>
          <w:rFonts w:ascii="Times New Roman" w:hAnsi="Times New Roman"/>
          <w:sz w:val="24"/>
        </w:rPr>
        <w:t xml:space="preserve"> Melhorias, correções e novos módulos desenvolvidos no exercício das atribuições institucionais do CIEVS-MT ou por demanda da SES-MT integrarão o acervo da ferramenta oficial, com registro de versão e crédito técnico quando devido.</w:t>
      </w:r>
    </w:p>
    <w:p w14:paraId="4141F200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18.</w:t>
      </w:r>
      <w:r>
        <w:rPr>
          <w:rFonts w:ascii="Times New Roman" w:hAnsi="Times New Roman"/>
          <w:sz w:val="24"/>
        </w:rPr>
        <w:t xml:space="preserve"> A custódia tecnológica (repositórios, ambientes, identidades, backups e canais oficiais) observará as diretrizes da STI/SES-MT, sem prejuízo da coordenação técnico-metodológica do CIEVS-MT.</w:t>
      </w:r>
    </w:p>
    <w:p w14:paraId="19EDB9A7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lastRenderedPageBreak/>
        <w:t>CAPÍTULO VI – DA GOVERNANÇA E DAS RESPONSABILIDADES</w:t>
      </w:r>
    </w:p>
    <w:p w14:paraId="4FF7F25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19.</w:t>
      </w:r>
      <w:r>
        <w:rPr>
          <w:rFonts w:ascii="Times New Roman" w:hAnsi="Times New Roman"/>
          <w:sz w:val="24"/>
        </w:rPr>
        <w:t xml:space="preserve"> A coordenação estratégica caberá à GBSAVS, ou unidade sucessora, em articulação com a coordenação da Sala (Portaria nº 0590/2026/GBSES).</w:t>
      </w:r>
    </w:p>
    <w:p w14:paraId="7619CA8D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20.</w:t>
      </w:r>
      <w:r>
        <w:rPr>
          <w:rFonts w:ascii="Times New Roman" w:hAnsi="Times New Roman"/>
          <w:sz w:val="24"/>
        </w:rPr>
        <w:t xml:space="preserve"> A gestão técnico-operacional caberá ao CIEVS-MT / Unidade de Informações Estratégicas de Vigilância em Saúde, a quem compete definir requisitos e limiares; validar análises, alertas, boletins e indicadores oficiais da Sala; manter documentação metodológica; acompanhar qualidade e validação retrospectiva; e operar a liberação controlada dos canais.</w:t>
      </w:r>
    </w:p>
    <w:p w14:paraId="567C6B3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21.</w:t>
      </w:r>
      <w:r>
        <w:rPr>
          <w:rFonts w:ascii="Times New Roman" w:hAnsi="Times New Roman"/>
          <w:sz w:val="24"/>
        </w:rPr>
        <w:t xml:space="preserve"> Compete à STI/SES-MT a infraestrutura, segurança, identidades, integrações, ambientes e canais tecnológicos oficiais de alerta.</w:t>
      </w:r>
    </w:p>
    <w:p w14:paraId="7E2A480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22.</w:t>
      </w:r>
      <w:r>
        <w:rPr>
          <w:rFonts w:ascii="Times New Roman" w:hAnsi="Times New Roman"/>
          <w:sz w:val="24"/>
        </w:rPr>
        <w:t xml:space="preserve"> As unidades donas das bases de origem e as áreas técnicas responsáveis pelos indicadores do Plano El Niño respondem pela qualidade, tempestividade e autorização de uso dos dados sob sua governança; Escritórios Regionais e pontos focais poderão apoiar validação territorial e comunicação, respeitadas as competências interfederativas.</w:t>
      </w:r>
    </w:p>
    <w:p w14:paraId="371A9BC6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23.</w:t>
      </w:r>
      <w:r>
        <w:rPr>
          <w:rFonts w:ascii="Times New Roman" w:hAnsi="Times New Roman"/>
          <w:sz w:val="24"/>
        </w:rPr>
        <w:t xml:space="preserve"> A Assessoria de Comunicação orientará identidade visual, linguagem, acessibilidade e comunicação externa.</w:t>
      </w:r>
    </w:p>
    <w:p w14:paraId="12D6C363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VII – DA PROTEÇÃO DE DADOS, DA SEGURANÇA E DOS MODELOS</w:t>
      </w:r>
    </w:p>
    <w:p w14:paraId="5412793E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24.</w:t>
      </w:r>
      <w:r>
        <w:rPr>
          <w:rFonts w:ascii="Times New Roman" w:hAnsi="Times New Roman"/>
          <w:sz w:val="24"/>
        </w:rPr>
        <w:t xml:space="preserve"> O tratamento de dados observará a LGPD, a Política de Segurança da Informação e as normas da SES-MT, com minimização, controle de acesso, autenticação institucional e trilha de auditoria.</w:t>
      </w:r>
    </w:p>
    <w:p w14:paraId="63C215EA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25.</w:t>
      </w:r>
      <w:r>
        <w:rPr>
          <w:rFonts w:ascii="Times New Roman" w:hAnsi="Times New Roman"/>
          <w:sz w:val="24"/>
        </w:rPr>
        <w:t xml:space="preserve"> Modelos e regras preditivas serão versionados, documentados, testados e sujeitos a supervisão humana, com monitoramento de desempenho, inclusive comparação retrospectiva entre projeção e observado.</w:t>
      </w:r>
    </w:p>
    <w:p w14:paraId="27CF9C6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26.</w:t>
      </w:r>
      <w:r>
        <w:rPr>
          <w:rFonts w:ascii="Times New Roman" w:hAnsi="Times New Roman"/>
          <w:sz w:val="24"/>
        </w:rPr>
        <w:t xml:space="preserve"> Incidentes de segurança, privacidade ou disponibilidade seguirão os fluxos institucionais da SES-MT.</w:t>
      </w:r>
    </w:p>
    <w:p w14:paraId="62B018EC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VIII – DA IMPLANTAÇÃO E DA OPERAÇÃO</w:t>
      </w:r>
    </w:p>
    <w:p w14:paraId="18B8F918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27.</w:t>
      </w:r>
      <w:r>
        <w:rPr>
          <w:rFonts w:ascii="Times New Roman" w:hAnsi="Times New Roman"/>
          <w:sz w:val="24"/>
        </w:rPr>
        <w:t xml:space="preserve"> A implantação será gradual, em ambientes segregados, sob governança da STI; a produção oficial dependerá de homologação negocial, tecnológica, de segurança e de comunicação.</w:t>
      </w:r>
    </w:p>
    <w:p w14:paraId="0B38BBA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28.</w:t>
      </w:r>
      <w:r>
        <w:rPr>
          <w:rFonts w:ascii="Times New Roman" w:hAnsi="Times New Roman"/>
          <w:sz w:val="24"/>
        </w:rPr>
        <w:t xml:space="preserve"> O Manual Técnico-Operacional será editado pelo CIEVS-MT, ouvidos a STI e a coordenação da Sala, em até 90 dias da publicação desta Portaria, disciplinando fontes, limiares, alertas, boletim, registro de ações e indicadores da Sala, memória histórica, distinção IndicaSUS/SISREG, segurança, versionamento, direitos de uso e métricas.</w:t>
      </w:r>
    </w:p>
    <w:p w14:paraId="1A83B66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29.</w:t>
      </w:r>
      <w:r>
        <w:rPr>
          <w:rFonts w:ascii="Times New Roman" w:hAnsi="Times New Roman"/>
          <w:sz w:val="24"/>
        </w:rPr>
        <w:t xml:space="preserve"> Priorizam-se integrações automatizadas, sem criar digitação paralela obrigatória para municípios ou unidades, salvo ato específico e pactuação quando cabível.</w:t>
      </w:r>
    </w:p>
    <w:p w14:paraId="49F98B3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30.</w:t>
      </w:r>
      <w:r>
        <w:rPr>
          <w:rFonts w:ascii="Times New Roman" w:hAnsi="Times New Roman"/>
          <w:sz w:val="24"/>
        </w:rPr>
        <w:t xml:space="preserve"> Será elaborado relatório anual de desempenho, com disponibilidade, cobertura, qualidade, alertas, falhas, validação de modelos, incidentes e melhorias.</w:t>
      </w:r>
    </w:p>
    <w:p w14:paraId="055EE293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CAPÍTULO IX – DAS DISPOSIÇÕES FINAIS</w:t>
      </w:r>
    </w:p>
    <w:p w14:paraId="2426E537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31.</w:t>
      </w:r>
      <w:r>
        <w:rPr>
          <w:rFonts w:ascii="Times New Roman" w:hAnsi="Times New Roman"/>
          <w:sz w:val="24"/>
        </w:rPr>
        <w:t xml:space="preserve"> A implementação observará a disponibilidade orçamentária e poderá utilizar instrumentos e infraestrutura existentes.</w:t>
      </w:r>
    </w:p>
    <w:p w14:paraId="03343139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lastRenderedPageBreak/>
        <w:t>Art. 32.</w:t>
      </w:r>
      <w:r>
        <w:rPr>
          <w:rFonts w:ascii="Times New Roman" w:hAnsi="Times New Roman"/>
          <w:sz w:val="24"/>
        </w:rPr>
        <w:t xml:space="preserve"> Esta Portaria articula-se com a Portaria nº 0590/2026/GBSES, sem revogá-la, e prevalece quanto às matérias específicas da plataforma ARARAS MT.</w:t>
      </w:r>
    </w:p>
    <w:p w14:paraId="0450FAB4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33.</w:t>
      </w:r>
      <w:r>
        <w:rPr>
          <w:rFonts w:ascii="Times New Roman" w:hAnsi="Times New Roman"/>
          <w:sz w:val="24"/>
        </w:rPr>
        <w:t xml:space="preserve"> Casos omissos serão dirimidos pela GBSAVS e pela STI, no âmbito de suas competências, ouvidas as instâncias de segurança, proteção de dados e assessoria jurídica quando necessário.</w:t>
      </w:r>
    </w:p>
    <w:p w14:paraId="31AE7834" w14:textId="77777777" w:rsidR="00EA1159" w:rsidRDefault="00000000">
      <w:pPr>
        <w:spacing w:after="120" w:line="240" w:lineRule="auto"/>
        <w:ind w:firstLine="709"/>
      </w:pPr>
      <w:r>
        <w:rPr>
          <w:rFonts w:ascii="Times New Roman" w:hAnsi="Times New Roman"/>
          <w:b/>
          <w:sz w:val="24"/>
        </w:rPr>
        <w:t>Art. 34.</w:t>
      </w:r>
      <w:r>
        <w:rPr>
          <w:rFonts w:ascii="Times New Roman" w:hAnsi="Times New Roman"/>
          <w:sz w:val="24"/>
        </w:rPr>
        <w:t xml:space="preserve"> Esta Portaria entra em vigor na data de sua publicação.</w:t>
      </w:r>
    </w:p>
    <w:p w14:paraId="0D461ED4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b/>
          <w:sz w:val="24"/>
        </w:rPr>
        <w:t>REGISTRE-SE. PUBLIQUE-SE. CUMPRA-SE.</w:t>
      </w:r>
    </w:p>
    <w:p w14:paraId="56195B3B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sz w:val="24"/>
        </w:rPr>
        <w:t>Cuiabá-MT, ____ de __________________ de 2026.</w:t>
      </w:r>
    </w:p>
    <w:p w14:paraId="25CDCF13" w14:textId="77777777" w:rsidR="00EA1159" w:rsidRDefault="00000000">
      <w:pPr>
        <w:spacing w:after="80" w:line="240" w:lineRule="auto"/>
        <w:jc w:val="center"/>
      </w:pPr>
      <w:r>
        <w:rPr>
          <w:rFonts w:ascii="Times New Roman" w:hAnsi="Times New Roman"/>
          <w:b/>
          <w:sz w:val="24"/>
        </w:rPr>
        <w:t>JULIANO SILVA MELO</w:t>
      </w:r>
    </w:p>
    <w:p w14:paraId="638DC598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Secretário de Estado de Saúde de Mato Grosso</w:t>
      </w:r>
    </w:p>
    <w:p w14:paraId="50E2532D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*(Original assinado)*</w:t>
      </w:r>
    </w:p>
    <w:p w14:paraId="159DC1F6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ANEXO I – DIRETRIZES OPERACIONAIS MÍNIMAS</w:t>
      </w:r>
    </w:p>
    <w:p w14:paraId="6026C153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1. Cada execução registrará fonte, datas, versão de regra/modelo, nível e determinantes.</w:t>
      </w:r>
    </w:p>
    <w:p w14:paraId="49D36784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2. Classificação virá com rótulo textual, não só cor.</w:t>
      </w:r>
    </w:p>
    <w:p w14:paraId="4E370F0A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3. Alerta externo exige validação quando prevista, coerência territorial e registro de envio ou bloqueio.</w:t>
      </w:r>
    </w:p>
    <w:p w14:paraId="3148D58A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 xml:space="preserve">4. Dado ausente ou degradado será comunicado; </w:t>
      </w:r>
      <w:r>
        <w:rPr>
          <w:rFonts w:ascii="Times New Roman" w:hAnsi="Times New Roman"/>
          <w:b/>
          <w:sz w:val="24"/>
        </w:rPr>
        <w:t>não se inventa zero</w:t>
      </w:r>
      <w:r>
        <w:rPr>
          <w:rFonts w:ascii="Times New Roman" w:hAnsi="Times New Roman"/>
          <w:sz w:val="24"/>
        </w:rPr>
        <w:t>.</w:t>
      </w:r>
    </w:p>
    <w:p w14:paraId="5234DFFB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5. Ocupação (IndicaSUS) e pressão (SISREG) são sinais distintos.</w:t>
      </w:r>
    </w:p>
    <w:p w14:paraId="518179A6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6. O boletim distinguirá horizonte sazonal, observado e projeção de curto prazo.</w:t>
      </w:r>
    </w:p>
    <w:p w14:paraId="6F24AA7F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7. Memória histórica e validação projeção × observado integram a melhoria contínua.</w:t>
      </w:r>
    </w:p>
    <w:p w14:paraId="6CADB821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8. Canais oficiais apenas; vedado número pessoal ou automação não auditável.</w:t>
      </w:r>
    </w:p>
    <w:p w14:paraId="5F7DBCB4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9. Fluxo de envio: prévia → validação → liberação do canal → registro.</w:t>
      </w:r>
    </w:p>
    <w:p w14:paraId="75BD22D3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10. Registro do Plano El Niño: área atualiza → evidência → validação CIEVS → consolidação → painel/cobrança.</w:t>
      </w:r>
    </w:p>
    <w:p w14:paraId="73EDE5E5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11. Produtos observarão linguagem clara, acessibilidade e identidade SES-MT.</w:t>
      </w:r>
    </w:p>
    <w:p w14:paraId="08997C1A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12. Créditos técnicos do desenvolvimento observarão o art. 17 desta Portaria.</w:t>
      </w:r>
    </w:p>
    <w:p w14:paraId="033AB94E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ANEXO II – SÍNTESE DAS FUNCIONALIDADES PARA DIVULGAÇÃO (NÃO SUBSTITUI O ARTICULADO)</w:t>
      </w:r>
    </w:p>
    <w:p w14:paraId="7EE3A03A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Bloco | Funcionalidade</w:t>
      </w:r>
    </w:p>
    <w:p w14:paraId="7D86C86E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Entrada | Site institucional ARARAS MT e painel operacional autenticado</w:t>
      </w:r>
    </w:p>
    <w:p w14:paraId="36C4225E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Monitoramento | Clima, ambiente/ar, agravos, assistência/regulação, território</w:t>
      </w:r>
    </w:p>
    <w:p w14:paraId="1D67341C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Sala / Plano | Catálogo de indicadores, registro de ações, evidências, validação CIEVS, briefing, cobrança, PAI</w:t>
      </w:r>
    </w:p>
    <w:p w14:paraId="1B46E659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Risco | Níveis verde→roxa; estágio de ativação; escalonamento</w:t>
      </w:r>
    </w:p>
    <w:p w14:paraId="09FFA573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Alertas | Multinível com validação e auditoria</w:t>
      </w:r>
    </w:p>
    <w:p w14:paraId="2F7ADA56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Boletim | Semanal El Niño / Sala; mapas; rodada semanal</w:t>
      </w:r>
    </w:p>
    <w:p w14:paraId="1716D981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Normativo | Indexação de decretos/portarias de emergência (IOMAT e correlatos)</w:t>
      </w:r>
    </w:p>
    <w:p w14:paraId="62A2EF8B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lastRenderedPageBreak/>
        <w:t>Memória | Histórico de rodadas e validação projeção × observado</w:t>
      </w:r>
    </w:p>
    <w:p w14:paraId="1FCCA4DA" w14:textId="77777777" w:rsidR="00EA1159" w:rsidRDefault="00000000">
      <w:pPr>
        <w:spacing w:after="80" w:line="240" w:lineRule="auto"/>
      </w:pPr>
      <w:r>
        <w:rPr>
          <w:rFonts w:ascii="Times New Roman" w:hAnsi="Times New Roman"/>
          <w:sz w:val="20"/>
        </w:rPr>
        <w:t>Governança de dados | LGPD, perfis, vedação a inventar valores</w:t>
      </w:r>
    </w:p>
    <w:p w14:paraId="08DD149E" w14:textId="77777777" w:rsidR="00EA1159" w:rsidRDefault="00000000">
      <w:pPr>
        <w:spacing w:line="240" w:lineRule="auto"/>
      </w:pPr>
      <w:r>
        <w:rPr>
          <w:rFonts w:ascii="Times New Roman" w:hAnsi="Times New Roman"/>
          <w:b/>
          <w:sz w:val="24"/>
        </w:rPr>
        <w:t>Nota de tramitação — não publicar</w:t>
      </w:r>
    </w:p>
    <w:p w14:paraId="246CA793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- Confirmar número, data, SEI e cargo/função atuais do Responsável Técnico do CIEVS-MT (matrícula 214089).</w:t>
      </w:r>
    </w:p>
    <w:p w14:paraId="77657263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- Submeter a AJ, GBSAVS, STI, vigilância, proteção de dados e Comunicação.</w:t>
      </w:r>
    </w:p>
    <w:p w14:paraId="09E244D1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 xml:space="preserve">- A AJ deverá validar especialmente o </w:t>
      </w:r>
      <w:r>
        <w:rPr>
          <w:rFonts w:ascii="Times New Roman" w:hAnsi="Times New Roman"/>
          <w:b/>
          <w:sz w:val="24"/>
        </w:rPr>
        <w:t>Capítulo V (autoria e direitos de uso)</w:t>
      </w:r>
      <w:r>
        <w:rPr>
          <w:rFonts w:ascii="Times New Roman" w:hAnsi="Times New Roman"/>
          <w:sz w:val="24"/>
        </w:rPr>
        <w:t xml:space="preserve"> à luz das Leis nº 9.609/1998 e nº 9.610/1998 e da política de TI da SES-MT.</w:t>
      </w:r>
    </w:p>
    <w:p w14:paraId="4876BB59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- Articular com a Portaria 0590 (Sala × ferramenta).</w:t>
      </w:r>
    </w:p>
    <w:p w14:paraId="0DFE32BB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- Anexar DFD, arquitetura, matriz de fontes e fluxo de alertas, se demandado.</w:t>
      </w:r>
    </w:p>
    <w:p w14:paraId="6BECEAE6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>- Retirar esta nota, o título “MINUTA…” e o Anexo II (se a AJ preferir só o articulado) antes da versão oficial para o IOMAT.</w:t>
      </w:r>
    </w:p>
    <w:p w14:paraId="7AFC77E1" w14:textId="77777777" w:rsidR="00EA1159" w:rsidRDefault="00000000">
      <w:pPr>
        <w:spacing w:after="120" w:line="240" w:lineRule="auto"/>
      </w:pPr>
      <w:r>
        <w:rPr>
          <w:rFonts w:ascii="Times New Roman" w:hAnsi="Times New Roman"/>
          <w:sz w:val="24"/>
        </w:rPr>
        <w:t xml:space="preserve">- A v2.1 permanece como histórico em `Minuta_Portaria_ARARAS_MT_v2.md`; esta </w:t>
      </w:r>
      <w:r>
        <w:rPr>
          <w:rFonts w:ascii="Times New Roman" w:hAnsi="Times New Roman"/>
          <w:b/>
          <w:sz w:val="24"/>
        </w:rPr>
        <w:t>v3.0</w:t>
      </w:r>
      <w:r>
        <w:rPr>
          <w:rFonts w:ascii="Times New Roman" w:hAnsi="Times New Roman"/>
          <w:sz w:val="24"/>
        </w:rPr>
        <w:t xml:space="preserve"> é a versão proposta para tramitação.</w:t>
      </w:r>
    </w:p>
    <w:sectPr w:rsidR="00EA1159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01582">
    <w:abstractNumId w:val="8"/>
  </w:num>
  <w:num w:numId="2" w16cid:durableId="823618079">
    <w:abstractNumId w:val="6"/>
  </w:num>
  <w:num w:numId="3" w16cid:durableId="1925408408">
    <w:abstractNumId w:val="5"/>
  </w:num>
  <w:num w:numId="4" w16cid:durableId="90979650">
    <w:abstractNumId w:val="4"/>
  </w:num>
  <w:num w:numId="5" w16cid:durableId="2145193094">
    <w:abstractNumId w:val="7"/>
  </w:num>
  <w:num w:numId="6" w16cid:durableId="653722313">
    <w:abstractNumId w:val="3"/>
  </w:num>
  <w:num w:numId="7" w16cid:durableId="1343750406">
    <w:abstractNumId w:val="2"/>
  </w:num>
  <w:num w:numId="8" w16cid:durableId="1059012054">
    <w:abstractNumId w:val="1"/>
  </w:num>
  <w:num w:numId="9" w16cid:durableId="11429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5B6"/>
    <w:rsid w:val="0006063C"/>
    <w:rsid w:val="0015074B"/>
    <w:rsid w:val="0029639D"/>
    <w:rsid w:val="00326F90"/>
    <w:rsid w:val="008F28D7"/>
    <w:rsid w:val="00AA1D8D"/>
    <w:rsid w:val="00B47730"/>
    <w:rsid w:val="00CB0664"/>
    <w:rsid w:val="00EA1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31F8471-26A6-4B01-B8A5-0569909A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2890</Words>
  <Characters>15609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menandes alves de souza neto</cp:lastModifiedBy>
  <cp:revision>2</cp:revision>
  <dcterms:created xsi:type="dcterms:W3CDTF">2013-12-23T23:15:00Z</dcterms:created>
  <dcterms:modified xsi:type="dcterms:W3CDTF">2026-09-03T12:23:00Z</dcterms:modified>
  <cp:category/>
</cp:coreProperties>
</file>