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Arial" w:hAnsi="Arial"/>
          <w:b/>
          <w:sz w:val="24"/>
        </w:rPr>
        <w:t>MINISTÉRIO DA SAÚDE</w:t>
      </w:r>
    </w:p>
    <w:p>
      <w:pPr>
        <w:spacing w:line="360" w:lineRule="auto" w:before="0" w:after="0"/>
        <w:ind w:firstLine="0"/>
        <w:jc w:val="center"/>
      </w:pPr>
      <w:r>
        <w:rPr>
          <w:rFonts w:ascii="Arial" w:hAnsi="Arial"/>
          <w:b w:val="0"/>
          <w:sz w:val="24"/>
        </w:rPr>
        <w:t>SECRETARIA DE VIGILÂNCIA EM SAÚDE E AMBIENTE</w:t>
      </w:r>
    </w:p>
    <w:p>
      <w:pPr>
        <w:spacing w:line="360" w:lineRule="auto" w:before="0" w:after="0"/>
        <w:ind w:firstLine="0"/>
        <w:jc w:val="center"/>
      </w:pPr>
      <w:r>
        <w:rPr>
          <w:rFonts w:ascii="Arial" w:hAnsi="Arial"/>
          <w:b w:val="0"/>
          <w:sz w:val="24"/>
        </w:rPr>
        <w:t>PROGRAMA DE VIGILÂNCIA EM SAÚDE DE POPULAÇÕES EXPOSTAS A DESASTRES</w:t>
      </w:r>
    </w:p>
    <w:p>
      <w:pPr>
        <w:spacing w:line="360" w:lineRule="auto" w:before="0" w:after="0"/>
        <w:ind w:firstLine="0"/>
        <w:jc w:val="center"/>
      </w:pPr>
      <w:r>
        <w:rPr>
          <w:rFonts w:ascii="Arial" w:hAnsi="Arial"/>
          <w:b w:val="0"/>
          <w:sz w:val="24"/>
        </w:rPr>
        <w:t>VIGIDESASTRES</w:t>
      </w:r>
    </w:p>
    <w:p>
      <w:pPr>
        <w:spacing w:line="360" w:lineRule="auto" w:before="0" w:after="0"/>
        <w:ind w:firstLine="0"/>
        <w:jc w:val="both"/>
      </w:pPr>
      <w:r>
        <w:rPr>
          <w:rFonts w:ascii="Arial" w:hAnsi="Arial"/>
          <w:b w:val="0"/>
          <w:sz w:val="24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Arial" w:hAnsi="Arial"/>
          <w:b w:val="0"/>
          <w:sz w:val="24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Arial" w:hAnsi="Arial"/>
          <w:b w:val="0"/>
          <w:sz w:val="24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Arial" w:hAnsi="Arial"/>
          <w:b w:val="0"/>
          <w:sz w:val="24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Arial" w:hAnsi="Arial"/>
          <w:b w:val="0"/>
          <w:sz w:val="24"/>
        </w:rPr>
        <w:t>[PREENCHER] (nome do consultor responsável)</w:t>
      </w:r>
    </w:p>
    <w:p>
      <w:pPr>
        <w:spacing w:line="360" w:lineRule="auto" w:before="0" w:after="0"/>
        <w:ind w:firstLine="0"/>
        <w:jc w:val="both"/>
      </w:pPr>
      <w:r>
        <w:rPr>
          <w:rFonts w:ascii="Arial" w:hAnsi="Arial"/>
          <w:b w:val="0"/>
          <w:sz w:val="24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Arial" w:hAnsi="Arial"/>
          <w:b w:val="0"/>
          <w:sz w:val="24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Arial" w:hAnsi="Arial"/>
          <w:b w:val="0"/>
          <w:sz w:val="24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Arial" w:hAnsi="Arial"/>
          <w:b w:val="0"/>
          <w:sz w:val="24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Arial" w:hAnsi="Arial"/>
          <w:b/>
          <w:sz w:val="24"/>
        </w:rPr>
        <w:t>ANÁLISE DA CAPACIDADE DE PREPARAÇÃO E RESPOSTA DO SETOR SAÚDE FRENTE A DESASTRES ASSOCIADOS AO ROMPIMENTO DE BARRAGENS EM CUIABÁ, MATO GROSSO</w:t>
      </w:r>
    </w:p>
    <w:p>
      <w:pPr>
        <w:spacing w:line="360" w:lineRule="auto" w:before="0" w:after="0"/>
        <w:ind w:firstLine="0"/>
        <w:jc w:val="both"/>
      </w:pPr>
      <w:r>
        <w:rPr>
          <w:rFonts w:ascii="Arial" w:hAnsi="Arial"/>
          <w:b w:val="0"/>
          <w:sz w:val="24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Arial" w:hAnsi="Arial"/>
          <w:b w:val="0"/>
          <w:sz w:val="24"/>
        </w:rPr>
      </w:r>
    </w:p>
    <w:p>
      <w:pPr>
        <w:spacing w:line="240" w:lineRule="auto" w:before="0" w:after="0"/>
        <w:ind w:firstLine="0"/>
        <w:jc w:val="both"/>
      </w:pPr>
      <w:r>
        <w:rPr>
          <w:rFonts w:ascii="Arial" w:hAnsi="Arial"/>
          <w:b w:val="0"/>
          <w:sz w:val="24"/>
        </w:rPr>
        <w:t>Produto 04 — Relatório técnico contendo a análise da capacidade de preparação e resposta do setor saúde frente a desastres associados ao rompimento de barragens em Cuiabá, Mato Grosso, incluindo mapeamento das áreas e populações vulneráveis, potenciais impactos à saúde, fluxos de resposta e recomendações para o fortalecimento da vigilância, da assistência e da logística em saúde.</w:t>
      </w:r>
    </w:p>
    <w:p>
      <w:pPr>
        <w:spacing w:line="360" w:lineRule="auto" w:before="0" w:after="0"/>
        <w:ind w:firstLine="0"/>
        <w:jc w:val="both"/>
      </w:pPr>
      <w:r>
        <w:rPr>
          <w:rFonts w:ascii="Arial" w:hAnsi="Arial"/>
          <w:b w:val="0"/>
          <w:sz w:val="24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Arial" w:hAnsi="Arial"/>
          <w:b w:val="0"/>
          <w:sz w:val="24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Arial" w:hAnsi="Arial"/>
          <w:b w:val="0"/>
          <w:sz w:val="24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Arial" w:hAnsi="Arial"/>
          <w:b w:val="0"/>
          <w:sz w:val="24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Arial" w:hAnsi="Arial"/>
          <w:b w:val="0"/>
          <w:sz w:val="24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Arial" w:hAnsi="Arial"/>
          <w:b w:val="0"/>
          <w:sz w:val="24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Arial" w:hAnsi="Arial"/>
          <w:b w:val="0"/>
          <w:sz w:val="24"/>
        </w:rPr>
        <w:t>Cuiabá — Mato Grosso</w:t>
      </w:r>
    </w:p>
    <w:p>
      <w:pPr>
        <w:spacing w:line="360" w:lineRule="auto" w:before="0" w:after="0"/>
        <w:ind w:firstLine="0"/>
        <w:jc w:val="center"/>
      </w:pPr>
      <w:r>
        <w:rPr>
          <w:rFonts w:ascii="Arial" w:hAnsi="Arial"/>
          <w:b w:val="0"/>
          <w:sz w:val="24"/>
        </w:rPr>
        <w:t>2026</w:t>
      </w:r>
    </w:p>
    <w:p>
      <w:r>
        <w:br w:type="page"/>
      </w:r>
    </w:p>
    <w:p>
      <w:pPr>
        <w:sectPr>
          <w:headerReference w:type="default" r:id="rId9"/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spacing w:line="360" w:lineRule="auto" w:before="360" w:after="120"/>
        <w:ind w:firstLine="0"/>
        <w:jc w:val="left"/>
      </w:pPr>
      <w:r>
        <w:rPr>
          <w:rFonts w:ascii="Arial" w:hAnsi="Arial"/>
          <w:b/>
          <w:sz w:val="24"/>
        </w:rPr>
        <w:t>1 INTRODUÇÃO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sz w:val="24"/>
        </w:rPr>
        <w:t>O rompimento de barragem é um desastre tecnológico de início súbito, baixa probabilidade e severidade extrema. Distingue-se dos desastres de evolução gradual porque a ameaça é uma estrutura construída, com empreendedor identificável e órgão fiscalizador definido: o risco é, em princípio, conhecido e reduzível antes do evento. Isso desloca a previsibilidade para a preparação, porque no momento do rompimento não há tempo de organizar a resposta e o que estiver pactuado previamente é tudo o que estará disponível. A Política Nacional de Segurança de Barragens (Lei nº 12.334/2010, alterada pela Lei nº 14.066/2020) organiza a matéria em dois eixos definidos pela Resolução CNRH nº 143/2012: a Categoria de Risco, que mede a condição da estrutura, e o Dano Potencial Associado, que mede a consequência do rompimento. A distinção é decisiva para a saúde, porque o planejamento assistencial se dimensiona pela consequência, e não pela probabilidade de falha: é o dano potencial que indica quantos leitos, quanto abrigo e quanta vigilância serão necessários.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sz w:val="24"/>
        </w:rPr>
        <w:t>Fundão, em Mariana (2015), e a barragem I de Córrego do Feijão, em Brumadinho (2019), com 270 mortes confirmadas, evidenciaram que esses eventos configuram Emergências em Saúde Pública prolongadas, cujo impacto não se encerra no trauma imediato: prossegue na contaminação dos mananciais, na interrupção de unidades de saúde, no deslocamento forçado de comunidades, no aumento de doenças de veiculação hídrica e de arboviroses e em agravos psicossociais que persistem por anos. Este relatório avalia a capacidade do setor saúde para a preparação, a vigilância e a resposta a esses eventos em Cuiabá, identifica territórios, populações e serviços vulneráveis, mapeia potenciais impactos à saúde e propõe recomendações, considerando o papel da capital no apoio regional. A escolha metodológica central foi abandonar o limite municipal como recorte: a onda de ruptura se propaga pela calha do rio e ignora fronteiras administrativas, de modo que a estrutura de maior dano potencial para a capital não está dentro dela — recortar por município esconderia a ameaça principal.</w:t>
      </w:r>
    </w:p>
    <w:p>
      <w:pPr>
        <w:spacing w:line="360" w:lineRule="auto" w:before="360" w:after="120"/>
        <w:ind w:firstLine="0"/>
        <w:jc w:val="left"/>
      </w:pPr>
      <w:r>
        <w:rPr>
          <w:rFonts w:ascii="Arial" w:hAnsi="Arial"/>
          <w:b/>
          <w:sz w:val="24"/>
        </w:rPr>
        <w:t>2 METODOLOGIA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sz w:val="24"/>
        </w:rPr>
        <w:t>O inventário de barragens veio do Sistema Nacional de Informações sobre Segurança de Barragens (SNISB/ANA), por serviço geográfico oficial, complementado pelo Sistema Integrado de Gestão de Barragens de Mineração (SIGBM/ANM). A base territorial é do IBGE; a rede assistencial, do Cadastro Nacional de Estabelecimentos de Saúde (CNES); os territórios tradicionais, da FUNAI, do INCRA e da Fundação Cultural Palmares; e a hidrografia, da Base Hidrográfica Ottocodificada da ANA. Todos os valores citados derivam dessas bases.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sz w:val="24"/>
        </w:rPr>
        <w:t>O recorte territorial foi construído por topologia de drenagem, a partir do código do trecho de curso d'água na codificação de Otto Pfafstetter que o SNISB informa para cada barragem — campo preenchido nos 1.280 registros do estado. Nessa codificação, dígitos ímpares identificam as interbacias da calha principal, numeradas da foz para a nascente, e dígitos pares as quatro maiores bacias tributárias de cada nível; uma barragem está a montante de um ponto quando, no primeiro dígito divergente, o seu é maior e o do ponto de referência é ímpar. Adotou-se como seção de controle o trecho do rio Cuiabá mais próximo da mancha urbana central da capital, de código 896573, que drena 23.615 km². A exposição foi medida pela distância de cada elemento ao eixo que liga o Aproveitamento Múltiplo de Manso à capital e segue rio Cuiabá abaixo, em faixas de até 2 km, 5 km e 10 km do talvegue.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sz w:val="24"/>
        </w:rPr>
        <w:t>Três limitações condicionam os resultados. A determinante é que não existe mancha de inundação por ruptura hipotética publicamente disponível para nenhuma barragem de Mato Grosso; por isso não se apresenta estimativa de população atingida, pois distância ao talvegue não é cota de inundação e um ponto a 500 metros do rio pode estar dezenas de metros acima dele — as faixas de proximidade ordenam prioridades de vigilância, não dimensionam vítimas. A segunda é que o painel público do SNISB em Power BI foi classificado como fonte não conforme na especificação técnica do projeto e não alimenta estes resultados. A terceira é que o SipamHidro, do Censipam, opera sem serviço de dados público documentado, o que impede sua incorporação automatizada sem acordo prévio com o órgão.</w:t>
      </w:r>
    </w:p>
    <w:p>
      <w:pPr>
        <w:spacing w:line="360" w:lineRule="auto" w:before="360" w:after="120"/>
        <w:ind w:firstLine="0"/>
        <w:jc w:val="left"/>
      </w:pPr>
      <w:r>
        <w:rPr>
          <w:rFonts w:ascii="Arial" w:hAnsi="Arial"/>
          <w:b/>
          <w:sz w:val="24"/>
        </w:rPr>
        <w:t>3 DESENVOLVIMENTO</w:t>
      </w:r>
    </w:p>
    <w:p>
      <w:pPr>
        <w:spacing w:line="360" w:lineRule="auto" w:before="240" w:after="120"/>
        <w:ind w:firstLine="0"/>
        <w:jc w:val="left"/>
      </w:pPr>
      <w:r>
        <w:rPr>
          <w:rFonts w:ascii="Arial" w:hAnsi="Arial"/>
          <w:b/>
          <w:sz w:val="24"/>
        </w:rPr>
        <w:t>3.1 Panorama das barragens em Mato Grosso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sz w:val="24"/>
        </w:rPr>
        <w:t>O inventário consolidado reúne 1.280 barragens em 115 dos 141 municípios do estado, com volume declarado de 84.528 hm³. A Categoria de Risco é alta em 106 estruturas (8,3%) e o Dano Potencial Associado, alto em 63 (4,9%); 61 são de classe A, a de maior exigência legal. A fiscalização se reparte entre quatro órgãos, o que fragmenta o acompanhamento: a SEMA-MT com 813; a ANM com 183; a ANEEL com 154; a ANA com 130. Predominam a irrigação (510) e a contenção de rejeitos de mineração (179); apenas 24 servem ao abastecimento humano. Para a saúde, o dado decisivo não é a finalidade, e sim o material retido: rejeito contamina a calha com carga química de efeito prolongado, enquanto água produz onda de efeito agudo — cenários que exigem respostas distintas.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sz w:val="24"/>
        </w:rPr>
        <w:t>A conformidade com os instrumentos da Política Nacional de Segurança de Barragens está detalhada na Tabela A1, no Anexo A. Apenas 7,3% das barragens registram data de última inspeção, a lacuna mais grave do cadastro: sem histórico de inspeção, a Categoria de Risco perde lastro empírico e passa a refletir apenas conformidade documental. Entre as barragens de mineração, o SIGBM registra 183 estruturas no estado, das quais 15 com nível de emergência declarado, concentradas em Nossa Senhora do Livramento com 11; Poconé com 3; Pontes e Lacerda com 1. Nossa Senhora do Livramento, limítrofe à capital e a montante dela na bacia, reúne a maior parte delas. A distribuição estadual está na Figura A1.</w:t>
      </w:r>
    </w:p>
    <w:p>
      <w:pPr>
        <w:spacing w:line="360" w:lineRule="auto" w:before="240" w:after="120"/>
        <w:ind w:firstLine="0"/>
        <w:jc w:val="left"/>
      </w:pPr>
      <w:r>
        <w:rPr>
          <w:rFonts w:ascii="Arial" w:hAnsi="Arial"/>
          <w:b/>
          <w:sz w:val="24"/>
        </w:rPr>
        <w:t>3.2 Histórico dos principais rompimentos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sz w:val="24"/>
        </w:rPr>
        <w:t>Mato Grosso não registra rompimento de grande magnitude com vítimas em massa, o que significa que a preparação do setor saúde no estado não pode ser reativa: precisa ser construída sobre a experiência de outras unidades federativas. Dos eventos de referência — Fundão, cuja pluma percorreu a bacia do rio Doce até a foz e comprometeu o abastecimento de dezenas de municípios, e Córrego do Feijão — extraem-se três lições. A existência formal de Plano de Ação de Emergência não garante que ele esteja acessível e conhecido pela rede de saúde no momento do evento. O dano de maior alcance populacional não foi o trauma, mas a interrupção do abastecimento de água e o deslocamento de população, ambos de longa duração. E a resposta dependeu de capacidade instalada fora da área atingida, o que faz da distribuição geográfica dos serviços um dado de preparação.</w:t>
      </w:r>
    </w:p>
    <w:p>
      <w:pPr>
        <w:spacing w:line="360" w:lineRule="auto" w:before="240" w:after="120"/>
        <w:ind w:firstLine="0"/>
        <w:jc w:val="left"/>
      </w:pPr>
      <w:r>
        <w:rPr>
          <w:rFonts w:ascii="Arial" w:hAnsi="Arial"/>
          <w:b/>
          <w:sz w:val="24"/>
        </w:rPr>
        <w:t>3.3 Exposição de Cuiabá e hierarquia de ameaças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sz w:val="24"/>
        </w:rPr>
        <w:t>Cuiabá tem 44 barragens cadastradas dentro do município, das quais 30 drenam para a seção de controle urbana; as demais estão a jusante dela ou em ramo distinto da rede. Em contrapartida, entram estruturas de outros municípios, totalizando 106 barragens em 7 municípios. O critério é também mais seletivo: as 60 barragens de Poconé, que um recorte por proximidade incluiria, drenam pelo rio Bento Gomes direto para o Pantanal e nenhuma integra o conjunto. Das 106 estruturas, 11 têm dano potencial alto, 6 têm categoria de risco alta, 23 são de mineração e 88 — 83,0% do conjunto — não registram Plano de Ação de Emergência (Anexo B; distribuição cartográfica na Figura A2).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sz w:val="24"/>
        </w:rPr>
        <w:t>O Aproveitamento Múltiplo de Manso, no rio Manso, em Chapada dos Guimarães, é a estrutura central da análise. Consta do cadastro como 10 estruturas sob o mesmo reservatório, de 7.337 hm³ e 73,0 m de altura máxima, classe A e dano potencial alto, fiscalizadas pela ANEEL. Está a 279 km da capital pela calha e controla 40% da área de drenagem que chega a ela. É, com folga, a maior fonte de dano potencial concentrado da bacia: as 30 barragens internas ao município somam 11,5 hm³, cerca de 140 vezes menos. Apenas 6 das 10 entram no conjunto delimitado por topologia: o cadastro registra as três barragens principais em trecho de resolução mais grosseira que a dos diques do mesmo reservatório, inconsistência resolvida aqui pela geometria do reservatório. Das 10 estruturas, 2 não registram Plano de Segurança e 2 não registram Plano de Ação de Emergência, e nenhuma registra revisão periódica ou data de última inspeção (Anexo C). Em estruturas de classe A e dano potencial alto a montante da capital do estado, a lacuna vale como achado ainda que os documentos existam fora do SNISB: para a vigilância, o que não está no cadastro não está disponível na emergência.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sz w:val="24"/>
        </w:rPr>
        <w:t>Duas leituras verdadeiras convivem, e o relatório sustenta as duas. Em operação normal, o aproveitamento protege Cuiabá e Várzea Grande: foi concebido, antes de ser projeto hidrelétrico, como obra de controle das cheias do rio Cuiabá, e reserva volume de espera para amortecê-las, com efeito direto na redução de doenças de veiculação hídrica, de deslocamento e de interrupção de serviços. Ao mesmo tempo, é a estrutura que concentra o maior risco agudo da bacia. A tensão não é contradição: uma barragem transfere risco de um evento frequente e de baixa severidade para um evento raro e extremo, e tende a estimular a ocupação da planície, ampliando a população exposta ao evento raro. Daí uma hierarquia de prioridade sanitária em três níveis: o Manso, por severidade máxima, ainda que sua categoria de risco cadastrada seja baixa — o que reforça que o planejamento deve seguir a consequência, e não a condição da estrutura; as barragens de rejeito a montante, concentradas em Nossa Senhora do Livramento, cujo rompimento não produziria onda comparável, mas contaminaria a calha que abastece a região metropolitana, com efeito químico e prolongado; e as barragens internas ao município, de menor severidade por evento e maior probabilidade de incidente, que correspondem ao que a rede municipal atende no cotidiano.</w:t>
      </w:r>
    </w:p>
    <w:p>
      <w:pPr>
        <w:spacing w:line="360" w:lineRule="auto" w:before="240" w:after="120"/>
        <w:ind w:firstLine="0"/>
        <w:jc w:val="left"/>
      </w:pPr>
      <w:r>
        <w:rPr>
          <w:rFonts w:ascii="Arial" w:hAnsi="Arial"/>
          <w:b/>
          <w:sz w:val="24"/>
        </w:rPr>
        <w:t>3.4 Territórios e populações vulneráveis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sz w:val="24"/>
        </w:rPr>
        <w:t>O eixo analisado atravessa, a montante da capital, Chapada dos Guimarães, Rosário Oeste, Nobres, Acorizal, Jangada, Cuiabá e Várzea Grande, e segue a jusante por Nossa Senhora do Livramento, Santo Antônio de Leverger, Barão de Melgaço e Poconé, alcançando a planície pantaneira. A área urbana exposta é a da região metropolitana, cuja mancha contínua de Cuiabá e Várzea Grande está assentada sobre a planície do rio. Na faixa de até 10 km do talvegue situam-se 2 aldeias indígenas, 1 terra indígena e 0 assentamentos rurais, com 0 famílias registradas pelo INCRA, das quais 0 em assentamentos a até 5 km (Anexo D). As duas aldeias mais próximas estão em Barão de Melgaço, a menos de 200 metros do talvegue, na planície, onde a exposição é maior e o acesso terrestre é mais precário.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sz w:val="24"/>
        </w:rPr>
        <w:t>O acervo do INCRA não registra território quilombola delimitado na faixa analisada, o que reflete o estágio da titulação e não a presença de comunidades: a Fundação Cultural Palmares certifica 50 comunidades quilombolas nos 11 municípios do recorte, concentradas em Poconé com 29; Chapada dos Guimarães com 7; Nossa Senhora do Livramento com 7 (Anexo E). A divergência é, em si, um achado: planejar a resposta pela base de titulação subestimaria de forma grosseira a população tradicional exposta. Já a população ribeirinha não pode ser delimitada por cadastro, pois não há base oficial equivalente. A alternativa defensável, e recomendação operacional deste relatório, é aplicar sobre o eixo delimitado o cadastro da Atenção Primária, que identifica domicílio por microárea e é a única base com resolução suficiente. A distribuição desses territórios e da rede assistencial ao longo do eixo consta da Figura A3.</w:t>
      </w:r>
    </w:p>
    <w:p>
      <w:pPr>
        <w:spacing w:line="360" w:lineRule="auto" w:before="240" w:after="120"/>
        <w:ind w:firstLine="0"/>
        <w:jc w:val="left"/>
      </w:pPr>
      <w:r>
        <w:rPr>
          <w:rFonts w:ascii="Arial" w:hAnsi="Arial"/>
          <w:b/>
          <w:sz w:val="24"/>
        </w:rPr>
        <w:t>3.5 Capacidade instalada e exposição da rede de saúde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sz w:val="24"/>
        </w:rPr>
        <w:t>O CNES registra 3.464 estabelecimentos de saúde nos 11 municípios do recorte, dos quais 63 com atendimento hospitalar, 58 com centro cirúrgico, 22 com centro obstétrico e 14 com centro neonatal. A distribuição é fortemente concentrada: Cuiabá responde por 39 e Várzea Grande por 15 dos 63 estabelecimentos com atendimento hospitalar, reunindo 86% da retaguarda hospitalar da região (Anexo F).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sz w:val="24"/>
        </w:rPr>
        <w:t>Dois achados decorrem desses números e são os mais importantes do trabalho. O primeiro é que não há estabelecimento com atendimento hospitalar em Acorizal, Chapada dos Guimarães e Jangada. Chapada dos Guimarães, que abriga o Aproveitamento Múltiplo de Manso, está entre eles: o território que sedia a maior estrutura de dano potencial da bacia depende integralmente de retaguarda externa, e a disponível é a da capital, justamente o território atingido a jusante no cenário de ruptura. A dependência é circular e precisa ser resolvida antes do evento, com pactuação de referência para fora do eixo do rio Cuiabá. O segundo é que 48 dos 57 estabelecimentos hospitalares georreferenciados estão a até 5 km do eixo: a rede que precisaria responder está, em boa parte, na própria planície do rio, sendo ao mesmo tempo instrumento de resposta e elemento exposto. Plano de contingência que pressuponha a rede íntegra durante o evento parte de premissa frágil.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sz w:val="24"/>
        </w:rPr>
        <w:t>Os potenciais impactos à saúde distinguem-se por temporalidade, porque exigem capacidades diferentes. Os imediatos são traumáticos — afogamento, soterramento, politraumas —, demandam capacidade cirúrgica e de terapia intensiva nas primeiras horas e concentram-se na faixa atingida. Os indiretos decorrem da interrupção do abastecimento de água e do saneamento, com aumento de doenças diarreicas agudas, hepatite A, leptospirose e arboviroses associadas ao acúmulo de água em recipientes; alcançam população muito maior que a atingida e persistem por meses. Os psicossociais — luto coletivo, estresse pós-traumático, ansiedade, depressão, uso abusivo de álcool e ruptura de vínculos — são os de maior duração, os menos visíveis nos sistemas de informação e os que mais dependem de organização prévia.</w:t>
      </w:r>
    </w:p>
    <w:p>
      <w:pPr>
        <w:spacing w:line="360" w:lineRule="auto" w:before="240" w:after="120"/>
        <w:ind w:firstLine="0"/>
        <w:jc w:val="left"/>
      </w:pPr>
      <w:r>
        <w:rPr>
          <w:rFonts w:ascii="Arial" w:hAnsi="Arial"/>
          <w:b/>
          <w:sz w:val="24"/>
        </w:rPr>
        <w:t>3.6 Monitoramento, sistemas de alerta e planos de contingência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sz w:val="24"/>
        </w:rPr>
        <w:t>O SNISB é um cadastro, não um sistema de monitoramento: não há, nos dados públicos consultados, telemetria de instrumentação que permita acompanhamento de condição em tempo real, nem série histórica de inspeções que sustente análise de tendência. O SipamHidro, do Censipam, oferece visualização de anomalia hidrológica por bacia, mas opera sem serviço de dados público documentado, o que impede sua ingestão automatizada; recomenda-se formalizar acordo com o órgão, pelo valor do produto para a antecipação de cenários hidrológicos críticos. Quanto aos planos, o déficit é mensurável: 88 das 106 barragens que drenam para a capital não registram Plano de Ação de Emergência. Mais grave que a ausência formal é a falta de vínculo com o setor saúde: o plano é instrumento do empreendedor, e não há evidência, nas fontes consultadas, de que os existentes identifiquem as unidades de saúde expostas, as populações tradicionais da área potencialmente afetada ou os fluxos de referência assistencial acionáveis.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sz w:val="24"/>
        </w:rPr>
        <w:t>A lacuna determinante é a inexistência de mancha de inundação por ruptura hipotética: sem estudo de dam break georreferenciado não se estima população exposta, tempo de chegada de onda, unidades de saúde comprometidas nem necessidade de abrigo. O estudo é exigível do empreendedor no âmbito do Plano de Ação de Emergência, e obtê-lo é a ação de maior impacto isolado sobre a preparação do setor saúde em Cuiabá.</w:t>
      </w:r>
    </w:p>
    <w:p>
      <w:pPr>
        <w:spacing w:line="360" w:lineRule="auto" w:before="240" w:after="120"/>
        <w:ind w:firstLine="0"/>
        <w:jc w:val="left"/>
      </w:pPr>
      <w:r>
        <w:rPr>
          <w:rFonts w:ascii="Arial" w:hAnsi="Arial"/>
          <w:b/>
          <w:sz w:val="24"/>
        </w:rPr>
        <w:t>3.7 O papel de Cuiabá no apoio regional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sz w:val="24"/>
        </w:rPr>
        <w:t>A capital acumula duas posições tratadas usualmente em separado. É território exposto, por estar a jusante do maior reservatório do estado e assentada sobre a planície do rio Cuiabá; e é a retaguarda assistencial de Mato Grosso, concentrando com Várzea Grande a maior parte da capacidade hospitalar, cirúrgica e de terapia intensiva e recebendo referência de todo o estado. Um evento no eixo do rio Cuiabá, portanto, não degrada apenas a capacidade local: degrada a estadual, porque atinge o nó da rede que absorveria a demanda de qualquer outro município afetado. Um rompimento em Nossa Senhora do Livramento seria atendido em Cuiabá; um rompimento no Manso atingiria Cuiabá e comprometeria a retaguarda de todos os demais. Isso torna a redundância de capacidade fora da planície uma questão de preparação estadual, e não uma preferência de organização municipal da rede.</w:t>
      </w:r>
    </w:p>
    <w:p>
      <w:pPr>
        <w:spacing w:line="360" w:lineRule="auto" w:before="360" w:after="120"/>
        <w:ind w:firstLine="0"/>
        <w:jc w:val="left"/>
      </w:pPr>
      <w:r>
        <w:rPr>
          <w:rFonts w:ascii="Arial" w:hAnsi="Arial"/>
          <w:b/>
          <w:sz w:val="24"/>
        </w:rPr>
        <w:t>4 CONSIDERAÇÕES FINAIS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sz w:val="24"/>
        </w:rPr>
        <w:t>A capacidade atual do setor saúde para atuar frente ao rompimento de barragens em Cuiabá é limitada menos pela ausência de serviços do que pela ausência de informação estruturada e de pactuação prévia. A rede da região metropolitana é robusta em termos absolutos, mas está concentrada em dois municípios e instalada majoritariamente na planície do rio, e os municípios a montante — entre eles o que sedia a maior barragem do estado — não têm retaguarda hospitalar própria. O cadastro, por sua vez, identifica as estruturas, mas não acompanha sua condição.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sz w:val="24"/>
        </w:rPr>
        <w:t>As principais vulnerabilidades são a concentração da retaguarda assistencial no território exposto; a dependência circular dos municípios a montante em relação à capital; a ausência de Plano de Ação de Emergência em 83,0% das barragens que drenam para Cuiabá, incluindo estruturas do complexo de Manso; a invisibilidade da população ribeirinha nas bases disponíveis; e a subestimação da população tradicional exposta quando se usa a base de titulação em vez da de certificação. As capacidades são o inventário nacional consolidado e público, a base hidrográfica ottocodificada que permitiu o recorte por bacia e a capilaridade da Atenção Primária, único instrumento disponível para identificar população exposta com resolução domiciliar.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sz w:val="24"/>
        </w:rPr>
        <w:t>No curto prazo, até seis meses, recomenda-se requerer do empreendedor e da ANEEL o estudo de ruptura hipotética e a mancha de inundação do Aproveitamento Múltiplo de Manso; exigir o registro do Plano de Ação de Emergência das barragens que drenam para a capital e não o possuem; pactuar formalmente referência hospitalar para Acorizal, Chapada dos Guimarães e Jangada em unidade fora do eixo do rio Cuiabá; e iniciar, com as equipes de Atenção Primária dos municípios do eixo, a identificação da população ribeirinha por microárea.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sz w:val="24"/>
        </w:rPr>
        <w:t>No médio prazo, de seis a vinte e quatro meses, recomenda-se integrar as bases de barragens, hidrologia, populações vulneráveis e rede assistencial em plataforma única de vigilância, com atualização automatizada e índice de preparação territorializado; formalizar acordo com o Censipam para acesso ao SipamHidro; incluir as unidades de saúde expostas e as comunidades tradicionais nos planos de ação de emergência; e realizar exercício simulado entre a capital e os municípios a montante, com cenário de ruptura no Manso. No longo prazo, constituir redundância de capacidade hospitalar fora da planície de inundação do rio Cuiabá, condição para que a capital exerça a retaguarda regional mesmo quando for território afetado; e estabelecer vigilância pós-desastre permanente, capaz de acompanhar por anos os agravos de veiculação hídrica, os desfechos psicossociais e o deslocamento populacional — os efeitos que sobrevivem à fase de resposta e que Mariana e Brumadinho mostraram serem os de maior duração.</w:t>
      </w:r>
    </w:p>
    <w:p>
      <w:pPr>
        <w:spacing w:line="360" w:lineRule="auto" w:before="360" w:after="120"/>
        <w:ind w:firstLine="0"/>
        <w:jc w:val="left"/>
      </w:pPr>
      <w:r>
        <w:rPr>
          <w:rFonts w:ascii="Arial" w:hAnsi="Arial"/>
          <w:b/>
          <w:sz w:val="24"/>
        </w:rPr>
        <w:t>REFERÊNCIAS</w:t>
      </w:r>
    </w:p>
    <w:p>
      <w:pPr>
        <w:spacing w:line="240" w:lineRule="auto" w:before="0" w:after="120"/>
        <w:ind w:firstLine="0"/>
        <w:jc w:val="left"/>
      </w:pPr>
      <w:r>
        <w:rPr>
          <w:rFonts w:ascii="Arial" w:hAnsi="Arial"/>
          <w:b w:val="0"/>
          <w:sz w:val="24"/>
        </w:rPr>
        <w:t>AGÊNCIA NACIONAL DE ÁGUAS E SANEAMENTO BÁSICO. Base Hidrográfica Ottocodificada Multiescalas. Brasília: ANA, [s.d.]. Disponível em: https://metadados.snirh.gov.br. Acesso em: 29 jul. 2026.</w:t>
      </w:r>
    </w:p>
    <w:p>
      <w:pPr>
        <w:spacing w:line="240" w:lineRule="auto" w:before="0" w:after="120"/>
        <w:ind w:firstLine="0"/>
        <w:jc w:val="left"/>
      </w:pPr>
      <w:r>
        <w:rPr>
          <w:rFonts w:ascii="Arial" w:hAnsi="Arial"/>
          <w:b w:val="0"/>
          <w:sz w:val="24"/>
        </w:rPr>
        <w:t>AGÊNCIA NACIONAL DE ÁGUAS E SANEAMENTO BÁSICO. Sistema Nacional de Informações sobre Segurança de Barragens — SNISB. Brasília: ANA, 2026. Disponível em: https://www.snisb.gov.br. Acesso em: 29 jul. 2026.</w:t>
      </w:r>
    </w:p>
    <w:p>
      <w:pPr>
        <w:spacing w:line="240" w:lineRule="auto" w:before="0" w:after="120"/>
        <w:ind w:firstLine="0"/>
        <w:jc w:val="left"/>
      </w:pPr>
      <w:r>
        <w:rPr>
          <w:rFonts w:ascii="Arial" w:hAnsi="Arial"/>
          <w:b w:val="0"/>
          <w:sz w:val="24"/>
        </w:rPr>
        <w:t>AGÊNCIA NACIONAL DE MINERAÇÃO. Sistema Integrado de Gestão de Barragens de Mineração — SIGBM. Brasília: ANM, 2026. Disponível em: https://dadosabertos.anm.gov.br. Acesso em: 29 jul. 2026.</w:t>
      </w:r>
    </w:p>
    <w:p>
      <w:pPr>
        <w:spacing w:line="240" w:lineRule="auto" w:before="0" w:after="120"/>
        <w:ind w:firstLine="0"/>
        <w:jc w:val="left"/>
      </w:pPr>
      <w:r>
        <w:rPr>
          <w:rFonts w:ascii="Arial" w:hAnsi="Arial"/>
          <w:b w:val="0"/>
          <w:sz w:val="24"/>
        </w:rPr>
        <w:t>BRASIL. Lei nº 12.334, de 20 de setembro de 2010. Estabelece a Política Nacional de Segurança de Barragens. Diário Oficial da União: Brasília, 2010.</w:t>
      </w:r>
    </w:p>
    <w:p>
      <w:pPr>
        <w:spacing w:line="240" w:lineRule="auto" w:before="0" w:after="120"/>
        <w:ind w:firstLine="0"/>
        <w:jc w:val="left"/>
      </w:pPr>
      <w:r>
        <w:rPr>
          <w:rFonts w:ascii="Arial" w:hAnsi="Arial"/>
          <w:b w:val="0"/>
          <w:sz w:val="24"/>
        </w:rPr>
        <w:t>BRASIL. Lei nº 14.066, de 30 de setembro de 2020. Altera a Lei nº 12.334, de 20 de setembro de 2010. Diário Oficial da União: Brasília, 2020.</w:t>
      </w:r>
    </w:p>
    <w:p>
      <w:pPr>
        <w:spacing w:line="240" w:lineRule="auto" w:before="0" w:after="120"/>
        <w:ind w:firstLine="0"/>
        <w:jc w:val="left"/>
      </w:pPr>
      <w:r>
        <w:rPr>
          <w:rFonts w:ascii="Arial" w:hAnsi="Arial"/>
          <w:b w:val="0"/>
          <w:sz w:val="24"/>
        </w:rPr>
        <w:t>BRASIL. Ministério da Saúde. Cadastro Nacional de Estabelecimentos de Saúde — CNES. Brasília: Ministério da Saúde, 2026. Disponível em: https://apidadosabertos.saude.gov.br. Acesso em: 29 jul. 2026.</w:t>
      </w:r>
    </w:p>
    <w:p>
      <w:pPr>
        <w:spacing w:line="240" w:lineRule="auto" w:before="0" w:after="120"/>
        <w:ind w:firstLine="0"/>
        <w:jc w:val="left"/>
      </w:pPr>
      <w:r>
        <w:rPr>
          <w:rFonts w:ascii="Arial" w:hAnsi="Arial"/>
          <w:b w:val="0"/>
          <w:sz w:val="24"/>
        </w:rPr>
        <w:t>CONSELHO NACIONAL DE RECURSOS HÍDRICOS. Resolução nº 143, de 10 de julho de 2012. Estabelece critérios gerais de classificação de barragens por categoria de risco, dano potencial associado e volume. Diário Oficial da União: Brasília, 2012.</w:t>
      </w:r>
    </w:p>
    <w:p>
      <w:pPr>
        <w:spacing w:line="240" w:lineRule="auto" w:before="0" w:after="120"/>
        <w:ind w:firstLine="0"/>
        <w:jc w:val="left"/>
      </w:pPr>
      <w:r>
        <w:rPr>
          <w:rFonts w:ascii="Arial" w:hAnsi="Arial"/>
          <w:b w:val="0"/>
          <w:sz w:val="24"/>
        </w:rPr>
        <w:t>FUNDAÇÃO CULTURAL PALMARES. Comunidades quilombolas certificadas. Brasília: FCP, 2026. Disponível em: https://www.gov.br/palmares. Acesso em: 29 jul. 2026.</w:t>
      </w:r>
    </w:p>
    <w:p>
      <w:pPr>
        <w:spacing w:line="240" w:lineRule="auto" w:before="0" w:after="120"/>
        <w:ind w:firstLine="0"/>
        <w:jc w:val="left"/>
      </w:pPr>
      <w:r>
        <w:rPr>
          <w:rFonts w:ascii="Arial" w:hAnsi="Arial"/>
          <w:b w:val="0"/>
          <w:sz w:val="24"/>
        </w:rPr>
        <w:t>FUNDAÇÃO NACIONAL DOS POVOS INDÍGENAS. Terras indígenas e aldeias: dados geoespaciais. Brasília: FUNAI, 2026. Disponível em: https://geoserver.funai.gov.br. Acesso em: 29 jul. 2026.</w:t>
      </w:r>
    </w:p>
    <w:p>
      <w:pPr>
        <w:spacing w:line="240" w:lineRule="auto" w:before="0" w:after="120"/>
        <w:ind w:firstLine="0"/>
        <w:jc w:val="left"/>
      </w:pPr>
      <w:r>
        <w:rPr>
          <w:rFonts w:ascii="Arial" w:hAnsi="Arial"/>
          <w:b w:val="0"/>
          <w:sz w:val="24"/>
        </w:rPr>
        <w:t>INSTITUTO BRASILEIRO DE GEOGRAFIA E ESTATÍSTICA. Malhas territoriais e divisão territorial brasileira. Rio de Janeiro: IBGE, 2025. Disponível em: https://servicodados.ibge.gov.br. Acesso em: 29 jul. 2026.</w:t>
      </w:r>
    </w:p>
    <w:p>
      <w:pPr>
        <w:spacing w:line="240" w:lineRule="auto" w:before="0" w:after="120"/>
        <w:ind w:firstLine="0"/>
        <w:jc w:val="left"/>
      </w:pPr>
      <w:r>
        <w:rPr>
          <w:rFonts w:ascii="Arial" w:hAnsi="Arial"/>
          <w:b w:val="0"/>
          <w:sz w:val="24"/>
        </w:rPr>
        <w:t>INSTITUTO NACIONAL DE COLONIZAÇÃO E REFORMA AGRÁRIA. Acervo fundiário: assentamentos e territórios quilombolas. Brasília: INCRA, 2026. Disponível em: https://acervofundiario.incra.gov.br. Acesso em: 29 jul. 2026.</w:t>
      </w:r>
    </w:p>
    <w:p>
      <w:r>
        <w:br w:type="page"/>
      </w:r>
    </w:p>
    <w:p>
      <w:pPr>
        <w:spacing w:line="360" w:lineRule="auto" w:before="360" w:after="120"/>
        <w:ind w:firstLine="0"/>
        <w:jc w:val="left"/>
      </w:pPr>
      <w:r>
        <w:rPr>
          <w:rFonts w:ascii="Arial" w:hAnsi="Arial"/>
          <w:b/>
          <w:sz w:val="24"/>
        </w:rPr>
        <w:t>ANEXO A — PANORAMA ESTADUAL: CONFORMIDADE E CARTOGRAFIA</w:t>
      </w:r>
    </w:p>
    <w:p>
      <w:pPr>
        <w:spacing w:line="240" w:lineRule="auto" w:before="200" w:after="40"/>
        <w:ind w:firstLine="0"/>
        <w:jc w:val="center"/>
      </w:pPr>
      <w:r>
        <w:rPr>
          <w:rFonts w:ascii="Arial" w:hAnsi="Arial"/>
          <w:b w:val="0"/>
          <w:sz w:val="20"/>
        </w:rPr>
        <w:t>Tabela A1 — Conformidade com os instrumentos da Política Nacional de Segurança de Barragens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Instrumento</w:t>
            </w:r>
          </w:p>
        </w:tc>
        <w:tc>
          <w:tcPr>
            <w:tcW w:type="dxa" w:w="302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Barragens</w:t>
            </w:r>
          </w:p>
        </w:tc>
        <w:tc>
          <w:tcPr>
            <w:tcW w:type="dxa" w:w="302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% do inventário</w:t>
            </w:r>
          </w:p>
        </w:tc>
      </w:tr>
      <w:tr>
        <w:tc>
          <w:tcPr>
            <w:tcW w:type="dxa" w:w="302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Plano de Segurança da Barragem</w:t>
            </w:r>
          </w:p>
        </w:tc>
        <w:tc>
          <w:tcPr>
            <w:tcW w:type="dxa" w:w="302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149</w:t>
            </w:r>
          </w:p>
        </w:tc>
        <w:tc>
          <w:tcPr>
            <w:tcW w:type="dxa" w:w="302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11,6%</w:t>
            </w:r>
          </w:p>
        </w:tc>
      </w:tr>
      <w:tr>
        <w:tc>
          <w:tcPr>
            <w:tcW w:type="dxa" w:w="302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Plano de Ação de Emergência</w:t>
            </w:r>
          </w:p>
        </w:tc>
        <w:tc>
          <w:tcPr>
            <w:tcW w:type="dxa" w:w="302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131</w:t>
            </w:r>
          </w:p>
        </w:tc>
        <w:tc>
          <w:tcPr>
            <w:tcW w:type="dxa" w:w="302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10,2%</w:t>
            </w:r>
          </w:p>
        </w:tc>
      </w:tr>
      <w:tr>
        <w:tc>
          <w:tcPr>
            <w:tcW w:type="dxa" w:w="302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Revisão periódica de segurança</w:t>
            </w:r>
          </w:p>
        </w:tc>
        <w:tc>
          <w:tcPr>
            <w:tcW w:type="dxa" w:w="302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302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5,9%</w:t>
            </w:r>
          </w:p>
        </w:tc>
      </w:tr>
      <w:tr>
        <w:tc>
          <w:tcPr>
            <w:tcW w:type="dxa" w:w="302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Data de última inspeção registrada</w:t>
            </w:r>
          </w:p>
        </w:tc>
        <w:tc>
          <w:tcPr>
            <w:tcW w:type="dxa" w:w="302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94</w:t>
            </w:r>
          </w:p>
        </w:tc>
        <w:tc>
          <w:tcPr>
            <w:tcW w:type="dxa" w:w="302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7,3%</w:t>
            </w:r>
          </w:p>
        </w:tc>
      </w:tr>
    </w:tbl>
    <w:p>
      <w:pPr>
        <w:spacing w:line="240" w:lineRule="auto" w:before="40" w:after="200"/>
        <w:ind w:firstLine="0"/>
        <w:jc w:val="center"/>
      </w:pPr>
      <w:r>
        <w:rPr>
          <w:rFonts w:ascii="Arial" w:hAnsi="Arial"/>
          <w:b w:val="0"/>
          <w:sz w:val="20"/>
        </w:rPr>
        <w:t>Fonte: SNISB/ANA, extração de 29/07/2026. Elaboração própria.</w:t>
      </w:r>
    </w:p>
    <w:p>
      <w:pPr>
        <w:spacing w:line="240" w:lineRule="auto" w:before="200" w:after="40"/>
        <w:ind w:firstLine="0"/>
        <w:jc w:val="center"/>
      </w:pPr>
      <w:r>
        <w:rPr>
          <w:rFonts w:ascii="Arial" w:hAnsi="Arial"/>
          <w:b w:val="0"/>
          <w:sz w:val="20"/>
        </w:rPr>
        <w:t>Figura A1 — Barragens cadastradas em Mato Grosso por categoria de risco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barragens_mt_cr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Arial" w:hAnsi="Arial"/>
          <w:b w:val="0"/>
          <w:sz w:val="20"/>
        </w:rPr>
        <w:t>Fonte: SNISB/ANA e SIGBM/ANM; malha territorial do IBGE. Elaboração própria.</w:t>
      </w:r>
    </w:p>
    <w:p>
      <w:r>
        <w:br w:type="page"/>
      </w:r>
    </w:p>
    <w:p>
      <w:pPr>
        <w:spacing w:line="240" w:lineRule="auto" w:before="200" w:after="40"/>
        <w:ind w:firstLine="0"/>
        <w:jc w:val="center"/>
      </w:pPr>
      <w:r>
        <w:rPr>
          <w:rFonts w:ascii="Arial" w:hAnsi="Arial"/>
          <w:b w:val="0"/>
          <w:sz w:val="20"/>
        </w:rPr>
        <w:t>Figura A2 — Barragens a montante de Cuiabá e eixo de drenagem do rio Cuiabá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cuiaba_barragens_monta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Arial" w:hAnsi="Arial"/>
          <w:b w:val="0"/>
          <w:sz w:val="20"/>
        </w:rPr>
        <w:t>Fonte: SNISB/ANA, SIGBM/ANM e Base Hidrográfica Ottocodificada da ANA; malha territorial do IBGE. Elaboração própria.</w:t>
      </w:r>
    </w:p>
    <w:p>
      <w:r>
        <w:br w:type="page"/>
      </w:r>
    </w:p>
    <w:p>
      <w:pPr>
        <w:spacing w:line="240" w:lineRule="auto" w:before="200" w:after="40"/>
        <w:ind w:firstLine="0"/>
        <w:jc w:val="center"/>
      </w:pPr>
      <w:r>
        <w:rPr>
          <w:rFonts w:ascii="Arial" w:hAnsi="Arial"/>
          <w:b w:val="0"/>
          <w:sz w:val="20"/>
        </w:rPr>
        <w:t>Figura A3 — Populações vulneráveis e rede de saúde no eixo Manso — Cuiabá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cuiaba_populacoes_sau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Arial" w:hAnsi="Arial"/>
          <w:b w:val="0"/>
          <w:sz w:val="20"/>
        </w:rPr>
        <w:t>Fonte: FUNAI, INCRA, Fundação Cultural Palmares e CNES/Ministério da Saúde; hidrografia da ANA e malha territorial do IBGE. Elaboração própria.</w:t>
      </w:r>
    </w:p>
    <w:p>
      <w:r>
        <w:br w:type="page"/>
      </w:r>
    </w:p>
    <w:p>
      <w:pPr>
        <w:spacing w:line="360" w:lineRule="auto" w:before="360" w:after="120"/>
        <w:ind w:firstLine="0"/>
        <w:jc w:val="left"/>
      </w:pPr>
      <w:r>
        <w:rPr>
          <w:rFonts w:ascii="Arial" w:hAnsi="Arial"/>
          <w:b/>
          <w:sz w:val="24"/>
        </w:rPr>
        <w:t>ANEXO B — BARRAGENS QUE DRENAM PARA A SEÇÃO DE CONTROLE DE CUIABÁ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sz w:val="24"/>
        </w:rPr>
        <w:t>Das 106 estruturas identificadas por topologia de drenagem, apresentam-se as de Dano Potencial Associado alto ou Categoria de Risco alta, ordenadas por capacidade do reservatório. A relação completa consta do arquivo barragens_montante_cuiaba.csv do repositório do projeto. A capacidade informada é a do reservatório, repetida pelo cadastro em cada estrutura que o confina, e por isso não deve ser somada entre estruturas de um mesmo empreendimento.</w:t>
      </w:r>
    </w:p>
    <w:p>
      <w:pPr>
        <w:spacing w:line="240" w:lineRule="auto" w:before="200" w:after="40"/>
        <w:ind w:firstLine="0"/>
        <w:jc w:val="center"/>
      </w:pPr>
      <w:r>
        <w:rPr>
          <w:rFonts w:ascii="Arial" w:hAnsi="Arial"/>
          <w:b w:val="0"/>
          <w:sz w:val="20"/>
        </w:rPr>
        <w:t>Tabela B1 — Barragens de dano potencial alto ou categoria de risco alta a montante de Cuiabá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Estrutura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Município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CRI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DPA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Capac. (hm³)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PAE</w:t>
            </w:r>
          </w:p>
        </w:tc>
      </w:tr>
      <w:tr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UHE Manso - Dique 2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Chapada dos Guimarães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Baixo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Alto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7.337,00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</w:tr>
      <w:tr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UHE Manso - Dique 3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Chapada dos Guimarães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Baixo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Alto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7.337,00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</w:tr>
      <w:tr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UHE Manso - Dique 4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Chapada dos Guimarães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Baixo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Alto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7.337,00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</w:tr>
      <w:tr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UHE Manso - Dique 5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Chapada dos Guimarães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Baixo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Alto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7.337,00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</w:tr>
      <w:tr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UHE Manso - Dique 6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Chapada dos Guimarães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Baixo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Alto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7.337,00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</w:tr>
      <w:tr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UHE Manso - Dique 7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Chapada dos Guimarães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Baixo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Alto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7.337,00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</w:tr>
      <w:tr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Lago Recreativo Cuiabá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Cuiabá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Não Classificado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Alto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6,66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Barragem de Rejeitos Bom Futuro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Nossa Senhora do Livramento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Alto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Médio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1,32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</w:tr>
      <w:tr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Barragem de Rejeito Estrela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Nossa Senhora do Livramento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Médio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Alto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1,02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</w:tr>
      <w:tr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Barragem de Rejeito Estrela 03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Nossa Senhora do Livramento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Alto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Alto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0,69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</w:tr>
      <w:tr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Sitio Pirapora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Nossa Senhora do Livramento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Alto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Baixo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0,68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BARRAGEM JVR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Cuiabá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Médio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Alto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0,41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</w:tr>
      <w:tr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Santa Maria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Nossa Senhora do Livramento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Alto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Médio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0,35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</w:tr>
      <w:tr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Barragem de Rejeito Estrela 02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Nossa Senhora do Livramento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Alto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Alto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0,28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</w:tr>
      <w:tr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Fazenda KM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Cuiabá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Alto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Baixo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0,00</w:t>
            </w:r>
          </w:p>
        </w:tc>
        <w:tc>
          <w:tcPr>
            <w:tcW w:type="dxa" w:w="1512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</w:tbl>
    <w:p>
      <w:pPr>
        <w:spacing w:line="240" w:lineRule="auto" w:before="40" w:after="200"/>
        <w:ind w:firstLine="0"/>
        <w:jc w:val="center"/>
      </w:pPr>
      <w:r>
        <w:rPr>
          <w:rFonts w:ascii="Arial" w:hAnsi="Arial"/>
          <w:b w:val="0"/>
          <w:sz w:val="20"/>
        </w:rPr>
        <w:t>Fonte: SNISB/ANA e SIGBM/ANM. Elaboração própria.</w:t>
      </w:r>
    </w:p>
    <w:p>
      <w:r>
        <w:br w:type="page"/>
      </w:r>
    </w:p>
    <w:p>
      <w:pPr>
        <w:spacing w:line="360" w:lineRule="auto" w:before="360" w:after="120"/>
        <w:ind w:firstLine="0"/>
        <w:jc w:val="left"/>
      </w:pPr>
      <w:r>
        <w:rPr>
          <w:rFonts w:ascii="Arial" w:hAnsi="Arial"/>
          <w:b/>
          <w:sz w:val="24"/>
        </w:rPr>
        <w:t>ANEXO C — ESTRUTURAS DO APROVEITAMENTO MÚLTIPLO DE MANSO</w:t>
      </w:r>
    </w:p>
    <w:p>
      <w:pPr>
        <w:spacing w:line="240" w:lineRule="auto" w:before="200" w:after="40"/>
        <w:ind w:firstLine="0"/>
        <w:jc w:val="center"/>
      </w:pPr>
      <w:r>
        <w:rPr>
          <w:rFonts w:ascii="Arial" w:hAnsi="Arial"/>
          <w:b w:val="0"/>
          <w:sz w:val="20"/>
        </w:rPr>
        <w:t>Tabela C1 — Instrumentos de segurança por estrutura do complexo de Manso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Estrutura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Município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Altura (m)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Plano de Segurança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PAE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UHE Manso - Barragem de Terra do Leito do Rio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Chapada dos Guimarães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73,0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UHE Manso - Barragem da Margem Esquerda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Chapada dos Guimarães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50,0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Não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não informado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UHE Manso - Barragem da Margem Direita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Chapada dos Guimarães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35,0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Não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não informado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UHE Manso - Dique 3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Chapada dos Guimarães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16,0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UHE Manso - Dique 2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Chapada dos Guimarães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12,0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UHE Manso - Dique 5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Chapada dos Guimarães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9,0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UHE Manso - Dique 6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Chapada dos Guimarães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8,0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UHE Manso - Dique 7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Chapada dos Guimarães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8,0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UHE Manso - Dique 1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Nobres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8,0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UHE Manso - Dique 4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Chapada dos Guimarães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4,0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</w:tr>
    </w:tbl>
    <w:p>
      <w:pPr>
        <w:spacing w:line="240" w:lineRule="auto" w:before="40" w:after="200"/>
        <w:ind w:firstLine="0"/>
        <w:jc w:val="center"/>
      </w:pPr>
      <w:r>
        <w:rPr>
          <w:rFonts w:ascii="Arial" w:hAnsi="Arial"/>
          <w:b w:val="0"/>
          <w:sz w:val="20"/>
        </w:rPr>
        <w:t>Fonte: SNISB/ANA. Elaboração própria.</w:t>
      </w:r>
    </w:p>
    <w:p>
      <w:r>
        <w:br w:type="page"/>
      </w:r>
    </w:p>
    <w:p>
      <w:pPr>
        <w:spacing w:line="360" w:lineRule="auto" w:before="360" w:after="120"/>
        <w:ind w:firstLine="0"/>
        <w:jc w:val="left"/>
      </w:pPr>
      <w:r>
        <w:rPr>
          <w:rFonts w:ascii="Arial" w:hAnsi="Arial"/>
          <w:b/>
          <w:sz w:val="24"/>
        </w:rPr>
        <w:t>ANEXO D — ELEMENTOS VULNERÁVEIS A ATÉ 5 KM DO EIXO DE DRENAGEM</w:t>
      </w:r>
    </w:p>
    <w:p>
      <w:pPr>
        <w:spacing w:line="240" w:lineRule="auto" w:before="200" w:after="40"/>
        <w:ind w:firstLine="0"/>
        <w:jc w:val="center"/>
      </w:pPr>
      <w:r>
        <w:rPr>
          <w:rFonts w:ascii="Arial" w:hAnsi="Arial"/>
          <w:b w:val="0"/>
          <w:sz w:val="20"/>
        </w:rPr>
        <w:t>Tabela D1 — Territórios e comunidades a até 5 km do talvegue, por distância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Categoria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Nome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Município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Distância (km)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Observação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aldeia indígena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ALEGRIA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Barão de Melgaço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0,10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TI Baía dos Guató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aldeia indígena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ATERRADINHO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Barão de Melgaço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0,17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TI Baía dos Guató</w:t>
            </w:r>
          </w:p>
        </w:tc>
      </w:tr>
    </w:tbl>
    <w:p>
      <w:pPr>
        <w:spacing w:line="240" w:lineRule="auto" w:before="40" w:after="200"/>
        <w:ind w:firstLine="0"/>
        <w:jc w:val="center"/>
      </w:pPr>
      <w:r>
        <w:rPr>
          <w:rFonts w:ascii="Arial" w:hAnsi="Arial"/>
          <w:b w:val="0"/>
          <w:sz w:val="20"/>
        </w:rPr>
        <w:t>Fonte: FUNAI e INCRA; hidrografia da ANA. Elaboração própria.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sz w:val="24"/>
        </w:rPr>
        <w:t>A distância é medida do elemento ao talvegue e não representa cota de inundação. A ausência de mancha de inundação impede converter proximidade em exposição, conforme exposto na seção 2.</w:t>
      </w:r>
    </w:p>
    <w:p>
      <w:r>
        <w:br w:type="page"/>
      </w:r>
    </w:p>
    <w:p>
      <w:pPr>
        <w:spacing w:line="360" w:lineRule="auto" w:before="360" w:after="120"/>
        <w:ind w:firstLine="0"/>
        <w:jc w:val="left"/>
      </w:pPr>
      <w:r>
        <w:rPr>
          <w:rFonts w:ascii="Arial" w:hAnsi="Arial"/>
          <w:b/>
          <w:sz w:val="24"/>
        </w:rPr>
        <w:t>ANEXO E — COMUNIDADES QUILOMBOLAS CERTIFICADAS NOS MUNICÍPIOS DO EIXO</w:t>
      </w:r>
    </w:p>
    <w:p>
      <w:pPr>
        <w:spacing w:line="240" w:lineRule="auto" w:before="200" w:after="40"/>
        <w:ind w:firstLine="0"/>
        <w:jc w:val="center"/>
      </w:pPr>
      <w:r>
        <w:rPr>
          <w:rFonts w:ascii="Arial" w:hAnsi="Arial"/>
          <w:b w:val="0"/>
          <w:sz w:val="20"/>
        </w:rPr>
        <w:t>Tabela E1 — Comunidades quilombolas certificadas pela Fundação Cultural Palmares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Município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Comunidade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Acorizal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ALDEIAS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Acorizal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BAÚS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Chapada dos Guimarães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ARICA-AÇÚ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Chapada dos Guimarães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BARRO PRETO SERRA DO CAMBAM BI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Chapada dos Guimarães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CACHOEIRA DO BOM JARDIM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Chapada dos Guimarães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CANSANÇÃO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Chapada dos Guimarães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ITAMBÉ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Chapada dos Guimarães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LAGOINHA DE BAIXO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Chapada dos Guimarães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LAGOINHA DE CIMA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Cuiabá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AGUASSÚ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Cuiabá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CAXIPÓ AÇÚ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Cuiabá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SÃO GERÔNIMO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Nossa Senhora do Livramento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BARREIRO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Nossa Senhora do Livramento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CABECEIRA DO SANTANA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Nossa Senhora do Livramento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CAMPINA VERDE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Nossa Senhora do Livramento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ENTRADA DO BANANAL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Nossa Senhora do Livramento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JACARÉ DE CIMA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Nossa Senhora do Livramento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MATA CAVALO (Composta pelos povoados: Mata Cavalo de Cima, Mata Cavalo de Baixo, Ribeirão do Mutuca, Aguassú, Ventura Capim Verde e Ourinhos)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Nossa Senhora do Livramento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RIBEIRÃO DA MUTUCA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Poconé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ARANHA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Poconé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CAMPINA DE PEDRA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Poconé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CAMPINA II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Poconé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CANTO DO AGOSTINHO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Poconé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CAPÃO VERDE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Poconé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CARRETÃO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Poconé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CHAFARIZ URUBAMA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Poconé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CHUMBO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Poconé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COITINHO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Poconé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CURRALINHO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Poconé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CÁGADO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Poconé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CÉU AZUL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Poconé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IMBÉ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Poconé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JEJUM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Poconé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LARANJAL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Poconé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MINADOURO 2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Poconé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MORRINHOS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Poconé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MORRO CORTADO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Poconé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PANTANALZINHO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Poconé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PASSAGEM DE CARRO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Poconé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PEDRA VIVA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Poconé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RETIRO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Poconé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RODEIO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Poconé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SESMARIA FAZENDA GRANDE (BARREIRÃO, CAPÃO DE OURO, CARANDÁ, LAGOA GRANDE, MANGA E PASSAGEM VELHA)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Poconé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SETE PORCOS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Poconé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SÃO BENEDITO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Poconé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SÃO GONÇALO II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Poconé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TANQUE DO PADRE PINHAL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Poconé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VARAL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Várzea Grande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CAPÃO DO NEGRO CRISTO REI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Várzea Grande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COLONIA UNIÃO CAPÃO DE NEGRO URBANO, BAIRRO MANGA</w:t>
            </w:r>
          </w:p>
        </w:tc>
      </w:tr>
    </w:tbl>
    <w:p>
      <w:pPr>
        <w:spacing w:line="240" w:lineRule="auto" w:before="40" w:after="200"/>
        <w:ind w:firstLine="0"/>
        <w:jc w:val="center"/>
      </w:pPr>
      <w:r>
        <w:rPr>
          <w:rFonts w:ascii="Arial" w:hAnsi="Arial"/>
          <w:b w:val="0"/>
          <w:sz w:val="20"/>
        </w:rPr>
        <w:t>Fonte: Fundação Cultural Palmares. Elaboração própria.</w:t>
      </w:r>
    </w:p>
    <w:p>
      <w:r>
        <w:br w:type="page"/>
      </w:r>
    </w:p>
    <w:p>
      <w:pPr>
        <w:spacing w:line="360" w:lineRule="auto" w:before="360" w:after="120"/>
        <w:ind w:firstLine="0"/>
        <w:jc w:val="left"/>
      </w:pPr>
      <w:r>
        <w:rPr>
          <w:rFonts w:ascii="Arial" w:hAnsi="Arial"/>
          <w:b/>
          <w:sz w:val="24"/>
        </w:rPr>
        <w:t>ANEXO F — RETAGUARDA HOSPITALAR NOS MUNICÍPIOS DO EIXO</w:t>
      </w:r>
    </w:p>
    <w:p>
      <w:pPr>
        <w:spacing w:line="240" w:lineRule="auto" w:before="200" w:after="40"/>
        <w:ind w:firstLine="0"/>
        <w:jc w:val="center"/>
      </w:pPr>
      <w:r>
        <w:rPr>
          <w:rFonts w:ascii="Arial" w:hAnsi="Arial"/>
          <w:b w:val="0"/>
          <w:sz w:val="20"/>
        </w:rPr>
        <w:t>Tabela F1 — Estabelecimentos com atendimento hospitalar nos municípios do eixo analisado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Município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Com atendimento hospitalar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Cuiabá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39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Várzea Grande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Nobres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Rosário Oeste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Santo Antônio de Leverger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Barão de Melgaço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Nossa Senhora do Livramento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Poconé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Acorizal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0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Chapada dos Guimarães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0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Jangada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0</w:t>
            </w:r>
          </w:p>
        </w:tc>
      </w:tr>
    </w:tbl>
    <w:p>
      <w:pPr>
        <w:spacing w:line="240" w:lineRule="auto" w:before="40" w:after="200"/>
        <w:ind w:firstLine="0"/>
        <w:jc w:val="center"/>
      </w:pPr>
      <w:r>
        <w:rPr>
          <w:rFonts w:ascii="Arial" w:hAnsi="Arial"/>
          <w:b w:val="0"/>
          <w:sz w:val="20"/>
        </w:rPr>
        <w:t>Fonte: CNES/Ministério da Saúde, extração de 29/07/2026. Elaboração própria.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Arial" w:hAnsi="Arial"/>
        <w:sz w:val="20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Arial" w:hAnsi="Arial" w:eastAsia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