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80" w:before="0"/>
        <w:jc w:val="center"/>
      </w:pPr>
      <w:r>
        <w:rPr>
          <w:rFonts w:ascii="Calibri" w:hAnsi="Calibri"/>
          <w:b w:val="0"/>
          <w:sz w:val="20"/>
        </w:rPr>
        <w:t>GT CIATox-MT · 60 dias · minuta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8"/>
        </w:rPr>
        <w:t>Plano de trabalho do Grupo de Trabalho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Produto final: relatório ao Secretário com diagnóstico do CIAVE, gap analysis da Portaria n.º 12.151/2026, modelo de cobertura dos 142 municípios e comparação dos três arranjos institucionais.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Prazo</w:t>
            </w:r>
          </w:p>
        </w:tc>
        <w:tc>
          <w:tcPr>
            <w:tcW w:type="dxa" w:w="2351"/>
          </w:tcPr>
          <w:p>
            <w:r>
              <w:t>Atividade</w:t>
            </w:r>
          </w:p>
        </w:tc>
        <w:tc>
          <w:tcPr>
            <w:tcW w:type="dxa" w:w="2351"/>
          </w:tcPr>
          <w:p>
            <w:r>
              <w:t>Produto</w:t>
            </w:r>
          </w:p>
        </w:tc>
        <w:tc>
          <w:tcPr>
            <w:tcW w:type="dxa" w:w="2351"/>
          </w:tcPr>
          <w:p>
            <w:r>
              <w:t>Responsável</w:t>
            </w:r>
          </w:p>
        </w:tc>
      </w:tr>
      <w:tr>
        <w:tc>
          <w:tcPr>
            <w:tcW w:type="dxa" w:w="2351"/>
          </w:tcPr>
          <w:p>
            <w:r>
              <w:t>Dias 0–7</w:t>
            </w:r>
          </w:p>
        </w:tc>
        <w:tc>
          <w:tcPr>
            <w:tcW w:type="dxa" w:w="2351"/>
          </w:tcPr>
          <w:p>
            <w:r>
              <w:t>Instalar o GT e convocar áreas e ERS</w:t>
            </w:r>
          </w:p>
        </w:tc>
        <w:tc>
          <w:tcPr>
            <w:tcW w:type="dxa" w:w="2351"/>
          </w:tcPr>
          <w:p>
            <w:r>
              <w:t>Ata e lista de integrantes</w:t>
            </w:r>
          </w:p>
        </w:tc>
        <w:tc>
          <w:tcPr>
            <w:tcW w:type="dxa" w:w="2351"/>
          </w:tcPr>
          <w:p>
            <w:r>
              <w:t>CIEVS-MT</w:t>
            </w:r>
          </w:p>
        </w:tc>
      </w:tr>
      <w:tr>
        <w:tc>
          <w:tcPr>
            <w:tcW w:type="dxa" w:w="2351"/>
          </w:tcPr>
          <w:p>
            <w:r>
              <w:t>Dias 0–15</w:t>
            </w:r>
          </w:p>
        </w:tc>
        <w:tc>
          <w:tcPr>
            <w:tcW w:type="dxa" w:w="2351"/>
          </w:tcPr>
          <w:p>
            <w:r>
              <w:t>Ofício à Prefeitura / CIAVE e pedido de dados</w:t>
            </w:r>
          </w:p>
        </w:tc>
        <w:tc>
          <w:tcPr>
            <w:tcW w:type="dxa" w:w="2351"/>
          </w:tcPr>
          <w:p>
            <w:r>
              <w:t>Protocolo e dossiê inicial</w:t>
            </w:r>
          </w:p>
        </w:tc>
        <w:tc>
          <w:tcPr>
            <w:tcW w:type="dxa" w:w="2351"/>
          </w:tcPr>
          <w:p>
            <w:r>
              <w:t>CIEVS / Assistência</w:t>
            </w:r>
          </w:p>
        </w:tc>
      </w:tr>
      <w:tr>
        <w:tc>
          <w:tcPr>
            <w:tcW w:type="dxa" w:w="2351"/>
          </w:tcPr>
          <w:p>
            <w:r>
              <w:t>Dias 8–30</w:t>
            </w:r>
          </w:p>
        </w:tc>
        <w:tc>
          <w:tcPr>
            <w:tcW w:type="dxa" w:w="2351"/>
          </w:tcPr>
          <w:p>
            <w:r>
              <w:t>Diagnóstico do CIAVE/CIATox Cuiabá</w:t>
            </w:r>
          </w:p>
        </w:tc>
        <w:tc>
          <w:tcPr>
            <w:tcW w:type="dxa" w:w="2351"/>
          </w:tcPr>
          <w:p>
            <w:r>
              <w:t>Relatório de capacidade</w:t>
            </w:r>
          </w:p>
        </w:tc>
        <w:tc>
          <w:tcPr>
            <w:tcW w:type="dxa" w:w="2351"/>
          </w:tcPr>
          <w:p>
            <w:r>
              <w:t>GT</w:t>
            </w:r>
          </w:p>
        </w:tc>
      </w:tr>
      <w:tr>
        <w:tc>
          <w:tcPr>
            <w:tcW w:type="dxa" w:w="2351"/>
          </w:tcPr>
          <w:p>
            <w:r>
              <w:t>Dias 8–30</w:t>
            </w:r>
          </w:p>
        </w:tc>
        <w:tc>
          <w:tcPr>
            <w:tcW w:type="dxa" w:w="2351"/>
          </w:tcPr>
          <w:p>
            <w:r>
              <w:t>Mapa regional: ERS, antídotos, hospitais</w:t>
            </w:r>
          </w:p>
        </w:tc>
        <w:tc>
          <w:tcPr>
            <w:tcW w:type="dxa" w:w="2351"/>
          </w:tcPr>
          <w:p>
            <w:r>
              <w:t>16 fichas + mapa estadual</w:t>
            </w:r>
          </w:p>
        </w:tc>
        <w:tc>
          <w:tcPr>
            <w:tcW w:type="dxa" w:w="2351"/>
          </w:tcPr>
          <w:p>
            <w:r>
              <w:t>ERS + CIEVS</w:t>
            </w:r>
          </w:p>
        </w:tc>
      </w:tr>
      <w:tr>
        <w:tc>
          <w:tcPr>
            <w:tcW w:type="dxa" w:w="2351"/>
          </w:tcPr>
          <w:p>
            <w:r>
              <w:t>Dias 15–40</w:t>
            </w:r>
          </w:p>
        </w:tc>
        <w:tc>
          <w:tcPr>
            <w:tcW w:type="dxa" w:w="2351"/>
          </w:tcPr>
          <w:p>
            <w:r>
              <w:t>Gap analysis Anexos CVIII e CIX; Lacen; RH</w:t>
            </w:r>
          </w:p>
        </w:tc>
        <w:tc>
          <w:tcPr>
            <w:tcW w:type="dxa" w:w="2351"/>
          </w:tcPr>
          <w:p>
            <w:r>
              <w:t>Matriz de requisitos</w:t>
            </w:r>
          </w:p>
        </w:tc>
        <w:tc>
          <w:tcPr>
            <w:tcW w:type="dxa" w:w="2351"/>
          </w:tcPr>
          <w:p>
            <w:r>
              <w:t>Lacen / AF / CIEVS</w:t>
            </w:r>
          </w:p>
        </w:tc>
      </w:tr>
      <w:tr>
        <w:tc>
          <w:tcPr>
            <w:tcW w:type="dxa" w:w="2351"/>
          </w:tcPr>
          <w:p>
            <w:r>
              <w:t>Dias 30–50</w:t>
            </w:r>
          </w:p>
        </w:tc>
        <w:tc>
          <w:tcPr>
            <w:tcW w:type="dxa" w:w="2351"/>
          </w:tcPr>
          <w:p>
            <w:r>
              <w:t>Toxicovigilância CIATox–CIEVS–VSPEA</w:t>
            </w:r>
          </w:p>
        </w:tc>
        <w:tc>
          <w:tcPr>
            <w:tcW w:type="dxa" w:w="2351"/>
          </w:tcPr>
          <w:p>
            <w:r>
              <w:t>Fluxo de alerta</w:t>
            </w:r>
          </w:p>
        </w:tc>
        <w:tc>
          <w:tcPr>
            <w:tcW w:type="dxa" w:w="2351"/>
          </w:tcPr>
          <w:p>
            <w:r>
              <w:t>CIEVS / Vigilâncias</w:t>
            </w:r>
          </w:p>
        </w:tc>
      </w:tr>
      <w:tr>
        <w:tc>
          <w:tcPr>
            <w:tcW w:type="dxa" w:w="2351"/>
          </w:tcPr>
          <w:p>
            <w:r>
              <w:t>Dias 40–55</w:t>
            </w:r>
          </w:p>
        </w:tc>
        <w:tc>
          <w:tcPr>
            <w:tcW w:type="dxa" w:w="2351"/>
          </w:tcPr>
          <w:p>
            <w:r>
              <w:t>Estudo econômico dos três modelos</w:t>
            </w:r>
          </w:p>
        </w:tc>
        <w:tc>
          <w:tcPr>
            <w:tcW w:type="dxa" w:w="2351"/>
          </w:tcPr>
          <w:p>
            <w:r>
              <w:t>Planilha e nota</w:t>
            </w:r>
          </w:p>
        </w:tc>
        <w:tc>
          <w:tcPr>
            <w:tcW w:type="dxa" w:w="2351"/>
          </w:tcPr>
          <w:p>
            <w:r>
              <w:t>GT + área financeira</w:t>
            </w:r>
          </w:p>
        </w:tc>
      </w:tr>
      <w:tr>
        <w:tc>
          <w:tcPr>
            <w:tcW w:type="dxa" w:w="2351"/>
          </w:tcPr>
          <w:p>
            <w:r>
              <w:t>Dias 50–60</w:t>
            </w:r>
          </w:p>
        </w:tc>
        <w:tc>
          <w:tcPr>
            <w:tcW w:type="dxa" w:w="2351"/>
          </w:tcPr>
          <w:p>
            <w:r>
              <w:t>Relatório final e recomendação</w:t>
            </w:r>
          </w:p>
        </w:tc>
        <w:tc>
          <w:tcPr>
            <w:tcW w:type="dxa" w:w="2351"/>
          </w:tcPr>
          <w:p>
            <w:r>
              <w:t>Dossiê de decisão</w:t>
            </w:r>
          </w:p>
        </w:tc>
        <w:tc>
          <w:tcPr>
            <w:tcW w:type="dxa" w:w="2351"/>
          </w:tcPr>
          <w:p>
            <w:r>
              <w:t>CIEVS-MT</w:t>
            </w:r>
          </w:p>
        </w:tc>
      </w:tr>
    </w:tbl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Entregas no 60.º dia: diagnóstico do CIAVE; gap analysis; cobertura dos 142 municípios; parecer Lacen; quadro financeiro; recomendação (fortalecer, cogestão ou novo CIATox estadual).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Este plano não autoriza obra, CNES novo nem habilitação no SAIPS.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