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000444"/>
          <w:sz w:val="20"/>
        </w:rPr>
        <w:t>Governo de Mato Grosso · Secretaria de Estado de Saúde · CIEVS-MT</w:t>
      </w:r>
    </w:p>
    <w:p>
      <w:pPr>
        <w:spacing w:after="200" w:before="0"/>
        <w:jc w:val="right"/>
      </w:pPr>
      <w:r>
        <w:rPr>
          <w:rFonts w:ascii="Calibri" w:hAnsi="Calibri"/>
          <w:b w:val="0"/>
          <w:sz w:val="22"/>
        </w:rPr>
        <w:t>Cuiabá-MT, 26 de setembro de 2026.</w:t>
      </w:r>
    </w:p>
    <w:p>
      <w:pPr>
        <w:spacing w:after="240" w:before="0"/>
      </w:pPr>
      <w:r>
        <w:rPr>
          <w:rFonts w:ascii="Calibri" w:hAnsi="Calibri"/>
          <w:b/>
          <w:color w:val="000444"/>
          <w:sz w:val="22"/>
        </w:rPr>
        <w:t>Ofício n.º ____/2026/CIEVS-MT/SES-MT</w:t>
      </w:r>
    </w:p>
    <w:p>
      <w:pPr>
        <w:spacing w:after="40" w:before="0"/>
      </w:pPr>
      <w:r>
        <w:rPr>
          <w:rFonts w:ascii="Calibri" w:hAnsi="Calibri"/>
          <w:b w:val="0"/>
          <w:sz w:val="22"/>
        </w:rPr>
        <w:t>Ao Senhor</w:t>
      </w:r>
    </w:p>
    <w:p>
      <w:pPr>
        <w:spacing w:after="40" w:before="0"/>
      </w:pPr>
      <w:r>
        <w:rPr>
          <w:rFonts w:ascii="Calibri" w:hAnsi="Calibri"/>
          <w:b/>
          <w:color w:val="000444"/>
          <w:sz w:val="22"/>
        </w:rPr>
        <w:t>Secretário de Estado de Saúde</w:t>
      </w:r>
    </w:p>
    <w:p>
      <w:pPr>
        <w:spacing w:after="40" w:before="0"/>
      </w:pPr>
      <w:r>
        <w:rPr>
          <w:rFonts w:ascii="Calibri" w:hAnsi="Calibri"/>
          <w:b w:val="0"/>
          <w:sz w:val="22"/>
        </w:rPr>
        <w:t>Secretaria de Estado de Saúde de Mato Grosso</w:t>
      </w:r>
    </w:p>
    <w:p>
      <w:pPr>
        <w:spacing w:after="240" w:before="0"/>
      </w:pPr>
      <w:r>
        <w:rPr>
          <w:rFonts w:ascii="Calibri" w:hAnsi="Calibri"/>
          <w:b w:val="0"/>
          <w:sz w:val="22"/>
        </w:rPr>
        <w:t>Nesta</w:t>
      </w:r>
    </w:p>
    <w:p>
      <w:pPr>
        <w:spacing w:after="240" w:before="0"/>
        <w:jc w:val="both"/>
      </w:pPr>
      <w:r>
        <w:rPr>
          <w:rFonts w:ascii="Calibri" w:hAnsi="Calibri"/>
          <w:b/>
          <w:color w:val="000444"/>
          <w:sz w:val="22"/>
        </w:rPr>
        <w:t>Assunto: Encaminha nota técnica e solicita despacho para estruturação da cobertura estadual de toxicologia clínica diante da Portaria GM/MS n.º 12.151/2026 — CIATox-MT.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Senhor Secretário,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A Portaria GM/MS n.º 12.151, de 14 de setembro de 2026, altera o enquadramento dos Centros de Informação e Assistência Toxicológica no SUS e cria instrumentos de habilitação, qualificação e custeio federal. Mato Grosso já possui serviço reconhecido pelo Ministério da Saúde — o Centro Antiveneno de Mato Grosso (CIAVE/CIATox Cuiabá), de gestão municipal. A questão, portanto, não é criar de imediato um segundo centro, e sim decidir como assegurar cobertura efetiva dos 142 municípios.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O CIEVS-MT elaborou minuta de nota técnica, apresentação executiva e projeto preliminar, com simulação conservadora de incentivo federal (Opção II, inclusive adicional da Amazônia Legal) e três modelos institucionais a comparar em 60 dias: fortalecimento do serviço atual, cogestão/referência estadual ou novo CIATox sob gestão da SES.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Solicita-se o despacho autorizando:</w:t>
      </w:r>
    </w:p>
    <w:p>
      <w:pPr>
        <w:spacing w:after="80" w:before="0"/>
        <w:jc w:val="both"/>
      </w:pPr>
      <w:r>
        <w:rPr>
          <w:rFonts w:ascii="Calibri" w:hAnsi="Calibri"/>
          <w:b w:val="0"/>
          <w:sz w:val="22"/>
        </w:rPr>
        <w:t>• a elaboração do Projeto Técnico da Rede CIATox-MT;</w:t>
      </w:r>
    </w:p>
    <w:p>
      <w:pPr>
        <w:spacing w:after="80" w:before="0"/>
        <w:jc w:val="both"/>
      </w:pPr>
      <w:r>
        <w:rPr>
          <w:rFonts w:ascii="Calibri" w:hAnsi="Calibri"/>
          <w:b w:val="0"/>
          <w:sz w:val="22"/>
        </w:rPr>
        <w:t>• a instituição de Grupo de Trabalho intersetorial, com prazo de 60 dias, incluindo os Escritórios Regionais e tratativa com o gestor do CIAVE;</w:t>
      </w:r>
    </w:p>
    <w:p>
      <w:pPr>
        <w:spacing w:after="80" w:before="0"/>
        <w:jc w:val="both"/>
      </w:pPr>
      <w:r>
        <w:rPr>
          <w:rFonts w:ascii="Calibri" w:hAnsi="Calibri"/>
          <w:b w:val="0"/>
          <w:sz w:val="22"/>
        </w:rPr>
        <w:t>• tratativas preliminares para futura habilitação federal, sem submissão ao SAIPS antes da escolha do modelo;</w:t>
      </w:r>
    </w:p>
    <w:p>
      <w:pPr>
        <w:spacing w:after="80" w:before="0"/>
        <w:jc w:val="both"/>
      </w:pPr>
      <w:r>
        <w:rPr>
          <w:rFonts w:ascii="Calibri" w:hAnsi="Calibri"/>
          <w:b w:val="0"/>
          <w:sz w:val="22"/>
        </w:rPr>
        <w:t>• a vedação, nesta leva, de obra, criação de estabelecimento e ampliação permanente de despesa.</w:t>
      </w:r>
    </w:p>
    <w:p>
      <w:pPr>
        <w:spacing w:after="240" w:before="0"/>
        <w:jc w:val="both"/>
      </w:pPr>
      <w:r>
        <w:rPr>
          <w:rFonts w:ascii="Calibri" w:hAnsi="Calibri"/>
          <w:b w:val="0"/>
          <w:sz w:val="22"/>
        </w:rPr>
        <w:t>Anexos: (1) nota técnica executiva; (2) apresentação; (3) projeto técnico preliminar; (4) minuta de ato do GT; (5) Portaria GM/MS n.º 12.151/2026.</w:t>
      </w:r>
    </w:p>
    <w:p>
      <w:pPr>
        <w:spacing w:after="480" w:before="0"/>
      </w:pPr>
      <w:r>
        <w:rPr>
          <w:rFonts w:ascii="Calibri" w:hAnsi="Calibri"/>
          <w:b w:val="0"/>
          <w:sz w:val="22"/>
        </w:rPr>
        <w:t>Respeitosamente,</w:t>
      </w:r>
    </w:p>
    <w:p>
      <w:pPr>
        <w:spacing w:after="40" w:before="0"/>
        <w:jc w:val="center"/>
      </w:pPr>
      <w:r>
        <w:rPr>
          <w:rFonts w:ascii="Calibri" w:hAnsi="Calibri"/>
          <w:b/>
          <w:color w:val="000444"/>
          <w:sz w:val="22"/>
        </w:rPr>
        <w:t>CIEVS-MT</w:t>
      </w:r>
    </w:p>
    <w:p>
      <w:pPr>
        <w:spacing w:after="40" w:before="0"/>
        <w:jc w:val="center"/>
      </w:pPr>
      <w:r>
        <w:rPr>
          <w:rFonts w:ascii="Calibri" w:hAnsi="Calibri"/>
          <w:b w:val="0"/>
          <w:sz w:val="22"/>
        </w:rPr>
        <w:t>Unidade de Informações Estratégicas de Vigilância em Saúde</w:t>
      </w:r>
    </w:p>
    <w:p>
      <w:pPr>
        <w:spacing w:after="40" w:before="0"/>
        <w:jc w:val="center"/>
      </w:pPr>
      <w:r>
        <w:rPr>
          <w:rFonts w:ascii="Calibri" w:hAnsi="Calibri"/>
          <w:b w:val="0"/>
          <w:sz w:val="22"/>
        </w:rPr>
        <w:t>Secretaria de Estado de Saúde de Mato Grosso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