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Calibri" w:hAnsi="Calibri"/>
          <w:b/>
          <w:color w:val="000444"/>
          <w:sz w:val="20"/>
        </w:rPr>
        <w:t>Governo de Mato Grosso · Secretaria de Estado de Saúde · CIEVS-MT</w:t>
      </w:r>
    </w:p>
    <w:p>
      <w:pPr>
        <w:spacing w:after="160" w:before="0"/>
        <w:jc w:val="center"/>
      </w:pPr>
      <w:r>
        <w:rPr>
          <w:rFonts w:ascii="Calibri" w:hAnsi="Calibri"/>
          <w:b/>
          <w:color w:val="000444"/>
          <w:sz w:val="28"/>
        </w:rPr>
        <w:t>NOTA TÉCNICA EXECUTIVA</w:t>
      </w:r>
    </w:p>
    <w:p>
      <w:pPr>
        <w:spacing w:after="200" w:before="0"/>
        <w:jc w:val="center"/>
      </w:pPr>
      <w:r>
        <w:rPr>
          <w:rFonts w:ascii="Calibri" w:hAnsi="Calibri"/>
          <w:b/>
          <w:color w:val="000444"/>
          <w:sz w:val="26"/>
        </w:rPr>
        <w:t>Estruturação da cobertura estadual de toxicologia clínica e adequação à Portaria GM/MS n.º 12.151/2026</w:t>
      </w:r>
    </w:p>
    <w:p>
      <w:pPr>
        <w:spacing w:after="280" w:before="0"/>
        <w:jc w:val="center"/>
      </w:pPr>
      <w:r>
        <w:rPr>
          <w:rFonts w:ascii="Calibri" w:hAnsi="Calibri"/>
          <w:b w:val="0"/>
          <w:sz w:val="20"/>
        </w:rPr>
        <w:t>Minuta v0.3 · 26 de setembro de 2026 · Despacho ao Secretário de Estado de Saúde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Recomendação: há base técnica e normativa para levar o tema ao Secretário. Esta etapa estrutura a cobertura estadual — e não cria, de imediato, um segundo CIATox. A escolha entre fortalecer o CIAVE/CIATox Cuiabá, pactuar cogestão ou implantar unidade estadual só ocorre após estudo de 60 dias.</w:t>
      </w:r>
    </w:p>
    <w:p>
      <w:pPr>
        <w:spacing w:after="200" w:before="0"/>
      </w:pPr>
      <w:r>
        <w:rPr>
          <w:rFonts w:ascii="Calibri" w:hAnsi="Calibri"/>
          <w:b/>
          <w:color w:val="000444"/>
          <w:sz w:val="24"/>
        </w:rPr>
        <w:t>1. O que a Portaria muda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A norma consolida o CIATox como estabelecimento do SUS, integrante da RUE, da Vigilância em Saúde e Ambiente e da Assistência Farmacêutica, com plantão 24/7, teleconsultoria, antídotos e toxicovigilância. Recomenda-se no mínimo um CIATox por UF e cobertura populacional total.</w:t>
      </w:r>
    </w:p>
    <w:p>
      <w:pPr>
        <w:spacing w:after="200" w:before="0"/>
      </w:pPr>
      <w:r>
        <w:rPr>
          <w:rFonts w:ascii="Calibri" w:hAnsi="Calibri"/>
          <w:b/>
          <w:color w:val="000444"/>
          <w:sz w:val="24"/>
        </w:rPr>
        <w:t>2. Evidência em Mato Grosso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Em 2025, a SES-MT informou 3.860 acidentes com animais peçonhentos (1.930 escorpiões e 1.066 serpentes), com dez óbitos confirmados e dois em investigação. Houve emergência por metanol; em fevereiro de 2026, seis casos confirmados e quatro óbitos. O Estado aprovou o Plano VSPEA em 2025. O CMS de Cuiabá já havia apontado capacitação estadual, uso do Lacen-MT e incentivo financeiro do Estado.</w:t>
      </w:r>
    </w:p>
    <w:p>
      <w:pPr>
        <w:spacing w:after="200" w:before="0"/>
      </w:pPr>
      <w:r>
        <w:rPr>
          <w:rFonts w:ascii="Calibri" w:hAnsi="Calibri"/>
          <w:b/>
          <w:color w:val="000444"/>
          <w:sz w:val="24"/>
        </w:rPr>
        <w:t>3. Ponto de partida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O Ministério da Saúde relaciona o CIAVE/CIATox Cuiabá, no Hospital Municipal de Cuiabá, de gestão da Prefeitura. A ABRACIT registra ausência de laboratório próprio. A Portaria admite apoio diagnóstico em outro estabelecimento (Lacen-MT), com tempo-resposta justificado. A pergunta é se o modelo municipal cobre os 142 municípios.</w:t>
      </w:r>
    </w:p>
    <w:p>
      <w:pPr>
        <w:spacing w:after="200" w:before="0"/>
      </w:pPr>
      <w:r>
        <w:rPr>
          <w:rFonts w:ascii="Calibri" w:hAnsi="Calibri"/>
          <w:b/>
          <w:color w:val="000444"/>
          <w:sz w:val="24"/>
        </w:rPr>
        <w:t>4. Quadro financeiro (potencial, não receita garantida)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Opção II (IBGE 2025: 3.893.659 hab.). Custeio-base + 30% Amazônia Legal: R$ 190.223,19/mês. Qualificação: R$ 25.412,67/mês. Até dois médicos: R$ 17.742,78/mês. Teto de planejamento: cerca de R$ 2,80 milhões/ano. Contrapartida predominante: capacidade já instalada (ERS, CIEVS, Lacen, AF, RUE). Custo novo a dimensionar: RH 24/7 e gaps laboratoriais. Obra: não autorizar nesta etapa.</w:t>
      </w:r>
    </w:p>
    <w:p>
      <w:pPr>
        <w:spacing w:after="200" w:before="0"/>
      </w:pPr>
      <w:r>
        <w:rPr>
          <w:rFonts w:ascii="Calibri" w:hAnsi="Calibri"/>
          <w:b/>
          <w:color w:val="000444"/>
          <w:sz w:val="24"/>
        </w:rPr>
        <w:t>5. Três modelos para o estudo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CIATox Cuiabá fortalecido — município gestor; Estado no financiamento, Lacen, vigilância e ERS. Cogestão/referência estadual — pacto SES–Cuiabá. Novo CIATox estadual — só após evidência de superioridade.</w:t>
      </w:r>
    </w:p>
    <w:p>
      <w:pPr>
        <w:spacing w:after="200" w:before="0"/>
      </w:pPr>
      <w:r>
        <w:rPr>
          <w:rFonts w:ascii="Calibri" w:hAnsi="Calibri"/>
          <w:b/>
          <w:color w:val="000444"/>
          <w:sz w:val="24"/>
        </w:rPr>
        <w:t>6. Pedido concreto</w:t>
      </w:r>
    </w:p>
    <w:p>
      <w:pPr>
        <w:spacing w:after="80" w:before="0"/>
        <w:jc w:val="both"/>
      </w:pPr>
      <w:r>
        <w:rPr>
          <w:rFonts w:ascii="Calibri" w:hAnsi="Calibri"/>
          <w:b w:val="0"/>
          <w:sz w:val="22"/>
        </w:rPr>
        <w:t>• Autorizar o Projeto Técnico da Rede CIATox-MT.</w:t>
      </w:r>
    </w:p>
    <w:p>
      <w:pPr>
        <w:spacing w:after="80" w:before="0"/>
        <w:jc w:val="both"/>
      </w:pPr>
      <w:r>
        <w:rPr>
          <w:rFonts w:ascii="Calibri" w:hAnsi="Calibri"/>
          <w:b w:val="0"/>
          <w:sz w:val="22"/>
        </w:rPr>
        <w:t>• Instituir GT intersetorial de 60 dias, com ERS e tratativa com o CIAVE.</w:t>
      </w:r>
    </w:p>
    <w:p>
      <w:pPr>
        <w:spacing w:after="80" w:before="0"/>
        <w:jc w:val="both"/>
      </w:pPr>
      <w:r>
        <w:rPr>
          <w:rFonts w:ascii="Calibri" w:hAnsi="Calibri"/>
          <w:b w:val="0"/>
          <w:sz w:val="22"/>
        </w:rPr>
        <w:t>• Determinar diagnóstico, gap analysis, cobertura dos 142 municípios, Lacen e quadro recurso federal × contrapartida × custo novo.</w:t>
      </w:r>
    </w:p>
    <w:p>
      <w:pPr>
        <w:spacing w:after="80" w:before="0"/>
        <w:jc w:val="both"/>
      </w:pPr>
      <w:r>
        <w:rPr>
          <w:rFonts w:ascii="Calibri" w:hAnsi="Calibri"/>
          <w:b w:val="0"/>
          <w:sz w:val="22"/>
        </w:rPr>
        <w:t>• Autorizar tratativas preliminares de habilitação, sem SAIPS antes do modelo.</w:t>
      </w:r>
    </w:p>
    <w:p>
      <w:pPr>
        <w:spacing w:after="80" w:before="0"/>
        <w:jc w:val="both"/>
      </w:pPr>
      <w:r>
        <w:rPr>
          <w:rFonts w:ascii="Calibri" w:hAnsi="Calibri"/>
          <w:b w:val="0"/>
          <w:sz w:val="22"/>
        </w:rPr>
        <w:t>• Não autorizar nesta leva construção, estabelecimento novo nem despesa permanente.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Esta minuta não implica criação de estabelecimento, contratação ou despesa permanente.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