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Calibri" w:hAnsi="Calibri"/>
          <w:b/>
          <w:color w:val="000444"/>
          <w:sz w:val="20"/>
        </w:rPr>
        <w:t>Governo de Mato Grosso · Secretaria de Estado de Saúde · CIEVS-MT</w:t>
      </w:r>
    </w:p>
    <w:p>
      <w:pPr>
        <w:spacing w:after="80" w:before="0"/>
        <w:jc w:val="center"/>
      </w:pPr>
      <w:r>
        <w:rPr>
          <w:rFonts w:ascii="Calibri" w:hAnsi="Calibri"/>
          <w:b w:val="0"/>
          <w:sz w:val="20"/>
        </w:rPr>
        <w:t>Dias 0–7 · minuta · 27 de setembro de 2026</w:t>
      </w:r>
    </w:p>
    <w:p>
      <w:pPr>
        <w:spacing w:after="240" w:before="0"/>
        <w:jc w:val="center"/>
      </w:pPr>
      <w:r>
        <w:rPr>
          <w:rFonts w:ascii="Calibri" w:hAnsi="Calibri"/>
          <w:b/>
          <w:color w:val="000444"/>
          <w:sz w:val="28"/>
        </w:rPr>
        <w:t>Lista de integrantes — GT CIATox-MT</w:t>
      </w:r>
    </w:p>
    <w:p>
      <w:pPr>
        <w:spacing w:after="200" w:before="0"/>
        <w:jc w:val="both"/>
      </w:pPr>
      <w:r>
        <w:rPr>
          <w:rFonts w:ascii="Calibri" w:hAnsi="Calibri"/>
          <w:b w:val="0"/>
          <w:sz w:val="22"/>
        </w:rPr>
        <w:t>Coordenação: CIEVS-MT. Encaminhar nomes a cievs@ses.mt.gov.br em 7 dias. Indicação não gera vínculo nem gratificação.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Área</w:t>
            </w:r>
          </w:p>
        </w:tc>
        <w:tc>
          <w:tcPr>
            <w:tcW w:type="dxa" w:w="1881"/>
          </w:tcPr>
          <w:p>
            <w:r>
              <w:t>Papel</w:t>
            </w:r>
          </w:p>
        </w:tc>
        <w:tc>
          <w:tcPr>
            <w:tcW w:type="dxa" w:w="1881"/>
          </w:tcPr>
          <w:p>
            <w:r>
              <w:t>Nome</w:t>
            </w:r>
          </w:p>
        </w:tc>
        <w:tc>
          <w:tcPr>
            <w:tcW w:type="dxa" w:w="1881"/>
          </w:tcPr>
          <w:p>
            <w:r>
              <w:t>E-mail</w:t>
            </w:r>
          </w:p>
        </w:tc>
        <w:tc>
          <w:tcPr>
            <w:tcW w:type="dxa" w:w="1881"/>
          </w:tcPr>
          <w:p>
            <w:r>
              <w:t>Indicado</w:t>
            </w:r>
          </w:p>
        </w:tc>
      </w:tr>
      <w:tr>
        <w:tc>
          <w:tcPr>
            <w:tcW w:type="dxa" w:w="1881"/>
          </w:tcPr>
          <w:p>
            <w:r>
              <w:t>CIEVS-MT</w:t>
            </w:r>
          </w:p>
        </w:tc>
        <w:tc>
          <w:tcPr>
            <w:tcW w:type="dxa" w:w="1881"/>
          </w:tcPr>
          <w:p>
            <w:r>
              <w:t>Coordenação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Vigilância em Saúde</w:t>
            </w:r>
          </w:p>
        </w:tc>
        <w:tc>
          <w:tcPr>
            <w:tcW w:type="dxa" w:w="1881"/>
          </w:tcPr>
          <w:p>
            <w:r>
              <w:t>Titular da área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Assistência</w:t>
            </w:r>
          </w:p>
        </w:tc>
        <w:tc>
          <w:tcPr>
            <w:tcW w:type="dxa" w:w="1881"/>
          </w:tcPr>
          <w:p>
            <w:r>
              <w:t>Rede e fluxos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Lacen-MT</w:t>
            </w:r>
          </w:p>
        </w:tc>
        <w:tc>
          <w:tcPr>
            <w:tcW w:type="dxa" w:w="1881"/>
          </w:tcPr>
          <w:p>
            <w:r>
              <w:t>Laboratório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Assistência Farmacêutica</w:t>
            </w:r>
          </w:p>
        </w:tc>
        <w:tc>
          <w:tcPr>
            <w:tcW w:type="dxa" w:w="1881"/>
          </w:tcPr>
          <w:p>
            <w:r>
              <w:t>Antídotos e soros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Regulação / RUE</w:t>
            </w:r>
          </w:p>
        </w:tc>
        <w:tc>
          <w:tcPr>
            <w:tcW w:type="dxa" w:w="1881"/>
          </w:tcPr>
          <w:p>
            <w:r>
              <w:t>Referência e CNES/RUE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  <w:tr>
        <w:tc>
          <w:tcPr>
            <w:tcW w:type="dxa" w:w="1881"/>
          </w:tcPr>
          <w:p>
            <w:r>
              <w:t>STI</w:t>
            </w:r>
          </w:p>
        </w:tc>
        <w:tc>
          <w:tcPr>
            <w:tcW w:type="dxa" w:w="1881"/>
          </w:tcPr>
          <w:p>
            <w:r>
              <w:t>Sistemas e dados agregados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(  )</w:t>
            </w:r>
          </w:p>
        </w:tc>
      </w:tr>
    </w:tbl>
    <w:p>
      <w:pPr>
        <w:spacing w:after="160" w:before="0"/>
        <w:jc w:val="both"/>
      </w:pPr>
      <w:r>
        <w:rPr>
          <w:rFonts w:ascii="Calibri" w:hAnsi="Calibri"/>
          <w:b w:val="0"/>
          <w:sz w:val="22"/>
        </w:rPr>
        <w:t>Pontos focais dos 16 ERS (relação a validar): Baixada Cuiabana; Rondonópolis; Barra do Garças; Cáceres; Juína; Porto Alegre do Norte; Sinop; Tangará da Serra; Diamantino; Alta Floresta; Juara; Vale de Peixoto; Água Boa; Pontes e Lacerda; Colíder; São Félix do Araguaia.</w:t>
      </w:r>
    </w:p>
    <w:p>
      <w:pPr>
        <w:spacing w:after="160" w:before="0"/>
      </w:pPr>
      <w:r>
        <w:rPr>
          <w:rFonts w:ascii="Calibri" w:hAnsi="Calibri"/>
          <w:b w:val="0"/>
          <w:sz w:val="22"/>
        </w:rPr>
        <w:t>Convidado externo: gestor do CIAVE / SMS Cuiabá — sem substabelecer competência municipal.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