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Calibri" w:hAnsi="Calibri"/>
          <w:b/>
          <w:color w:val="000444"/>
          <w:sz w:val="20"/>
        </w:rPr>
        <w:t>Governo de Mato Grosso · Secretaria de Estado de Saúde · CIEVS-MT</w:t>
      </w:r>
    </w:p>
    <w:p>
      <w:pPr>
        <w:spacing w:after="80" w:before="0"/>
        <w:jc w:val="center"/>
      </w:pPr>
      <w:r>
        <w:rPr>
          <w:rFonts w:ascii="Calibri" w:hAnsi="Calibri"/>
          <w:b w:val="0"/>
          <w:sz w:val="20"/>
        </w:rPr>
        <w:t>Uma ficha por ERS · somente agregados</w:t>
      </w:r>
    </w:p>
    <w:p>
      <w:pPr>
        <w:spacing w:after="240" w:before="0"/>
        <w:jc w:val="center"/>
      </w:pPr>
      <w:r>
        <w:rPr>
          <w:rFonts w:ascii="Calibri" w:hAnsi="Calibri"/>
          <w:b/>
          <w:color w:val="000444"/>
          <w:sz w:val="28"/>
        </w:rPr>
        <w:t>Ficha de capacidade regional — GT CIATox-MT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Sem nome de paciente, prontuário ou dado pessoal. Fonte e competência dos dados devem ser preenchidas. Devolver em 30 dias a cievs@ses.mt.gov.br.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Campo</w:t>
            </w:r>
          </w:p>
        </w:tc>
        <w:tc>
          <w:tcPr>
            <w:tcW w:type="dxa" w:w="4703"/>
          </w:tcPr>
          <w:p>
            <w:r>
              <w:t>Preenchimento</w:t>
            </w:r>
          </w:p>
        </w:tc>
      </w:tr>
      <w:tr>
        <w:tc>
          <w:tcPr>
            <w:tcW w:type="dxa" w:w="4703"/>
          </w:tcPr>
          <w:p>
            <w:r>
              <w:t>ERS / sede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Ponto focal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Data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Fonte e competência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N.º de municípios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Hospitais com urgência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UPA / 24h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SAMU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Tempo à capital (horas)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Estoque de soros antiveneno</w:t>
            </w:r>
          </w:p>
        </w:tc>
        <w:tc>
          <w:tcPr>
            <w:tcW w:type="dxa" w:w="4703"/>
          </w:tcPr>
          <w:p>
            <w:r>
              <w:t>(  ) Sim  (  ) Não  (  ) Não sei</w:t>
            </w:r>
          </w:p>
        </w:tc>
      </w:tr>
      <w:tr>
        <w:tc>
          <w:tcPr>
            <w:tcW w:type="dxa" w:w="4703"/>
          </w:tcPr>
          <w:p>
            <w:r>
              <w:t>Antídotos de intoxicação</w:t>
            </w:r>
          </w:p>
        </w:tc>
        <w:tc>
          <w:tcPr>
            <w:tcW w:type="dxa" w:w="4703"/>
          </w:tcPr>
          <w:p>
            <w:r>
              <w:t>(  ) Sim  (  ) Não  (  ) Não sei</w:t>
            </w:r>
          </w:p>
        </w:tc>
      </w:tr>
      <w:tr>
        <w:tc>
          <w:tcPr>
            <w:tcW w:type="dxa" w:w="4703"/>
          </w:tcPr>
          <w:p>
            <w:r>
              <w:t>Fluxo de amostra ao Lacen</w:t>
            </w:r>
          </w:p>
        </w:tc>
        <w:tc>
          <w:tcPr>
            <w:tcW w:type="dxa" w:w="4703"/>
          </w:tcPr>
          <w:p>
            <w:r>
              <w:t>(  ) Sim  (  ) Não  (  ) Parcial</w:t>
            </w:r>
          </w:p>
        </w:tc>
      </w:tr>
      <w:tr>
        <w:tc>
          <w:tcPr>
            <w:tcW w:type="dxa" w:w="4703"/>
          </w:tcPr>
          <w:p>
            <w:r>
              <w:t>Acidentes por animais peçonhentos (12 meses)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Intoxicações exógenas (12 meses)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Municípios sem hospital de referência</w:t>
            </w:r>
          </w:p>
        </w:tc>
        <w:tc>
          <w:tcPr>
            <w:tcW w:type="dxa" w:w="4703"/>
          </w:tcPr>
          <w:p>
            <w:r/>
          </w:p>
        </w:tc>
      </w:tr>
      <w:tr>
        <w:tc>
          <w:tcPr>
            <w:tcW w:type="dxa" w:w="4703"/>
          </w:tcPr>
          <w:p>
            <w:r>
              <w:t>Aciona o CIAVE?</w:t>
            </w:r>
          </w:p>
        </w:tc>
        <w:tc>
          <w:tcPr>
            <w:tcW w:type="dxa" w:w="4703"/>
          </w:tcPr>
          <w:p>
            <w:r>
              <w:t>(  ) Sim  (  ) Irregular  (  ) Não  (  ) Não sei</w:t>
            </w:r>
          </w:p>
        </w:tc>
      </w:tr>
    </w:tbl>
    <w:p>
      <w:pPr>
        <w:spacing w:after="120" w:before="0"/>
      </w:pPr>
      <w:r>
        <w:rPr>
          <w:rFonts w:ascii="Calibri" w:hAnsi="Calibri"/>
          <w:b/>
          <w:color w:val="000444"/>
          <w:sz w:val="22"/>
        </w:rPr>
        <w:t>Principais vazios relatados (sem caso nominal):</w:t>
      </w:r>
    </w:p>
    <w:p>
      <w:pPr>
        <w:spacing w:after="80" w:before="0"/>
      </w:pPr>
      <w:r>
        <w:rPr>
          <w:rFonts w:ascii="Calibri" w:hAnsi="Calibri"/>
          <w:b w:val="0"/>
          <w:sz w:val="22"/>
        </w:rPr>
        <w:t>______________________________________________________________________________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Ciência da chefia do ERS: (  ) Sim    Data: ____/____/______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