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80" w:before="0"/>
        <w:jc w:val="center"/>
      </w:pPr>
      <w:r>
        <w:rPr>
          <w:rFonts w:ascii="Calibri" w:hAnsi="Calibri"/>
          <w:b w:val="0"/>
          <w:sz w:val="20"/>
        </w:rPr>
        <w:t>Gabinete · 10 minutos · 27 de setembro de 2026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8"/>
        </w:rPr>
        <w:t>Roteiro de reunião — CIATox-MT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Pedido: autorizar o estudo de 60 dias. Não pedir obra, unidade nova nem SAIPS nesta reunião.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Min</w:t>
            </w:r>
          </w:p>
        </w:tc>
        <w:tc>
          <w:tcPr>
            <w:tcW w:type="dxa" w:w="3135"/>
          </w:tcPr>
          <w:p>
            <w:r>
              <w:t>Slide</w:t>
            </w:r>
          </w:p>
        </w:tc>
        <w:tc>
          <w:tcPr>
            <w:tcW w:type="dxa" w:w="3135"/>
          </w:tcPr>
          <w:p>
            <w:r>
              <w:t>Falar</w:t>
            </w:r>
          </w:p>
        </w:tc>
      </w:tr>
      <w:tr>
        <w:tc>
          <w:tcPr>
            <w:tcW w:type="dxa" w:w="3135"/>
          </w:tcPr>
          <w:p>
            <w:r>
              <w:t>0–1</w:t>
            </w:r>
          </w:p>
        </w:tc>
        <w:tc>
          <w:tcPr>
            <w:tcW w:type="dxa" w:w="3135"/>
          </w:tcPr>
          <w:p>
            <w:r>
              <w:t>Capa e problema</w:t>
            </w:r>
          </w:p>
        </w:tc>
        <w:tc>
          <w:tcPr>
            <w:tcW w:type="dxa" w:w="3135"/>
          </w:tcPr>
          <w:p>
            <w:r>
              <w:t>Há Portaria nova (12.151/2026). MT já tem CIAVE/CIATox em Cuiabá. O pedido não é criar um segundo centro agora.</w:t>
            </w:r>
          </w:p>
        </w:tc>
      </w:tr>
      <w:tr>
        <w:tc>
          <w:tcPr>
            <w:tcW w:type="dxa" w:w="3135"/>
          </w:tcPr>
          <w:p>
            <w:r>
              <w:t>1–3</w:t>
            </w:r>
          </w:p>
        </w:tc>
        <w:tc>
          <w:tcPr>
            <w:tcW w:type="dxa" w:w="3135"/>
          </w:tcPr>
          <w:p>
            <w:r>
              <w:t>Serviço atual e 2025</w:t>
            </w:r>
          </w:p>
        </w:tc>
        <w:tc>
          <w:tcPr>
            <w:tcW w:type="dxa" w:w="3135"/>
          </w:tcPr>
          <w:p>
            <w:r>
              <w:t>O MS relaciona o CIAVE. Lacen pode suprir laboratório. Os dados de 2025 mostram vazios de cobertura, não de um prédio novo.</w:t>
            </w:r>
          </w:p>
        </w:tc>
      </w:tr>
      <w:tr>
        <w:tc>
          <w:tcPr>
            <w:tcW w:type="dxa" w:w="3135"/>
          </w:tcPr>
          <w:p>
            <w:r>
              <w:t>3–5</w:t>
            </w:r>
          </w:p>
        </w:tc>
        <w:tc>
          <w:tcPr>
            <w:tcW w:type="dxa" w:w="3135"/>
          </w:tcPr>
          <w:p>
            <w:r>
              <w:t>Portaria e dinheiro</w:t>
            </w:r>
          </w:p>
        </w:tc>
        <w:tc>
          <w:tcPr>
            <w:tcW w:type="dxa" w:w="3135"/>
          </w:tcPr>
          <w:p>
            <w:r>
              <w:t>Teto potencial da ordem de R$ 2,80 mi/ano, não é receita garantida. Custo novo da SES é produto do GT.</w:t>
            </w:r>
          </w:p>
        </w:tc>
      </w:tr>
      <w:tr>
        <w:tc>
          <w:tcPr>
            <w:tcW w:type="dxa" w:w="3135"/>
          </w:tcPr>
          <w:p>
            <w:r>
              <w:t>5–7</w:t>
            </w:r>
          </w:p>
        </w:tc>
        <w:tc>
          <w:tcPr>
            <w:tcW w:type="dxa" w:w="3135"/>
          </w:tcPr>
          <w:p>
            <w:r>
              <w:t>Três modelos</w:t>
            </w:r>
          </w:p>
        </w:tc>
        <w:tc>
          <w:tcPr>
            <w:tcW w:type="dxa" w:w="3135"/>
          </w:tcPr>
          <w:p>
            <w:r>
              <w:t>Fortalecer, cogestão ou novo CIATox estadual. Duplicar sem diagnóstico é o principal risco.</w:t>
            </w:r>
          </w:p>
        </w:tc>
      </w:tr>
      <w:tr>
        <w:tc>
          <w:tcPr>
            <w:tcW w:type="dxa" w:w="3135"/>
          </w:tcPr>
          <w:p>
            <w:r>
              <w:t>7–9</w:t>
            </w:r>
          </w:p>
        </w:tc>
        <w:tc>
          <w:tcPr>
            <w:tcW w:type="dxa" w:w="3135"/>
          </w:tcPr>
          <w:p>
            <w:r>
              <w:t>60 dias</w:t>
            </w:r>
          </w:p>
        </w:tc>
        <w:tc>
          <w:tcPr>
            <w:tcW w:type="dxa" w:w="3135"/>
          </w:tcPr>
          <w:p>
            <w:r>
              <w:t>GT no CIEVS-MT, com ERS e tratativa com Cuiabá.</w:t>
            </w:r>
          </w:p>
        </w:tc>
      </w:tr>
      <w:tr>
        <w:tc>
          <w:tcPr>
            <w:tcW w:type="dxa" w:w="3135"/>
          </w:tcPr>
          <w:p>
            <w:r>
              <w:t>9–10</w:t>
            </w:r>
          </w:p>
        </w:tc>
        <w:tc>
          <w:tcPr>
            <w:tcW w:type="dxa" w:w="3135"/>
          </w:tcPr>
          <w:p>
            <w:r>
              <w:t>Folha de despacho</w:t>
            </w:r>
          </w:p>
        </w:tc>
        <w:tc>
          <w:tcPr>
            <w:tcW w:type="dxa" w:w="3135"/>
          </w:tcPr>
          <w:p>
            <w:r>
              <w:t>Assinar as caixas. Jurídico em paralelo. Sem obra, CNES, contratação permanente nem SAIPS.</w:t>
            </w:r>
          </w:p>
        </w:tc>
      </w:tr>
    </w:tbl>
    <w:p>
      <w:pPr>
        <w:spacing w:after="160" w:before="0"/>
        <w:jc w:val="both"/>
      </w:pPr>
      <w:r>
        <w:rPr>
          <w:rFonts w:ascii="Calibri" w:hAnsi="Calibri"/>
          <w:b w:val="0"/>
          <w:sz w:val="22"/>
        </w:rPr>
        <w:t>Se perguntarem: já existe CIATox municipal; custo novo ainda não quantificado; SAIPS só depois do modelo escolhido.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