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93D0"/>
          <w:spacing w:val="60"/>
          <w:sz w:val="18"/>
          <w:szCs w:val="18"/>
        </w:rPr>
        <w:t xml:space="preserve">PFIZER  ·  RADAR VACINAL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1F3A"/>
          <w:sz w:val="52"/>
          <w:szCs w:val="52"/>
        </w:rPr>
        <w:t xml:space="preserve">VPC20 · CRIE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1F3A"/>
          <w:sz w:val="32"/>
          <w:szCs w:val="32"/>
        </w:rPr>
        <w:t xml:space="preserve">Numeradores e denominadores</w:t>
      </w:r>
    </w:p>
    <w:p>
      <w:pPr>
        <w:spacing w:after="60" w:before="0"/>
      </w:pPr>
      <w:r>
        <w:rPr>
          <w:rFonts w:ascii="Arial" w:cs="Arial" w:eastAsia="Arial" w:hAnsi="Arial"/>
          <w:color w:val="0093D0"/>
          <w:sz w:val="22"/>
          <w:szCs w:val="22"/>
        </w:rPr>
        <w:t xml:space="preserve">Guia técnico para o programador · NT 52/2026-CGICI/DPNI/SVSA/MS</w:t>
      </w:r>
    </w:p>
    <w:p>
      <w:pPr>
        <w:spacing w:after="0" w:before="8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Preparado por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21"/>
                <w:szCs w:val="21"/>
              </w:rPr>
              <w:t xml:space="preserve">Dra Andrea P. B. von Zuben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Epidemiologista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Referência legal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21"/>
                <w:szCs w:val="21"/>
              </w:rPr>
              <w:t xml:space="preserve">NT 52/2026-CGICI/DPNI/SVSA/MS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21 condições elegíveis ao CRIE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5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Início dos dados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21"/>
                <w:szCs w:val="21"/>
              </w:rPr>
              <w:t xml:space="preserve">Junho de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Transição VPC13/VPP23 → VPC20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3D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A1F3A"/>
          <w:sz w:val="28"/>
          <w:szCs w:val="28"/>
        </w:rPr>
        <w:t xml:space="preserve">1. Contexto — o que este painel mede</w:t>
      </w:r>
    </w:p>
    <w:p>
      <w:pPr>
        <w:spacing w:after="9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>O painel VPC20 CRIE monitora a vacinação de pessoas com condições especiais de saúde atendidas nos Centros de Referência para Imunobiológicos Especiais (CRIE), conforme definido na NT 52/2026. São </w:t>
      </w:r>
      <w:r>
        <w:rPr>
          <w:rFonts w:ascii="Arial" w:cs="Arial" w:eastAsia="Arial" w:hAnsi="Arial"/>
          <w:b/>
          <w:bCs/>
          <w:color w:val="0A1F3A"/>
          <w:sz w:val="21"/>
          <w:szCs w:val="21"/>
        </w:rPr>
        <w:t xml:space="preserve">21 condições clínicas elegíveis</w:t>
      </w:r>
      <w:r>
        <w:rPr>
          <w:rFonts w:ascii="Arial" w:cs="Arial" w:eastAsia="Arial" w:hAnsi="Arial"/>
          <w:color w:val="0A1F3A"/>
          <w:sz w:val="21"/>
          <w:szCs w:val="21"/>
        </w:rPr>
        <w:t xml:space="preserve">, todas para maiores de 5 anos com esquema de dose única (exceto TCTH e CAR-T: 3 doses).</w:t>
      </w:r>
    </w:p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093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2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1F3A"/>
                <w:sz w:val="20"/>
                <w:szCs w:val="20"/>
              </w:rPr>
              <w:t xml:space="preserve">Este é um painel de OPORTUNIDADE, não de cobertura percentual. O denominador de elegíveis é estimado por prevalência de literatura para a maioria das condições — não preciso o suficiente para calcular cobertura %. O dashboard exibe: elegíveis estimados · doses aplicadas · gap absoluto por condição e por UF.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pStyle w:val="Heading1"/>
        <w:pBdr>
          <w:bottom w:val="single" w:color="0093D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A1F3A"/>
          <w:sz w:val="28"/>
          <w:szCs w:val="28"/>
        </w:rPr>
        <w:t xml:space="preserve">2. Numerador — doses VPC20 aplicadas no CRIE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A1F3A"/>
          <w:sz w:val="24"/>
          <w:szCs w:val="24"/>
        </w:rPr>
        <w:t xml:space="preserve">2.1 Fonte única: OpenDataSUS / RNDS</w:t>
      </w:r>
    </w:p>
    <w:p>
      <w:pPr>
        <w:spacing w:after="9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>Todas as doses aplicadas no CRIE são registradas na RNDS e publicadas no OpenDataSUS. A NT 52/2026 exige o preenchimento obrigatório do CID de indicação em cada dose da RIE — isso é o que permite separar as condições automaticamente.</w:t>
      </w:r>
    </w:p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536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Instrução</w:t>
            </w:r>
          </w:p>
        </w:tc>
      </w:tr>
      <w:tr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vacina_nome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Nome do imunobiológico</w:t>
            </w:r>
          </w:p>
        </w:tc>
        <w:tc>
          <w:tcPr>
            <w:tcW w:type="dxa" w:w="53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Filtrar: LIKE '%VPC20%' OR '%Prevenar 20%'. ANTES: SELECT DISTINCT vacina_nome para confirmar os termos reais no sistema.</w:t>
            </w:r>
          </w:p>
        </w:tc>
      </w:tr>
      <w:tr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vacina_descricao_dose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Tipo de dose</w:t>
            </w:r>
          </w:p>
        </w:tc>
        <w:tc>
          <w:tcPr>
            <w:tcW w:type="dxa" w:w="53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'1ª Dose' ou 'Dose Única'. Para adultos ≥5a na RIE o esquema é dose única na maioria das condições.</w:t>
            </w:r>
          </w:p>
        </w:tc>
      </w:tr>
      <w:tr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motivo_indicacao_CID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CID da condição elegível</w:t>
            </w:r>
          </w:p>
        </w:tc>
        <w:tc>
          <w:tcPr>
            <w:tcW w:type="dxa" w:w="53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OBRIGATÓRIO na RIE (NT 52/2026). É o campo que separa as 21 condições. Ver seção 3 para a lista completa de CIDs.</w:t>
            </w:r>
          </w:p>
        </w:tc>
      </w:tr>
      <w:tr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estabelecimento_valor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Código CNES do local de vacinação</w:t>
            </w:r>
          </w:p>
        </w:tc>
        <w:tc>
          <w:tcPr>
            <w:tcW w:type="dxa" w:w="53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Cruzar com CNES para confirmar tp_unid = 15 (CRIE). Filtra doses da RIE e exclui doses eventuais em UBS.</w:t>
            </w:r>
          </w:p>
        </w:tc>
      </w:tr>
      <w:tr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paciente_dataNascimento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Data de nascimento</w:t>
            </w:r>
          </w:p>
        </w:tc>
        <w:tc>
          <w:tcPr>
            <w:tcW w:type="dxa" w:w="53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Calcular idade na data da dose. Filtrar ≥5 anos (limite da RIE neste painel).</w:t>
            </w:r>
          </w:p>
        </w:tc>
      </w:tr>
      <w:tr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paciente_id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Identificador pseudonimizado</w:t>
            </w:r>
          </w:p>
        </w:tc>
        <w:tc>
          <w:tcPr>
            <w:tcW w:type="dxa" w:w="53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COUNT DISTINCT para contar pessoas, nunca doses. Um adulto com dose única conta como 1.</w:t>
            </w:r>
          </w:p>
        </w:tc>
      </w:tr>
      <w:tr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paciente_endereco_coIbgeMunicipio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Município de residência</w:t>
            </w:r>
          </w:p>
        </w:tc>
        <w:tc>
          <w:tcPr>
            <w:tcW w:type="dxa" w:w="53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Código IBGE 7 dígitos. Agregar por UF para o painel.</w:t>
            </w:r>
          </w:p>
        </w:tc>
      </w:tr>
      <w:tr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vacina_dataAplicacao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Data da vacinação</w:t>
            </w:r>
          </w:p>
        </w:tc>
        <w:tc>
          <w:tcPr>
            <w:tcW w:type="dxa" w:w="53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Filtrar a partir de junho/2026. VPC20 na RIE só existe após a incorporação.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A1F3A"/>
          <w:sz w:val="24"/>
          <w:szCs w:val="24"/>
        </w:rPr>
        <w:t xml:space="preserve">2.2 Query do numerador por condição</w:t>
      </w:r>
    </w:p>
    <w:p>
      <w:pPr>
        <w:spacing w:after="9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>A query base retorna pessoas vacinadas por condição clínica. O CID registrado em </w:t>
      </w:r>
      <w:r>
        <w:rPr>
          <w:rFonts w:ascii="Courier New" w:cs="Courier New" w:eastAsia="Courier New" w:hAnsi="Courier New"/>
          <w:color w:val="0A1F3A"/>
          <w:sz w:val="19"/>
          <w:szCs w:val="19"/>
        </w:rPr>
        <w:t xml:space="preserve">motivo_indicacao_CID</w:t>
      </w:r>
      <w:r>
        <w:rPr>
          <w:rFonts w:ascii="Arial" w:cs="Arial" w:eastAsia="Arial" w:hAnsi="Arial"/>
          <w:color w:val="0A1F3A"/>
          <w:sz w:val="21"/>
          <w:szCs w:val="21"/>
        </w:rPr>
        <w:t xml:space="preserve"> classifica a condição automaticamente.</w:t>
      </w:r>
    </w:p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spacing w:after="80" w:before="40"/>
      </w:pPr>
      <w:r>
        <w:rPr>
          <w:rFonts w:ascii="Courier New" w:cs="Courier New" w:eastAsia="Courier New" w:hAnsi="Courier New"/>
          <w:color w:val="0A1F3A"/>
          <w:sz w:val="17"/>
          <w:szCs w:val="17"/>
        </w:rPr>
        <w:t xml:space="preserve">SELECT m.condicao_nt52, d.paciente_uf_residencia, COUNT(DISTINCT d.paciente_id) AS pessoas_vacinadas FROM fato_doses d JOIN cid_condicao_map m ON d.motivo_indicacao_CID LIKE CONCAT(m.cid_prefixo,'%') WHERE d.vacina_nome LIKE '%VPC20%' AND d.estabelecimento_tipo='CRIE' AND d.motivo_indicacao_CID IS NOT NULL AND d.vacina_dataAplicacao&gt;='2026-06-01' AND DATEDIFF(d.vacina_dataAplicacao,d.paciente_dataNascimento)/365.25&gt;=5 GROUP BY 1,2 ORDER BY 1,2</w:t>
      </w:r>
    </w:p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2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EF9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1F3A"/>
                <w:sz w:val="20"/>
                <w:szCs w:val="20"/>
              </w:rPr>
              <w:t xml:space="preserve">A tabela cid_condicao_map precisa ser criada com carga única (seção 3). Ela mapeia prefixos de CID-10 para as 21 condições da NT 52. Sem ela, é necessário criar uma expressão CASE WHEN longa na query — a tabela de mapeamento é mais limpa e fácil de manter.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spacing w:after="90" w:before="40"/>
      </w:pPr>
      <w:r>
        <w:rPr>
          <w:rFonts w:ascii="Arial" w:cs="Arial" w:eastAsia="Arial" w:hAnsi="Arial"/>
          <w:b/>
          <w:bCs/>
          <w:color w:val="0A1F3A"/>
          <w:sz w:val="21"/>
          <w:szCs w:val="21"/>
        </w:rPr>
        <w:t xml:space="preserve">URL do OpenDataSUS: </w:t>
      </w:r>
      <w:r>
        <w:rPr>
          <w:rFonts w:ascii="Courier New" w:cs="Courier New" w:eastAsia="Courier New" w:hAnsi="Courier New"/>
          <w:color w:val="0A1F3A"/>
          <w:sz w:val="19"/>
          <w:szCs w:val="19"/>
        </w:rPr>
        <w:t xml:space="preserve">https://opendatasus.saude.gov.br/dataset/doses-aplicadas-pelo-programa-de-nacional-de-imunizacoes-pni-2025</w:t>
      </w:r>
    </w:p>
    <w:p>
      <w:pPr>
        <w:spacing w:after="9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>Formato: CSV separado por ponto-e-vírgula · atualização semanal · 2–8 GB por arquivo mensal · usar DuckDB ou PySUS para processar sem carregar tudo na memória.</w:t>
      </w:r>
    </w:p>
    <w:p>
      <w:r>
        <w:br w:type="page"/>
      </w:r>
    </w:p>
    <w:p>
      <w:pPr>
        <w:pStyle w:val="Heading1"/>
        <w:pBdr>
          <w:bottom w:val="single" w:color="0093D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A1F3A"/>
          <w:sz w:val="28"/>
          <w:szCs w:val="28"/>
        </w:rPr>
        <w:t xml:space="preserve">3. CIDs por condição — tabela cid_condicao_map</w:t>
      </w:r>
    </w:p>
    <w:p>
      <w:pPr>
        <w:spacing w:after="9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>A tabela abaixo é a referência para construir o mapeamento CID → condição. Carregar como tabela estática no banco (carga única, revisão anual).</w:t>
      </w:r>
    </w:p>
    <w:p>
      <w:pPr>
        <w:spacing w:after="0" w:before="8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00"/>
        <w:gridCol w:w="2400"/>
        <w:gridCol w:w="4560"/>
      </w:tblGrid>
      <w:tr>
        <w:trPr>
          <w:tblHeader/>
        </w:trPr>
        <w:tc>
          <w:tcPr>
            <w:tcW w:type="dxa" w:w="3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Condição (NT 52/2026)</w:t>
            </w:r>
          </w:p>
        </w:tc>
        <w:tc>
          <w:tcPr>
            <w:tcW w:type="dxa" w:w="24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Códigos CID-10 para filtro</w:t>
            </w:r>
          </w:p>
        </w:tc>
        <w:tc>
          <w:tcPr>
            <w:tcW w:type="dxa" w:w="456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HIV/AIDS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B20 · B21 · B22 · B23 · B24 · Z21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B20–B24 = doença ativa · Z21 = infecção assintomática. Usar B20–B24 como principal.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Oncológicos ativos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C00–C97 · Z85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C00–C97 = em tratamento · Z85 = histórico (pós-alta até 5 anos). Incluir ambos conforme NT 52.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Transplantados órgãos sólidos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Z94.0 · Z94.1 · Z94.2 · Z94.3 · Z94.4 · Z94.5 · Z94.8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Z94.x = estado pós-transplante. Cobrir todos os subtipos.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TCTH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Z94.8 · C91–C96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CID da neoplasia hematológica de base + procedimento de TCTH. 3 doses neste grupo.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Terapia CAR-T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C91–C96 · Z94.8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 CID específico para CAR-T. Usar neoplasia de base + anotação de procedimento. 3 doses.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Asplenia anatômica/funcional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D73.0 · D73.5 · Q89.0 · Z90.81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Asplenia funcional (ex: D57 anemia falciforme) buscar também pelo CID de base.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Imunodeficiências primárias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D80 · D81 · D82 · D83 · D84 · D89.9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D80 = def. humoral · D81 = combinada grave · D82 = outros síndromes.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Fibrose cística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E84 · E84.0 · E84.1 · E84.8 · E84.9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E84.x é o CID principal. J98.0 pode aparecer como complicação pulmonar.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Fístula liquórica e DVP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G96.0 · T85.0 · Q03 · Z98.2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G96.0 = fístula liquórica · T85.0 = complicação de derivação ventrículo-peritoneal.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Imunodepressão terapêutica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M05 · M06 · M32 · K50 · K51 · L40 · Z79.52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AR (M05–M06) · lúpus (M32) · IBD (K50–K51) · psoríase (L40) · uso crônico corticoide (Z79.52).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Implante coclear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Z96.21 · Z96.22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Z96.21 = unilateral · Z96.22 = bilateral. Filtro simples e preciso.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Nefropatias / diálise / s. nefrótica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N18 · N18.1–N18.6 · N04 · Z99.2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N18.x = DRC · Z99.2 = em diálise · N04 = síndrome nefrótica.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Pneumopatias crônicas (exceto asma leve)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J44 · J43 · J96 · J84 · J70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J44.x = DPOC · J43 = enfisema · J84 = fibrose pulmonar. Excluir asma leve (J45.0).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Asma persistente moderada/grave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J45.1 · J45.8 · J45.9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Excluir J45.0 (leve) conforme NT 52. Usar J45.1 + J45.8 como filtro principal.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15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Cardiopatias crônicas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I25 · I50 · I42 · I27 · Q20–Q28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I25 = coronária crônica · I50 = insuf. cardíaca · I42 = cardiomiopatia · Q20–Q28 = congênitas.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Hepatopatias crônicas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K70–K77 · K74 · B18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K74 = cirrose · B18 = hepatite crônica viral B/C.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17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Doenças neurológicas crônicas incapacitantes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G40 · G41 · G80 · G12 · G10–G14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G40 = epilepsia · G80 = paralisia cerebral · G12 = ELA/ALS.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18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Trissomias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Q90 · Q91 · Q92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Q90 = Down · Q91 = trissomia 13 e 18 · Q92 = outras.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19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Diabetes mellitus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E10 · E11 · E12 · E13 · E14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E11 é o mais frequente (tipo 2). Usar E10–E14.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20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Doenças de depósito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E75 · E76 · E77 · E83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E75 = lipidoses (Gaucher = E75.2) · E76 = mucopolissacaridoses.</w:t>
            </w:r>
          </w:p>
        </w:tc>
      </w:tr>
      <w:tr>
        <w:tc>
          <w:tcPr>
            <w:tcW w:type="dxa" w:w="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21</w:t>
            </w:r>
          </w:p>
        </w:tc>
        <w:tc>
          <w:tcPr>
            <w:tcW w:type="dxa" w:w="2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Prematuros ≤36 sem. (até 23 meses)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P07.0 · P07.3 · Z38.0–Z38.8</w:t>
            </w:r>
          </w:p>
        </w:tc>
        <w:tc>
          <w:tcPr>
            <w:tcW w:type="dxa" w:w="45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Filtrar P07.x + calcular idade ≤ 23 meses na data da dose.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2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EF9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1F3A"/>
                <w:sz w:val="20"/>
                <w:szCs w:val="20"/>
              </w:rPr>
              <w:t xml:space="preserve">Atenção dupla-contagem: um paciente pode ter HIV + nefropatia e aparecer em dois grupos. Para o total consolidado usar COUNT DISTINCT paciente_id sem filtro de CID. Para o breakdown por condição, contar pelo CID principal registrado.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3D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A1F3A"/>
          <w:sz w:val="28"/>
          <w:szCs w:val="28"/>
        </w:rPr>
        <w:t xml:space="preserve">4. Denominadores — três situações por condição</w:t>
      </w:r>
    </w:p>
    <w:p>
      <w:pPr>
        <w:spacing w:after="9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>O denominador varia por condição. Há três situações com fontes e precisões distintas.</w:t>
      </w:r>
    </w:p>
    <w:p>
      <w:pPr>
        <w:spacing w:after="0" w:before="8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Situação 1 — Base registrada (6 condições)</w:t>
      </w:r>
    </w:p>
    <w:p>
      <w:pPr>
        <w:spacing w:after="9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>Estas 6 condições têm sistema administrativo próprio que registra os pacientes. São os denominadores mais sólidos. Para estas condições o painel </w:t>
      </w:r>
      <w:r>
        <w:rPr>
          <w:rFonts w:ascii="Arial" w:cs="Arial" w:eastAsia="Arial" w:hAnsi="Arial"/>
          <w:b/>
          <w:bCs/>
          <w:color w:val="0A1F3A"/>
          <w:sz w:val="21"/>
          <w:szCs w:val="21"/>
        </w:rPr>
        <w:t xml:space="preserve">pode exibir cobertura %</w:t>
      </w:r>
      <w:r>
        <w:rPr>
          <w:rFonts w:ascii="Arial" w:cs="Arial" w:eastAsia="Arial" w:hAnsi="Arial"/>
          <w:color w:val="0A1F3A"/>
          <w:sz w:val="21"/>
          <w:szCs w:val="21"/>
        </w:rPr>
        <w:t xml:space="preserve"> além do gap absoluto.</w:t>
      </w:r>
    </w:p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12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Condição</w:t>
            </w:r>
          </w:p>
        </w:tc>
        <w:tc>
          <w:tcPr>
            <w:tcW w:type="dxa" w:w="22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 do denominador</w:t>
            </w:r>
          </w:p>
        </w:tc>
        <w:tc>
          <w:tcPr>
            <w:tcW w:type="dxa" w:w="25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/ Acesso</w:t>
            </w:r>
          </w:p>
        </w:tc>
        <w:tc>
          <w:tcPr>
            <w:tcW w:type="dxa" w:w="12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Frequência</w:t>
            </w:r>
          </w:p>
        </w:tc>
        <w:tc>
          <w:tcPr>
            <w:tcW w:type="dxa" w:w="166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HIV/AIDS</w:t>
            </w:r>
          </w:p>
        </w:tc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SICLOM — pacientes em TARV ativo</w:t>
            </w:r>
          </w:p>
        </w:tc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FTP DATASUS: ftp.datasus.gov.br/dissemin/publicos/</w:t>
            </w:r>
          </w:p>
        </w:tc>
        <w:tc>
          <w:tcPr>
            <w:tcW w:type="dxa" w:w="1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Mensal</w:t>
            </w:r>
          </w:p>
        </w:tc>
        <w:tc>
          <w:tcPr>
            <w:tcW w:type="dxa" w:w="16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Usar status = ativo. Formato DBC — ler com PySUS.</w:t>
            </w:r>
          </w:p>
        </w:tc>
      </w:tr>
      <w:tr>
        <w:tc>
          <w:tcPr>
            <w:tcW w:type="dxa" w:w="18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Oncológicos ativos</w:t>
            </w:r>
          </w:p>
        </w:tc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SIA/SUS — APACs de quimio e radioterapia</w:t>
            </w:r>
          </w:p>
        </w:tc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FTP DATASUS: /publicos/SIA/ · filtro procedimento 03.04.xx</w:t>
            </w:r>
          </w:p>
        </w:tc>
        <w:tc>
          <w:tcPr>
            <w:tcW w:type="dxa" w:w="1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Mensal</w:t>
            </w:r>
          </w:p>
        </w:tc>
        <w:tc>
          <w:tcPr>
            <w:tcW w:type="dxa" w:w="16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Município disponível via CNES do estabelecimento.</w:t>
            </w:r>
          </w:p>
        </w:tc>
      </w:tr>
      <w:tr>
        <w:tc>
          <w:tcPr>
            <w:tcW w:type="dxa" w:w="18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Transplantados órgãos sólidos</w:t>
            </w:r>
          </w:p>
        </w:tc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RBT/ABTO — Censo Anual de Transplantes</w:t>
            </w:r>
          </w:p>
        </w:tc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abto.org.br (publicação anual em março)</w:t>
            </w:r>
          </w:p>
        </w:tc>
        <w:tc>
          <w:tcPr>
            <w:tcW w:type="dxa" w:w="1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Anual (março)</w:t>
            </w:r>
          </w:p>
        </w:tc>
        <w:tc>
          <w:tcPr>
            <w:tcW w:type="dxa" w:w="16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Por UF e tipo de órgão. Carga manual.</w:t>
            </w:r>
          </w:p>
        </w:tc>
      </w:tr>
      <w:tr>
        <w:tc>
          <w:tcPr>
            <w:tcW w:type="dxa" w:w="18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TCTH</w:t>
            </w:r>
          </w:p>
        </w:tc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ABTO — Registro de TCTH</w:t>
            </w:r>
          </w:p>
        </w:tc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abto.org.br (publicação anual em março)</w:t>
            </w:r>
          </w:p>
        </w:tc>
        <w:tc>
          <w:tcPr>
            <w:tcW w:type="dxa" w:w="1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Anual (março)</w:t>
            </w:r>
          </w:p>
        </w:tc>
        <w:tc>
          <w:tcPr>
            <w:tcW w:type="dxa" w:w="16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Por UF. Carga manual junto com transplantes.</w:t>
            </w:r>
          </w:p>
        </w:tc>
      </w:tr>
      <w:tr>
        <w:tc>
          <w:tcPr>
            <w:tcW w:type="dxa" w:w="18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Diálise crônica</w:t>
            </w:r>
          </w:p>
        </w:tc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Censo SBN — Censo Brasileiro de Diálise</w:t>
            </w:r>
          </w:p>
        </w:tc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sbncensus.com.br (publicação em novembro)</w:t>
            </w:r>
          </w:p>
        </w:tc>
        <w:tc>
          <w:tcPr>
            <w:tcW w:type="dxa" w:w="1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Anual (novembro)</w:t>
            </w:r>
          </w:p>
        </w:tc>
        <w:tc>
          <w:tcPr>
            <w:tcW w:type="dxa" w:w="16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Por UF e modalidade de diálise. Carga manual.</w:t>
            </w:r>
          </w:p>
        </w:tc>
      </w:tr>
      <w:tr>
        <w:tc>
          <w:tcPr>
            <w:tcW w:type="dxa" w:w="18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Fibrose cística</w:t>
            </w:r>
          </w:p>
        </w:tc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REBRAFC — Registro Brasileiro de FC</w:t>
            </w:r>
          </w:p>
        </w:tc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Acesso via Grupo Brasileiro de Estudos de FC</w:t>
            </w:r>
          </w:p>
        </w:tc>
        <w:tc>
          <w:tcPr>
            <w:tcW w:type="dxa" w:w="1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Anual</w:t>
            </w:r>
          </w:p>
        </w:tc>
        <w:tc>
          <w:tcPr>
            <w:tcW w:type="dxa" w:w="16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Por UF. Carga manual.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1F3A"/>
                <w:sz w:val="20"/>
                <w:szCs w:val="20"/>
              </w:rPr>
              <w:t xml:space="preserve">Para estas 6 condições o denominador operacional conta quem o sistema de saúde já identificou — que é exatamente o público que pode ser vacinado no CRIE. É mais preciso do que prevalência × IBGE para fins de monitoramento da vacinação.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854F0B"/>
          <w:sz w:val="24"/>
          <w:szCs w:val="24"/>
        </w:rPr>
        <w:t xml:space="preserve">Situação 2 — Prevalência × pop IBGE por UF (12 condições)</w:t>
      </w:r>
    </w:p>
    <w:p>
      <w:pPr>
        <w:spacing w:after="9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>Não existe cadastro administrativo direto para estas condições. O denominador é construído aplicando coeficientes de prevalência da literatura sobre a população IBGE de cada UF. Granularidade: </w:t>
      </w:r>
      <w:r>
        <w:rPr>
          <w:rFonts w:ascii="Arial" w:cs="Arial" w:eastAsia="Arial" w:hAnsi="Arial"/>
          <w:b/>
          <w:bCs/>
          <w:color w:val="0A1F3A"/>
          <w:sz w:val="21"/>
          <w:szCs w:val="21"/>
        </w:rPr>
        <w:t xml:space="preserve">UF apenas</w:t>
      </w:r>
      <w:r>
        <w:rPr>
          <w:rFonts w:ascii="Arial" w:cs="Arial" w:eastAsia="Arial" w:hAnsi="Arial"/>
          <w:color w:val="0A1F3A"/>
          <w:sz w:val="21"/>
          <w:szCs w:val="21"/>
        </w:rPr>
        <w:t xml:space="preserve"> — a PNS 2019 não tem representatividade municipal. Para estas condições o painel </w:t>
      </w:r>
      <w:r>
        <w:rPr>
          <w:rFonts w:ascii="Arial" w:cs="Arial" w:eastAsia="Arial" w:hAnsi="Arial"/>
          <w:b/>
          <w:bCs/>
          <w:color w:val="0A1F3A"/>
          <w:sz w:val="21"/>
          <w:szCs w:val="21"/>
        </w:rPr>
        <w:t xml:space="preserve">NÃO exibe cobertura %</w:t>
      </w:r>
      <w:r>
        <w:rPr>
          <w:rFonts w:ascii="Arial" w:cs="Arial" w:eastAsia="Arial" w:hAnsi="Arial"/>
          <w:color w:val="0A1F3A"/>
          <w:sz w:val="21"/>
          <w:szCs w:val="21"/>
        </w:rPr>
        <w:t xml:space="preserve"> — apenas elegíveis estimados e gap absoluto.</w:t>
      </w:r>
    </w:p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spacing w:after="90" w:before="40"/>
      </w:pPr>
      <w:r>
        <w:rPr>
          <w:rFonts w:ascii="Arial" w:cs="Arial" w:eastAsia="Arial" w:hAnsi="Arial"/>
          <w:b/>
          <w:bCs/>
          <w:color w:val="0A1F3A"/>
          <w:sz w:val="21"/>
          <w:szCs w:val="21"/>
        </w:rPr>
        <w:t xml:space="preserve">Fórmula: </w:t>
      </w:r>
      <w:r>
        <w:rPr>
          <w:rFonts w:ascii="Courier New" w:cs="Courier New" w:eastAsia="Courier New" w:hAnsi="Courier New"/>
          <w:color w:val="0A1F3A"/>
          <w:sz w:val="19"/>
          <w:szCs w:val="19"/>
        </w:rPr>
        <w:t xml:space="preserve">Elegíveis_UF = (taxa_por_100mil ÷ 100.000) × pop_faixa_UF</w:t>
      </w:r>
    </w:p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2000"/>
        <w:gridCol w:w="2300"/>
        <w:gridCol w:w="1460"/>
      </w:tblGrid>
      <w:tr>
        <w:trPr>
          <w:tblHeader/>
        </w:trPr>
        <w:tc>
          <w:tcPr>
            <w:tcW w:type="dxa" w:w="25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Condição</w:t>
            </w:r>
          </w:p>
        </w:tc>
        <w:tc>
          <w:tcPr>
            <w:tcW w:type="dxa" w:w="11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Taxa / 100 mil</w:t>
            </w:r>
          </w:p>
        </w:tc>
        <w:tc>
          <w:tcPr>
            <w:tcW w:type="dxa" w:w="20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Pop base IBGE</w:t>
            </w:r>
          </w:p>
        </w:tc>
        <w:tc>
          <w:tcPr>
            <w:tcW w:type="dxa" w:w="23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 do coeficiente</w:t>
            </w:r>
          </w:p>
        </w:tc>
        <w:tc>
          <w:tcPr>
            <w:tcW w:type="dxa" w:w="146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Atualização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Imunodepressão terapêutica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1.500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≥18a por UF (tab. 6579)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PNS 2019 — AR, lúpus, IBD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Quinquenal — PNS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Nefropatias DRC 3–5 (excl. diálise)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3.200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≥18a por UF (tab. 6579)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GBD 2019 (3,2% pop adulta)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Quinquenal — GBD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DPOC GOLD II+ (excl. leve)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6.320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≥40a por UF (tab. 9514)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PLATINO-BR (15,8% ≥40a × 40% GOLD II+)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Referência fixa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Asma persistente mod./grave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2.800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≥18a por UF (tab. 6579)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PNS 2019 × fração grave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Quinquenal — PNS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Cardiopatias crônicas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4.300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≥40a por UF (tab. 9514)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PNS 2019 — doença cardíaca referida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Quinquenal — PNS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Hepatopatias crônicas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600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≥18a por UF (tab. 6579)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GBD 2019 — cirrose e hepatite crônica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Quinquenal — GBD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Doenças neurológicas incapacitantes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Pop total por UF (tab. 6579)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GBD 2019 — epilepsia, PCI, ELA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Quinquenal — GBD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Diabetes mellitus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7.700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≥18a por UF (tab. 6579)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PNS 2019 (7,7% adultos)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Quinquenal — PNS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Asplenia anatômica/funcional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Pop total por UF (tab. 6579)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GBD 2019 / literatura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Quinquenal — GBD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Fístula liquórica / DVP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Pop total por UF (tab. 6579)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SIH/SUS — estimativa por procedimento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Anual — SIH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Doenças neurológicas (complemento)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Ver linha anterior (condição 17)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Hepatopatias (complemento)</w:t>
            </w:r>
          </w:p>
        </w:tc>
        <w:tc>
          <w:tcPr>
            <w:tcW w:type="dxa" w:w="11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Ver linha anterior (condição 16)</w:t>
            </w:r>
          </w:p>
        </w:tc>
        <w:tc>
          <w:tcPr>
            <w:tcW w:type="dxa" w:w="14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spacing w:after="90" w:before="40"/>
      </w:pPr>
      <w:r>
        <w:rPr>
          <w:rFonts w:ascii="Arial" w:cs="Arial" w:eastAsia="Arial" w:hAnsi="Arial"/>
          <w:b/>
          <w:bCs/>
          <w:color w:val="0A1F3A"/>
          <w:sz w:val="21"/>
          <w:szCs w:val="21"/>
        </w:rPr>
        <w:t xml:space="preserve">Pop IBGE por UF — API REST sem cadastro: </w:t>
      </w:r>
    </w:p>
    <w:p>
      <w:pPr>
        <w:spacing w:after="90" w:before="40"/>
      </w:pPr>
      <w:r>
        <w:rPr>
          <w:rFonts w:ascii="Courier New" w:cs="Courier New" w:eastAsia="Courier New" w:hAnsi="Courier New"/>
          <w:color w:val="0A1F3A"/>
          <w:sz w:val="19"/>
          <w:szCs w:val="19"/>
        </w:rPr>
        <w:t xml:space="preserve">https://servicodados.ibge.gov.br/api/v3/agregados/6579/periodos/2024/variaveis/9324?localidades=N3[all]</w:t>
      </w:r>
    </w:p>
    <w:p>
      <w:pPr>
        <w:spacing w:after="0" w:before="10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A32D2D"/>
          <w:sz w:val="24"/>
          <w:szCs w:val="24"/>
        </w:rPr>
        <w:t xml:space="preserve">Situação 3 — Estimativa direta (3 condições)</w:t>
      </w:r>
    </w:p>
    <w:p>
      <w:pPr>
        <w:spacing w:after="9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>Condições raras ou com fonte de contagem específica. O número nacional é distribuído proporcionalmente pela população de cada UF.</w:t>
      </w:r>
    </w:p>
    <w:p>
      <w:pPr>
        <w:spacing w:after="0" w:before="6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1900"/>
        <w:gridCol w:w="1060"/>
      </w:tblGrid>
      <w:tr>
        <w:trPr>
          <w:tblHeader/>
        </w:trPr>
        <w:tc>
          <w:tcPr>
            <w:tcW w:type="dxa" w:w="24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Condição</w:t>
            </w:r>
          </w:p>
        </w:tc>
        <w:tc>
          <w:tcPr>
            <w:tcW w:type="dxa" w:w="16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Estimativa nacional</w:t>
            </w:r>
          </w:p>
        </w:tc>
        <w:tc>
          <w:tcPr>
            <w:tcW w:type="dxa" w:w="24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 distribuir por UF</w:t>
            </w:r>
          </w:p>
        </w:tc>
        <w:tc>
          <w:tcPr>
            <w:tcW w:type="dxa" w:w="19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  <w:tc>
          <w:tcPr>
            <w:tcW w:type="dxa" w:w="106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Atualização</w:t>
            </w:r>
          </w:p>
        </w:tc>
      </w:tr>
      <w:tr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Terapia CAR-T</w:t>
            </w:r>
          </w:p>
        </w:tc>
        <w:tc>
          <w:tcPr>
            <w:tcW w:type="dxa" w:w="16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~2.600 casos/ano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Pop adulta UF ÷ pop adulta BR × 2.600</w:t>
            </w:r>
          </w:p>
        </w:tc>
        <w:tc>
          <w:tcPr>
            <w:tcW w:type="dxa" w:w="19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Literatura BR 2024 / centros CAR-T</w:t>
            </w:r>
          </w:p>
        </w:tc>
        <w:tc>
          <w:tcPr>
            <w:tcW w:type="dxa" w:w="10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Revisão anual</w:t>
            </w:r>
          </w:p>
        </w:tc>
      </w:tr>
      <w:tr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Imunodeficiências primárias</w:t>
            </w:r>
          </w:p>
        </w:tc>
        <w:tc>
          <w:tcPr>
            <w:tcW w:type="dxa" w:w="16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~35.000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Pop total UF ÷ pop total BR × 35.000</w:t>
            </w:r>
          </w:p>
        </w:tc>
        <w:tc>
          <w:tcPr>
            <w:tcW w:type="dxa" w:w="19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Literatura / registros SBP</w:t>
            </w:r>
          </w:p>
        </w:tc>
        <w:tc>
          <w:tcPr>
            <w:tcW w:type="dxa" w:w="10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Revisão anual</w:t>
            </w:r>
          </w:p>
        </w:tc>
      </w:tr>
      <w:tr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Trissomias (Down e outras)</w:t>
            </w:r>
          </w:p>
        </w:tc>
        <w:tc>
          <w:tcPr>
            <w:tcW w:type="dxa" w:w="16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~262.500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Dado direto IBGE Censo 2022 por UF</w:t>
            </w:r>
          </w:p>
        </w:tc>
        <w:tc>
          <w:tcPr>
            <w:tcW w:type="dxa" w:w="19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IBGE Censo 2022 — tabela Q90–Q92</w:t>
            </w:r>
          </w:p>
        </w:tc>
        <w:tc>
          <w:tcPr>
            <w:tcW w:type="dxa" w:w="10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Decenal</w:t>
            </w:r>
          </w:p>
        </w:tc>
      </w:tr>
      <w:tr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Implante coclear</w:t>
            </w:r>
          </w:p>
        </w:tc>
        <w:tc>
          <w:tcPr>
            <w:tcW w:type="dxa" w:w="16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~17.500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Pop total UF ÷ pop total BR × 17.500</w:t>
            </w:r>
          </w:p>
        </w:tc>
        <w:tc>
          <w:tcPr>
            <w:tcW w:type="dxa" w:w="19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SBO/ABFono — estimativa BR</w:t>
            </w:r>
          </w:p>
        </w:tc>
        <w:tc>
          <w:tcPr>
            <w:tcW w:type="dxa" w:w="10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Revisão anual</w:t>
            </w:r>
          </w:p>
        </w:tc>
      </w:tr>
      <w:tr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Fibrose cística (já em sit. 1)</w:t>
            </w:r>
          </w:p>
        </w:tc>
        <w:tc>
          <w:tcPr>
            <w:tcW w:type="dxa" w:w="16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~7.000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REBRAFC por UF (carga anual)</w:t>
            </w:r>
          </w:p>
        </w:tc>
        <w:tc>
          <w:tcPr>
            <w:tcW w:type="dxa" w:w="19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REBRAFC</w:t>
            </w:r>
          </w:p>
        </w:tc>
        <w:tc>
          <w:tcPr>
            <w:tcW w:type="dxa" w:w="10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Anual</w:t>
            </w:r>
          </w:p>
        </w:tc>
      </w:tr>
      <w:tr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Prematuros ≤36 sem. (até 23m)</w:t>
            </w:r>
          </w:p>
        </w:tc>
        <w:tc>
          <w:tcPr>
            <w:tcW w:type="dxa" w:w="16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~308.000 / coorte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SINASC NV × 11,5% por UF</w:t>
            </w:r>
          </w:p>
        </w:tc>
        <w:tc>
          <w:tcPr>
            <w:tcW w:type="dxa" w:w="19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SINASC — taxa prematuridade</w:t>
            </w:r>
          </w:p>
        </w:tc>
        <w:tc>
          <w:tcPr>
            <w:tcW w:type="dxa" w:w="10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Anual — SINASC</w:t>
            </w:r>
          </w:p>
        </w:tc>
      </w:tr>
      <w:tr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Doenças de depósito</w:t>
            </w:r>
          </w:p>
        </w:tc>
        <w:tc>
          <w:tcPr>
            <w:tcW w:type="dxa" w:w="16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~17.500</w:t>
            </w:r>
          </w:p>
        </w:tc>
        <w:tc>
          <w:tcPr>
            <w:tcW w:type="dxa" w:w="24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Pop total UF ÷ pop total BR × 17.500</w:t>
            </w:r>
          </w:p>
        </w:tc>
        <w:tc>
          <w:tcPr>
            <w:tcW w:type="dxa" w:w="19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Literatura — prevalência estimada</w:t>
            </w:r>
          </w:p>
        </w:tc>
        <w:tc>
          <w:tcPr>
            <w:tcW w:type="dxa" w:w="10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Revisão anual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2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EF9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1F3A"/>
                <w:sz w:val="20"/>
                <w:szCs w:val="20"/>
              </w:rPr>
              <w:t xml:space="preserve">Para condições raras (CAR-T, imunodeficiências primárias, doenças de depósito): em UFs pequenas o número estimado é muito baixo (&lt; 50 pessoas). Suprimir o valor ou exibir como faixa '&lt; 100' para evitar falsa precisão no dashboard.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3D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A1F3A"/>
          <w:sz w:val="28"/>
          <w:szCs w:val="28"/>
        </w:rPr>
        <w:t xml:space="preserve">5. Resumo operacional — o que implementar</w:t>
      </w:r>
    </w:p>
    <w:p>
      <w:pPr>
        <w:spacing w:after="0" w:before="4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53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fazer</w:t>
            </w:r>
          </w:p>
        </w:tc>
        <w:tc>
          <w:tcPr>
            <w:tcW w:type="dxa" w:w="186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A1F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Frequência</w:t>
            </w:r>
          </w:p>
        </w:tc>
      </w:tr>
      <w:tr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Tabela cid_condicao_map</w:t>
            </w:r>
          </w:p>
        </w:tc>
        <w:tc>
          <w:tcPr>
            <w:tcW w:type="dxa" w:w="5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Criar com os 21 mapeamentos CID → condição da seção 3. Usar prefixos (ex: 'B2' cobre B20–B29). JOIN com motivo_indicacao_CID no RNDS.</w:t>
            </w:r>
          </w:p>
        </w:tc>
        <w:tc>
          <w:tcPr>
            <w:tcW w:type="dxa" w:w="18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Carga única — revisar anualmente</w:t>
            </w:r>
          </w:p>
        </w:tc>
      </w:tr>
      <w:tr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Numerador (todas as condições)</w:t>
            </w:r>
          </w:p>
        </w:tc>
        <w:tc>
          <w:tcPr>
            <w:tcW w:type="dxa" w:w="5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Query RNDS filtrada por VPC20 + CRIE + CID preenchido + ≥5a. COUNT DISTINCT paciente_id. Agregar por condição (via cid_condicao_map) e por UF.</w:t>
            </w:r>
          </w:p>
        </w:tc>
        <w:tc>
          <w:tcPr>
            <w:tcW w:type="dxa" w:w="18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Semanal (dados RNDS)</w:t>
            </w:r>
          </w:p>
        </w:tc>
      </w:tr>
      <w:tr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Denominador situação 1</w:t>
            </w:r>
          </w:p>
        </w:tc>
        <w:tc>
          <w:tcPr>
            <w:tcW w:type="dxa" w:w="5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Extrair SICLOM, SIA/SUS APACs, ABTO, SBN, REBRAFC. Cada um tem fonte e frequência própria (ver seção 4).</w:t>
            </w:r>
          </w:p>
        </w:tc>
        <w:tc>
          <w:tcPr>
            <w:tcW w:type="dxa" w:w="18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Mensal/Anual conforme fonte</w:t>
            </w:r>
          </w:p>
        </w:tc>
      </w:tr>
      <w:tr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Denominador situação 2</w:t>
            </w:r>
          </w:p>
        </w:tc>
        <w:tc>
          <w:tcPr>
            <w:tcW w:type="dxa" w:w="5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Tabela estática: taxa_por_100mil × pop_IBGE_UF por condição. Pop IBGE via API REST. Calcular uma vez e reutilizar.</w:t>
            </w:r>
          </w:p>
        </w:tc>
        <w:tc>
          <w:tcPr>
            <w:tcW w:type="dxa" w:w="18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Anual (pop IBGE setembro)</w:t>
            </w:r>
          </w:p>
        </w:tc>
      </w:tr>
      <w:tr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Denominador situação 3</w:t>
            </w:r>
          </w:p>
        </w:tc>
        <w:tc>
          <w:tcPr>
            <w:tcW w:type="dxa" w:w="5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Número nacional fixo. Distribuir por UF usando pop relativa. Carregar como tabela estática.</w:t>
            </w:r>
          </w:p>
        </w:tc>
        <w:tc>
          <w:tcPr>
            <w:tcW w:type="dxa" w:w="18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Carga única — revisão anual</w:t>
            </w:r>
          </w:p>
        </w:tc>
      </w:tr>
      <w:tr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Gap por condição e UF</w:t>
            </w:r>
          </w:p>
        </w:tc>
        <w:tc>
          <w:tcPr>
            <w:tcW w:type="dxa" w:w="5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Gap = elegíveis_estimados − pessoas_vacinadas. Principal indicador do painel para Market Access.</w:t>
            </w:r>
          </w:p>
        </w:tc>
        <w:tc>
          <w:tcPr>
            <w:tcW w:type="dxa" w:w="18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Calculado no BI</w:t>
            </w:r>
          </w:p>
        </w:tc>
      </w:tr>
      <w:tr>
        <w:tc>
          <w:tcPr>
            <w:tcW w:type="dxa" w:w="22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F3A"/>
                <w:sz w:val="18"/>
                <w:szCs w:val="18"/>
              </w:rPr>
              <w:t xml:space="preserve">Sanity check</w:t>
            </w:r>
          </w:p>
        </w:tc>
        <w:tc>
          <w:tcPr>
            <w:tcW w:type="dxa" w:w="530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Comparar total de doses VPC20 no CRIE com painel PNI/SVSA. Divergência &gt; 5% indica problema de filtro.</w:t>
            </w:r>
          </w:p>
        </w:tc>
        <w:tc>
          <w:tcPr>
            <w:tcW w:type="dxa" w:w="1860"/>
            <w:tcBorders>
              <w:top w:val="single" w:color="D1DCE8" w:sz="1"/>
              <w:left w:val="single" w:color="D1DCE8" w:sz="1"/>
              <w:bottom w:val="single" w:color="D1DCE8" w:sz="1"/>
              <w:right w:val="single" w:color="D1DC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 cada atualização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0A1F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0093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200"/>
            <w:tcBorders>
              <w:top w:val="single" w:color="0093D0" w:sz="1"/>
              <w:left w:val="single" w:color="0093D0" w:sz="1"/>
              <w:bottom w:val="single" w:color="0093D0" w:sz="1"/>
              <w:right w:val="single" w:color="0093D0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1F3A"/>
                <w:sz w:val="20"/>
                <w:szCs w:val="20"/>
              </w:rPr>
              <w:t xml:space="preserve">O campo motivo_indicacao_CID é a chave de todo o painel. Sem ele preenchido, a dose não é classificável por condição e não entra no numerador. A NT 52/2026 torna este campo obrigatório na RIE — mas nos primeiros meses pode haver registros incompletos. Monitorar a taxa de preenchimento deste campo como indicador de qualidade do dado.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CE8" w:sz="3" w:space="5"/>
      </w:pBdr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Dra Andrea P. B. von Zuben · Epidemiologista  |  Radar Vacinal Pfizer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200"/>
      <w:gridCol w:w="7306"/>
      <w:gridCol w:w="120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F3A" w:val="clear"/>
          <w:tcMar>
            <w:top w:type="dxa" w:w="70"/>
            <w:left w:type="dxa" w:w="120"/>
            <w:bottom w:type="dxa" w:w="70"/>
            <w:right w:type="dxa" w:w="12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0093D0"/>
              <w:spacing w:val="50"/>
              <w:sz w:val="17"/>
              <w:szCs w:val="17"/>
            </w:rPr>
            <w:t xml:space="preserve">PFIZER</w:t>
          </w:r>
        </w:p>
      </w:tc>
      <w:tc>
        <w:tcPr>
          <w:tcW w:type="dxa" w:w="73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F3A" w:val="clear"/>
          <w:tcMar>
            <w:top w:type="dxa" w:w="70"/>
            <w:left w:type="dxa" w:w="120"/>
            <w:bottom w:type="dxa" w:w="70"/>
            <w:right w:type="dxa" w:w="12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color w:val="7FB3CC"/>
              <w:sz w:val="17"/>
              <w:szCs w:val="17"/>
            </w:rPr>
            <w:t xml:space="preserve">VPC20 · CRIE — Numeradores e denominadores para o programador</w:t>
          </w:r>
        </w:p>
      </w:tc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A1F3A" w:val="clear"/>
          <w:tcMar>
            <w:top w:type="dxa" w:w="70"/>
            <w:left w:type="dxa" w:w="0"/>
            <w:bottom w:type="dxa" w:w="7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FB3CC"/>
              <w:sz w:val="15"/>
              <w:szCs w:val="15"/>
            </w:rPr>
            <w:t xml:space="preserve">Confidencial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40"/>
      </w:pPr>
    </w:lvl>
    <w:lvl w:ilvl="1" w15:tentative="1">
      <w:start w:val="1"/>
      <w:numFmt w:val="bullet"/>
      <w:lvlText w:val="–"/>
      <w:lvlJc w:val="left"/>
      <w:pPr>
        <w:ind w:left="106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A1F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A1F3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4748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2026-08-26T22:54:15.412Z</dcterms:created>
  <dcterms:modified xsi:type="dcterms:W3CDTF">2026-08-26T22:54:15.427Z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