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b/>
          <w:sz w:val="24"/>
        </w:rPr>
        <w:t>GOVERNO DO ESTADO DE MATO GROSSO</w:t>
      </w:r>
    </w:p>
    <w:p>
      <w:pPr>
        <w:jc w:val="center"/>
      </w:pPr>
      <w:r>
        <w:rPr>
          <w:b/>
          <w:sz w:val="22"/>
        </w:rPr>
        <w:t>SECRETARIA DE ESTADO DE SAÚDE</w:t>
      </w:r>
    </w:p>
    <w:p>
      <w:pPr>
        <w:pStyle w:val="Title"/>
        <w:spacing w:before="1100"/>
        <w:jc w:val="center"/>
      </w:pPr>
      <w:r>
        <w:t>Pacote de Planejamento da Contratação</w:t>
      </w:r>
    </w:p>
    <w:p>
      <w:pPr>
        <w:pStyle w:val="Subtitle"/>
        <w:jc w:val="center"/>
      </w:pPr>
      <w:r>
        <w:t>Unidade Hospitalar Modular de Resposta a Emergências</w:t>
      </w:r>
    </w:p>
    <w:p>
      <w:pPr>
        <w:spacing w:before="480"/>
        <w:jc w:val="center"/>
      </w:pPr>
      <w:r>
        <w:rPr>
          <w:b/>
          <w:color w:val="C00000"/>
          <w:sz w:val="20"/>
        </w:rPr>
        <w:t>Documento de orientação do processo administrativo</w:t>
      </w:r>
    </w:p>
    <w:p>
      <w:pPr>
        <w:spacing w:before="1400"/>
        <w:jc w:val="center"/>
      </w:pPr>
      <w:r>
        <w:rPr>
          <w:sz w:val="20"/>
        </w:rPr>
        <w:t>Cuiabá MT</w:t>
        <w:br/>
        <w:t>28 de setembro de 2026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Informação</w:t>
            </w:r>
          </w:p>
        </w:tc>
      </w:tr>
      <w:tr>
        <w:trPr/>
        <w:tc>
          <w:tcPr>
            <w:tcW w:type="dxa" w:w="238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Objeto</w:t>
            </w:r>
          </w:p>
        </w:tc>
        <w:tc>
          <w:tcPr>
            <w:tcW w:type="dxa" w:w="680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Solução integrada e escalonável de UHMR para o Estado de Mato Grosso</w:t>
            </w:r>
          </w:p>
        </w:tc>
      </w:tr>
      <w:tr>
        <w:trPr/>
        <w:tc>
          <w:tcPr>
            <w:tcW w:type="dxa" w:w="238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7"/>
              </w:rPr>
              <w:t>Finalidade</w:t>
            </w:r>
          </w:p>
        </w:tc>
        <w:tc>
          <w:tcPr>
            <w:tcW w:type="dxa" w:w="680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7"/>
              </w:rPr>
              <w:t>Organizar as peças técnicas, administrativas e operacionais para instrução da contratação</w:t>
            </w:r>
          </w:p>
        </w:tc>
      </w:tr>
      <w:tr>
        <w:trPr/>
        <w:tc>
          <w:tcPr>
            <w:tcW w:type="dxa" w:w="238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Situação</w:t>
            </w:r>
          </w:p>
        </w:tc>
        <w:tc>
          <w:tcPr>
            <w:tcW w:type="dxa" w:w="680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Pacote técnico preliminar sujeito a validações, orçamento e decisão jurídica</w:t>
            </w:r>
          </w:p>
        </w:tc>
      </w:tr>
      <w:tr>
        <w:trPr/>
        <w:tc>
          <w:tcPr>
            <w:tcW w:type="dxa" w:w="238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7"/>
              </w:rPr>
              <w:t>Versão</w:t>
            </w:r>
          </w:p>
        </w:tc>
        <w:tc>
          <w:tcPr>
            <w:tcW w:type="dxa" w:w="680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t>2.1 de 28/09/2026</w:t>
            </w:r>
          </w:p>
        </w:tc>
      </w:tr>
    </w:tbl>
    <w:p>
      <w:pPr>
        <w:spacing w:after="0"/>
      </w:pPr>
    </w:p>
    <w:p>
      <w:pPr>
        <w:pStyle w:val="Heading1"/>
      </w:pPr>
      <w:commentRangeStart w:id="0"/>
      <w:r>
        <w:t>Diretrizes de prontidão e acionamento</w:t>
      </w:r>
      <w:commentRangeEnd w:id="0"/>
      <w:r>
        <w:rPr>
          <w:rStyle w:val="CommentReference"/>
        </w:rPr>
        <w:commentReference w:id="0"/>
      </w:r>
    </w:p>
    <w:p>
      <w:r>
        <w:t>Revisão 2.1 de 28/09/2026. Minuta para validação institucional. As diretrizes abaixo integram o planejamento e devem orientar os requisitos e formulários desta peça.</w:t>
      </w:r>
    </w:p>
    <w:p>
      <w:pPr>
        <w:pStyle w:val="Heading2"/>
      </w:pPr>
      <w:r>
        <w:t>N0 e remuneração da prontidão</w:t>
      </w:r>
    </w:p>
    <w:p>
      <w:r>
        <w:t>N0 permanece como prontidão, sem assistência ativa. A mensalidade remunera a capacidade contratada mantida disponível mesmo sem utilização, mediante aceite inicial e comprovação mensal de inventário, conservação, testes, manutenção, equipe técnica e meios de mobilização. A indisponibilidade será registrada e terá tratamento de medição conforme critérios contratuais. A permanência da mensalidade durante missões exige demonstração das obrigações efetivamente mantidas e exclusão de custos duplicados nas parcelas variáveis.</w:t>
      </w:r>
    </w:p>
    <w:p>
      <w:pPr>
        <w:pStyle w:val="Heading2"/>
      </w:pPr>
      <w:r>
        <w:t>Configuração personalizada da missão</w:t>
      </w:r>
    </w:p>
    <w:p>
      <w:r>
        <w:t>N1 a N4 são referências de planejamento, sem obrigação de ativação cumulativa. Cada missão poderá selecionar módulos isolados, combinar módulos ou adotar quantitativos diferentes das faixas referenciais, dentro do objeto, dos quantitativos contratados e dos requisitos de segurança. São exemplos: dez leitos com suportes dimensionados; somente laboratório; somente medicamentos e insumos. A configuração efetiva e o nível de referência serão registrados separadamente. Não se presumem cirurgia, internação, equipes ou infraestrutura não solicitadas. As dependências técnicas indispensáveis serão justificadas e dimensionadas, inclusive quando fornecidas pela rede local.</w:t>
      </w:r>
    </w:p>
    <w:p>
      <w:pPr>
        <w:pStyle w:val="Heading2"/>
      </w:pPr>
      <w:r>
        <w:t>Responsabilidade pela manutenção</w:t>
      </w:r>
    </w:p>
    <w:p>
      <w:r>
        <w:t>A contratada executará e custeará manutenção preventiva e corretiva ordinária, calibrações aplicáveis, testes, peças, mão de obra e substituição dos equipamentos necessários à disponibilidade. Esses encargos integram os preços contratados, inclusive durante períodos sem uso, sem cobrança adicional à SES-MT por manutenção ordinária. O plano de manutenção seguirá fabricante, risco e requisitos técnicos, com registros por equipamento, datas, responsável e evidências. A manutenção programada não poderá reduzir a capacidade garantida sem cobertura equivalente e comunicação à fiscalização.</w:t>
      </w:r>
    </w:p>
    <w:p>
      <w:pPr>
        <w:pStyle w:val="Heading2"/>
      </w:pPr>
      <w:r>
        <w:t>Fornecimento exclusivo de medicamentos</w:t>
      </w:r>
    </w:p>
    <w:p>
      <w:r>
        <w:t>Poderá ser acionado somente o fornecimento de medicamentos ou insumos previamente especificados e precificados, sem montagem hospitalar. A solicitação discriminará item, apresentação, concentração quando pertinente, unidade, quantidade, destino, prazo, lote e validade no recebimento, condições de conservação e responsável pelo aceite. Armazenagem, transporte, cadeia de frio quando aplicável, rastreabilidade, regularidade sanitária e responsabilidade farmacêutica deverão ser assegurados. Estoque reservado, mercadoria fornecida e reposição serão distinguidos na medição. Perdas por vencimento ou conservação imputáveis à contratada não serão repassadas à SES-MT. A relação de itens e o parcelamento ainda dependem de planejamento e validação formal.</w:t>
      </w:r>
    </w:p>
    <w:p>
      <w:pPr>
        <w:pStyle w:val="Heading2"/>
      </w:pPr>
      <w:r>
        <w:t>Competência e fundamentação do acionamento</w:t>
      </w:r>
    </w:p>
    <w:p>
      <w:r>
        <w:t>Compete ao Secretário de Estado de Saúde autorizar o acionamento e a configuração da missão, mediante Ordem de Acionamento fundamentada em documentação técnica, análise de risco e avaliação de cenários. A instrução conterá identificação do evento, demanda estimada, capacidade residual da rede, alternativas, justificativa, módulos ou itens, quantidades, dependências, local, prazo, duração, estimativa de custo e disponibilidade contratual e orçamentária. As áreas técnicas, inclusive CIEVS/COES quando envolvidos, subsidiam a decisão. A fiscalização acompanha a execução e não substitui a autorização do Secretário. Ampliação, redução e encerramento serão formalizados com justificativa técnica e decisão do Secretário, preservada a interrupção imediata de atividade insegura pela fiscalização.</w:t>
      </w:r>
    </w:p>
    <w:p>
      <w:pPr>
        <w:pStyle w:val="Heading2"/>
      </w:pPr>
      <w:r>
        <w:t>Medição por configuração e aceite</w:t>
      </w:r>
    </w:p>
    <w:p>
      <w:r>
        <w:t>A medição separará mensalidade N0, serviços efetivamente acionados e aceitos e medicamentos/insumos fornecidos. Cada item terá unidade, quantidade, preço, período, origem e evidência. Suportes compartilhados serão contabilizados uma única vez. Manutenção ordinária, perdas imputáveis à contratada e itens já pagos não gerarão nova cobrança. Para fornecimento exclusivo, não incidem montagem, diária hospitalar ou desmobilização física inexistentes. O aceite será de recebimento dos produtos. Para laboratório isolado ou assistência, aplicam-se comissionamento e liberação compatíveis com a atividade. Preços, glosas e SLAs permanecem sujeitos a pesquisa de mercado e validação antes do edital.</w:t>
      </w:r>
    </w:p>
    <w:p>
      <w:pPr>
        <w:pStyle w:val="Heading1"/>
      </w:pPr>
      <w:r>
        <w:t>1. Decisão proposta</w:t>
      </w:r>
    </w:p>
    <w:p>
      <w:r>
        <w:t>Estruturar a contratação como capacidade estadual de prontidão e resposta, medida por níveis N0 a N4. O contrato deve permitir ativação independente e personalizada, preços unitários por componente e responsabilidade integrada pelo desempenho, sem obrigar a SES MT a pagar permanentemente pela maior configuração.</w:t>
      </w:r>
    </w:p>
    <w:p>
      <w:r>
        <w:t>O pacote não fixa modalidade, critério de julgamento, parcelamento ou regime de execução. Essas decisões dependem da classificação do objeto, da consulta ao mercado, do orçamento e da manifestação da PGE MT.</w:t>
      </w:r>
    </w:p>
    <w:p>
      <w:pPr>
        <w:pStyle w:val="Heading1"/>
      </w:pPr>
      <w:r>
        <w:t>2. Composição do pacote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465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465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2465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465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Situação</w:t>
            </w:r>
          </w:p>
        </w:tc>
      </w:tr>
      <w:tr>
        <w:trPr/>
        <w:tc>
          <w:tcPr>
            <w:tcW w:type="dxa" w:w="6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00</w:t>
            </w:r>
          </w:p>
        </w:tc>
        <w:tc>
          <w:tcPr>
            <w:tcW w:type="dxa" w:w="238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Índice e guia de uso</w:t>
            </w:r>
          </w:p>
        </w:tc>
        <w:tc>
          <w:tcPr>
            <w:tcW w:type="dxa" w:w="396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Orienta a tramitação e controla pendências</w:t>
            </w:r>
          </w:p>
        </w:tc>
        <w:tc>
          <w:tcPr>
            <w:tcW w:type="dxa" w:w="198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Concluído</w:t>
            </w:r>
          </w:p>
        </w:tc>
      </w:tr>
      <w:tr>
        <w:trPr/>
        <w:tc>
          <w:tcPr>
            <w:tcW w:type="dxa" w:w="6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01</w:t>
            </w:r>
          </w:p>
        </w:tc>
        <w:tc>
          <w:tcPr>
            <w:tcW w:type="dxa" w:w="238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Estudo Técnico Preliminar</w:t>
            </w:r>
          </w:p>
        </w:tc>
        <w:tc>
          <w:tcPr>
            <w:tcW w:type="dxa" w:w="396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Fundamenta a necessidade e a solução</w:t>
            </w:r>
          </w:p>
        </w:tc>
        <w:tc>
          <w:tcPr>
            <w:tcW w:type="dxa" w:w="198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Consolidado; atualizar dados internos</w:t>
            </w:r>
          </w:p>
        </w:tc>
      </w:tr>
      <w:tr>
        <w:trPr/>
        <w:tc>
          <w:tcPr>
            <w:tcW w:type="dxa" w:w="6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02</w:t>
            </w:r>
          </w:p>
        </w:tc>
        <w:tc>
          <w:tcPr>
            <w:tcW w:type="dxa" w:w="238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Termo de Referência e anexos</w:t>
            </w:r>
          </w:p>
        </w:tc>
        <w:tc>
          <w:tcPr>
            <w:tcW w:type="dxa" w:w="396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Define requisitos, execução, medição e seleção</w:t>
            </w:r>
          </w:p>
        </w:tc>
        <w:tc>
          <w:tcPr>
            <w:tcW w:type="dxa" w:w="198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Minuta completa</w:t>
            </w:r>
          </w:p>
        </w:tc>
      </w:tr>
      <w:tr>
        <w:trPr/>
        <w:tc>
          <w:tcPr>
            <w:tcW w:type="dxa" w:w="6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03</w:t>
            </w:r>
          </w:p>
        </w:tc>
        <w:tc>
          <w:tcPr>
            <w:tcW w:type="dxa" w:w="238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Minuta de edital</w:t>
            </w:r>
          </w:p>
        </w:tc>
        <w:tc>
          <w:tcPr>
            <w:tcW w:type="dxa" w:w="396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Estrutura o procedimento licitatório</w:t>
            </w:r>
          </w:p>
        </w:tc>
        <w:tc>
          <w:tcPr>
            <w:tcW w:type="dxa" w:w="198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Revisada; migrar ao modelo oficial</w:t>
            </w:r>
          </w:p>
        </w:tc>
      </w:tr>
      <w:tr>
        <w:trPr/>
        <w:tc>
          <w:tcPr>
            <w:tcW w:type="dxa" w:w="6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04</w:t>
            </w:r>
          </w:p>
        </w:tc>
        <w:tc>
          <w:tcPr>
            <w:tcW w:type="dxa" w:w="238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Minuta contratual</w:t>
            </w:r>
          </w:p>
        </w:tc>
        <w:tc>
          <w:tcPr>
            <w:tcW w:type="dxa" w:w="396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Disciplina execução, riscos e pagamentos</w:t>
            </w:r>
          </w:p>
        </w:tc>
        <w:tc>
          <w:tcPr>
            <w:tcW w:type="dxa" w:w="198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Minuta técnica</w:t>
            </w:r>
          </w:p>
        </w:tc>
      </w:tr>
      <w:tr>
        <w:trPr/>
        <w:tc>
          <w:tcPr>
            <w:tcW w:type="dxa" w:w="6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05</w:t>
            </w:r>
          </w:p>
        </w:tc>
        <w:tc>
          <w:tcPr>
            <w:tcW w:type="dxa" w:w="238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Planilha de dimensionamento e custos</w:t>
            </w:r>
          </w:p>
        </w:tc>
        <w:tc>
          <w:tcPr>
            <w:tcW w:type="dxa" w:w="396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Calcula cenários, preços, equipes, SLA e pendências</w:t>
            </w:r>
          </w:p>
        </w:tc>
        <w:tc>
          <w:tcPr>
            <w:tcW w:type="dxa" w:w="198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Modelo editável</w:t>
            </w:r>
          </w:p>
        </w:tc>
      </w:tr>
      <w:tr>
        <w:trPr/>
        <w:tc>
          <w:tcPr>
            <w:tcW w:type="dxa" w:w="6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06</w:t>
            </w:r>
          </w:p>
        </w:tc>
        <w:tc>
          <w:tcPr>
            <w:tcW w:type="dxa" w:w="238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Caderno operacional</w:t>
            </w:r>
          </w:p>
        </w:tc>
        <w:tc>
          <w:tcPr>
            <w:tcW w:type="dxa" w:w="396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Padroniza acionamento, SAT, TLO, missão e AAR</w:t>
            </w:r>
          </w:p>
        </w:tc>
        <w:tc>
          <w:tcPr>
            <w:tcW w:type="dxa" w:w="198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Formulários prontos</w:t>
            </w:r>
          </w:p>
        </w:tc>
      </w:tr>
    </w:tbl>
    <w:p>
      <w:pPr>
        <w:spacing w:after="0"/>
      </w:pPr>
    </w:p>
    <w:p>
      <w:pPr>
        <w:pStyle w:val="Heading1"/>
      </w:pPr>
      <w:r>
        <w:t>3. Níveis de resposta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2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Nível</w:t>
            </w:r>
          </w:p>
        </w:tc>
        <w:tc>
          <w:tcPr>
            <w:tcW w:type="dxa" w:w="1972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Denominação</w:t>
            </w:r>
          </w:p>
        </w:tc>
        <w:tc>
          <w:tcPr>
            <w:tcW w:type="dxa" w:w="1972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Capacidade indicativa</w:t>
            </w:r>
          </w:p>
        </w:tc>
        <w:tc>
          <w:tcPr>
            <w:tcW w:type="dxa" w:w="1972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Escopo</w:t>
            </w:r>
          </w:p>
        </w:tc>
        <w:tc>
          <w:tcPr>
            <w:tcW w:type="dxa" w:w="1972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Meta</w:t>
            </w:r>
          </w:p>
        </w:tc>
      </w:tr>
      <w:tr>
        <w:trPr/>
        <w:tc>
          <w:tcPr>
            <w:tcW w:type="dxa" w:w="6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N0</w:t>
            </w:r>
          </w:p>
        </w:tc>
        <w:tc>
          <w:tcPr>
            <w:tcW w:type="dxa" w:w="1417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Prontidão</w:t>
            </w:r>
          </w:p>
        </w:tc>
        <w:tc>
          <w:tcPr>
            <w:tcW w:type="dxa" w:w="226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Sem emergência ativa</w:t>
            </w:r>
          </w:p>
        </w:tc>
        <w:tc>
          <w:tcPr>
            <w:tcW w:type="dxa" w:w="379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Armazenagem, inventário, testes, manutenção, capacitação e simulação</w:t>
            </w:r>
          </w:p>
        </w:tc>
        <w:tc>
          <w:tcPr>
            <w:tcW w:type="dxa" w:w="102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Permanente</w:t>
            </w:r>
          </w:p>
        </w:tc>
      </w:tr>
      <w:tr>
        <w:trPr/>
        <w:tc>
          <w:tcPr>
            <w:tcW w:type="dxa" w:w="6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5"/>
              </w:rPr>
              <w:t>N1</w:t>
            </w:r>
          </w:p>
        </w:tc>
        <w:tc>
          <w:tcPr>
            <w:tcW w:type="dxa" w:w="1417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  <w:t>Resposta rápida</w:t>
            </w:r>
          </w:p>
        </w:tc>
        <w:tc>
          <w:tcPr>
            <w:tcW w:type="dxa" w:w="226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  <w:t>2 a 4 posições críticas e 6 a 12 de observação</w:t>
            </w:r>
          </w:p>
        </w:tc>
        <w:tc>
          <w:tcPr>
            <w:tcW w:type="dxa" w:w="379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  <w:t>Comando, triagem, estabilização, consultas, farmácia e diagnóstico rápido</w:t>
            </w:r>
          </w:p>
        </w:tc>
        <w:tc>
          <w:tcPr>
            <w:tcW w:type="dxa" w:w="102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  <w:t>6 a 12 h</w:t>
            </w:r>
          </w:p>
        </w:tc>
      </w:tr>
      <w:tr>
        <w:trPr/>
        <w:tc>
          <w:tcPr>
            <w:tcW w:type="dxa" w:w="6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N2</w:t>
            </w:r>
          </w:p>
        </w:tc>
        <w:tc>
          <w:tcPr>
            <w:tcW w:type="dxa" w:w="1417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Assistência ampliada</w:t>
            </w:r>
          </w:p>
        </w:tc>
        <w:tc>
          <w:tcPr>
            <w:tcW w:type="dxa" w:w="226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12 a 20 leitos e 4 posições críticas</w:t>
            </w:r>
          </w:p>
        </w:tc>
        <w:tc>
          <w:tcPr>
            <w:tcW w:type="dxa" w:w="379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Módulos selecionáveis: internação, laboratório, imagem básica e isolamento</w:t>
            </w:r>
          </w:p>
        </w:tc>
        <w:tc>
          <w:tcPr>
            <w:tcW w:type="dxa" w:w="102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Até 18 h</w:t>
            </w:r>
          </w:p>
        </w:tc>
      </w:tr>
      <w:tr>
        <w:trPr/>
        <w:tc>
          <w:tcPr>
            <w:tcW w:type="dxa" w:w="6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5"/>
              </w:rPr>
              <w:t>N3</w:t>
            </w:r>
          </w:p>
        </w:tc>
        <w:tc>
          <w:tcPr>
            <w:tcW w:type="dxa" w:w="1417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  <w:t>Hospital modular</w:t>
            </w:r>
          </w:p>
        </w:tc>
        <w:tc>
          <w:tcPr>
            <w:tcW w:type="dxa" w:w="226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  <w:t>18 a 30 leitos, 4 posições críticas e 1 sala cirúrgica</w:t>
            </w:r>
          </w:p>
        </w:tc>
        <w:tc>
          <w:tcPr>
            <w:tcW w:type="dxa" w:w="379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  <w:t>Referência funcional EMT Tipo 2, CME, imagem, POC e WASH</w:t>
            </w:r>
          </w:p>
        </w:tc>
        <w:tc>
          <w:tcPr>
            <w:tcW w:type="dxa" w:w="102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  <w:t>Até 24 h</w:t>
            </w:r>
          </w:p>
        </w:tc>
      </w:tr>
      <w:tr>
        <w:trPr/>
        <w:tc>
          <w:tcPr>
            <w:tcW w:type="dxa" w:w="6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N4</w:t>
            </w:r>
          </w:p>
        </w:tc>
        <w:tc>
          <w:tcPr>
            <w:tcW w:type="dxa" w:w="1417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Expansão</w:t>
            </w:r>
          </w:p>
        </w:tc>
        <w:tc>
          <w:tcPr>
            <w:tcW w:type="dxa" w:w="226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Total de 40 a 100 leitos, conforme configuração</w:t>
            </w:r>
          </w:p>
        </w:tc>
        <w:tc>
          <w:tcPr>
            <w:tcW w:type="dxa" w:w="379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Módulos selecionáveis: leitos, cirurgia, cuidados intensivos e especialidades</w:t>
            </w:r>
          </w:p>
        </w:tc>
        <w:tc>
          <w:tcPr>
            <w:tcW w:type="dxa" w:w="102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36 a 48 h</w:t>
            </w:r>
          </w:p>
        </w:tc>
      </w:tr>
    </w:tbl>
    <w:p>
      <w:pPr>
        <w:spacing w:after="0"/>
      </w:pPr>
    </w:p>
    <w:p>
      <w:pPr>
        <w:pStyle w:val="Heading1"/>
      </w:pPr>
      <w:r>
        <w:t>4. Sequência de instrução</w:t>
      </w:r>
    </w:p>
    <w:p>
      <w:pPr>
        <w:pStyle w:val="ListNumber"/>
        <w:ind w:left="397" w:hanging="159"/>
      </w:pPr>
      <w:r>
        <w:t>Validar a necessidade e a governança da UHMR na SES MT.</w:t>
      </w:r>
    </w:p>
    <w:p>
      <w:pPr>
        <w:pStyle w:val="ListNumber"/>
        <w:ind w:left="397" w:hanging="159"/>
      </w:pPr>
      <w:r>
        <w:t>Consolidar dados estaduais e memória de dimensionamento no ETP.</w:t>
      </w:r>
    </w:p>
    <w:p>
      <w:pPr>
        <w:pStyle w:val="ListNumber"/>
        <w:ind w:left="397" w:hanging="159"/>
      </w:pPr>
      <w:r>
        <w:t>Realizar consulta estruturada ao mercado e registrar capacidade, prazos, cubagem e preços.</w:t>
      </w:r>
    </w:p>
    <w:p>
      <w:pPr>
        <w:pStyle w:val="ListNumber"/>
        <w:ind w:left="397" w:hanging="159"/>
      </w:pPr>
      <w:r>
        <w:t>Decidir parcelamento, integração, consórcios, subcontratação e inclusão de equipes assistenciais.</w:t>
      </w:r>
    </w:p>
    <w:p>
      <w:pPr>
        <w:pStyle w:val="ListNumber"/>
        <w:ind w:left="397" w:hanging="159"/>
      </w:pPr>
      <w:r>
        <w:t>Classificar o objeto e definir modalidade, critério de julgamento e regime de execução.</w:t>
      </w:r>
    </w:p>
    <w:p>
      <w:pPr>
        <w:pStyle w:val="ListNumber"/>
        <w:ind w:left="397" w:hanging="159"/>
      </w:pPr>
      <w:r>
        <w:t>Completar orçamento, dotação, quantitativos, índices, garantias, multas e glosas.</w:t>
      </w:r>
    </w:p>
    <w:p>
      <w:pPr>
        <w:pStyle w:val="ListNumber"/>
        <w:ind w:left="397" w:hanging="159"/>
      </w:pPr>
      <w:r>
        <w:t>Revisar TR, edital e contrato no modelo vigente da PGE MT e SEPLAG MT.</w:t>
      </w:r>
    </w:p>
    <w:p>
      <w:pPr>
        <w:pStyle w:val="ListNumber"/>
        <w:ind w:left="397" w:hanging="159"/>
      </w:pPr>
      <w:r>
        <w:t>Submeter a controle interno, parecer jurídico e aprovação da autoridade competente.</w:t>
      </w:r>
    </w:p>
    <w:p>
      <w:pPr>
        <w:pStyle w:val="ListNumber"/>
        <w:ind w:left="397" w:hanging="159"/>
      </w:pPr>
      <w:r>
        <w:t>Publicar, conduzir prova de conceito quando cabível e formalizar a contratação.</w:t>
      </w:r>
    </w:p>
    <w:p>
      <w:pPr>
        <w:pStyle w:val="ListNumber"/>
        <w:ind w:left="397" w:hanging="159"/>
      </w:pPr>
      <w:r>
        <w:t>Implantar N0, realizar teste de aceitação e exercício completo antes do aceite definitivo.</w:t>
      </w:r>
    </w:p>
    <w:p>
      <w:pPr>
        <w:pStyle w:val="Heading1"/>
      </w:pPr>
      <w:r>
        <w:t>5. Decisões que não podem ser presumidas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Pergunta de decisão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Evidência necessária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Objeto comum ou especial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Os requisitos podem ser definidos por padrões objetivos usuais?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Nota de classificação e estudo de mercado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Técnica e preço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A qualidade acima do mínimo produz vantagem relevante e mensurável?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ETP, critérios objetivos e teste de sensibilidade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Lote único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 integração supera a perda potencial de competição?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Análise de parcelamento e riscos de interface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Base logística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É necessária localização específica ou basta SLA de mobilização?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Rotas, tempos, mercado e custo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Equipes clínicas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Integram o contrato ou serão mobilizadas pela rede estadual?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Plano assistencial e dimensionamento profissional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Disponibilidade exclusiva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Quais ativos precisam permanecer reservados à SES MT?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Frequência de acionamento, mercado e preço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UTI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O N4 terá UTI completa ou apenas posições críticas ampliadas?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Perfil de risco, retaguarda e requisitos sanitários</w:t>
            </w:r>
          </w:p>
        </w:tc>
      </w:tr>
    </w:tbl>
    <w:p>
      <w:pPr>
        <w:spacing w:after="0"/>
      </w:pPr>
    </w:p>
    <w:p>
      <w:pPr>
        <w:pStyle w:val="Heading1"/>
      </w:pPr>
      <w:r>
        <w:t>6. Dados estaduais a incorporar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Bloco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Dados mínimos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Fontes internas sugeridas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Emergências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Eventos, município, período, duração, pessoas afetadas, unidades atingidas, recursos e custo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CIEVS, COES, Defesa Civil, VIGIDESASTRES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Rede assistencial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Leitos, leitos críticos, ocupação, bloqueios, capacidade residual e referências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Monitora Hospitalar, CNES, IndicaSUS, SIH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Regulação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Fila, tempo de espera, transferências, distância e destino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SISREG e regulação estadual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Clima e ambiente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Incêndio, fumaça, calor, seca, inundação e acessibilidade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ARARAS MT, TITAN INMET, Defesa Civil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Epidemiologia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Surtos, SRAG, arboviroses, diarreias, intoxicações e demanda adicional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SINAN, SIVEP Gripe, GAL, SIM e CIEVS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Logística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Rotas, sazonalidade, tempo de viagem, pontes, aeródromos e comunicação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SESP, Defesa Civil, infraestrutura e telecomunicações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Custos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Contratos, locações, diárias, combustível, frete, manutenção e consumo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SIAG, contratos SES MT e pesquisa de mercado</w:t>
            </w:r>
          </w:p>
        </w:tc>
      </w:tr>
    </w:tbl>
    <w:p>
      <w:pPr>
        <w:spacing w:after="0"/>
      </w:pPr>
    </w:p>
    <w:p>
      <w:pPr>
        <w:pStyle w:val="Heading1"/>
      </w:pPr>
      <w:r>
        <w:t>7. Controle de versões e aprovações</w:t>
      </w:r>
    </w:p>
    <w:p>
      <w:r>
        <w:t>Cada peça deverá conter número de versão, data, responsável pela elaboração, responsáveis pela validação e registro das alterações. A aprovação de uma peça não corrige automaticamente divergências em outra; antes da publicação deve ser executada revisão cruzada de objeto, quantitativos, prazos, preços, riscos e anexos.</w:t>
      </w:r>
    </w:p>
    <w:p>
      <w:pPr>
        <w:pStyle w:val="Heading1"/>
      </w:pPr>
      <w:r>
        <w:t>8. Resultado esperado do processo</w:t>
      </w:r>
    </w:p>
    <w:p>
      <w:r>
        <w:t>O processo estará pronto para publicação quando os campos materiais estiverem preenchidos por evidência, os anexos forem coerentes entre si, o orçamento estiver lastreado, a solução tiver sido testada com o mercado e a minuta estiver no padrão oficial validado pela PGE MT.</w:t>
      </w:r>
    </w:p>
    <w:p>
      <w:pPr>
        <w:pStyle w:val="Heading1"/>
      </w:pPr>
      <w:r>
        <w:t>Referências normativas e técnicas</w:t>
      </w:r>
    </w:p>
    <w:p>
      <w:pPr>
        <w:pStyle w:val="ListBullet"/>
        <w:ind w:left="340" w:hanging="142"/>
      </w:pPr>
      <w:r>
        <w:t>Brasil. Lei nº 14.133, de 1º de abril de 2021. Lei de Licitações e Contratos Administrativos. https://www.planalto.gov.br/ccivil_03/_ato2019-2022/2021/lei/l14133.htm</w:t>
      </w:r>
    </w:p>
    <w:p>
      <w:pPr>
        <w:pStyle w:val="ListBullet"/>
        <w:ind w:left="340" w:hanging="142"/>
      </w:pPr>
      <w:r>
        <w:t>Mato Grosso. Decreto Estadual nº 1.525, de 23 de novembro de 2022. Regulamentação estadual da Lei nº 14.133/2021. https://aquisicoes.seplag.mt.gov.br/home/images/files/DecretoEstadual118022025155448.525</w:t>
      </w:r>
    </w:p>
    <w:p>
      <w:pPr>
        <w:pStyle w:val="ListBullet"/>
        <w:ind w:left="340" w:hanging="142"/>
      </w:pPr>
      <w:r>
        <w:t>Ministério da Saúde. Consulta Pública 2026 para Hospital de Campanha Modular e requisitos EMT Tipo 2. https://www.gov.br/saude/pt-br/acesso-a-informacao/participacao-social/consultas-publicas/2026/coleta-de-informacoes-para-formacao-de-precos-visando-atender-aos-requisitos-tecnicos-e-operacionais-aplicaveis-as-emt</w:t>
      </w:r>
    </w:p>
    <w:p>
      <w:pPr>
        <w:pStyle w:val="ListBullet"/>
        <w:ind w:left="340" w:hanging="142"/>
      </w:pPr>
      <w:r>
        <w:t>World Health Organization. Classification and minimum standards for emergency medical teams. Second edition. https://www.who.int/publications/i/item/9789240029330</w:t>
      </w:r>
    </w:p>
    <w:p>
      <w:pPr>
        <w:pStyle w:val="ListBullet"/>
        <w:ind w:left="340" w:hanging="142"/>
      </w:pPr>
      <w:r>
        <w:t>ANVISA. RDC nº 50/2002, RDC nº 63/2011 e RDC nº 222/2018, em suas versões vigentes.</w:t>
      </w:r>
    </w:p>
    <w:p>
      <w:pPr>
        <w:pStyle w:val="ListBullet"/>
        <w:ind w:left="340" w:hanging="142"/>
      </w:pPr>
      <w:r>
        <w:t>Ministério do Trabalho e Emprego. NR 32, Segurança e Saúde no Trabalho em Serviços de Saúde, em sua versão vigente.</w:t>
      </w:r>
    </w:p>
    <w:p>
      <w:r>
        <w:br w:type="page"/>
      </w:r>
    </w:p>
    <w:p>
      <w:pPr>
        <w:pStyle w:val="Heading1"/>
      </w:pPr>
      <w:r>
        <w:t>Complementação técnica e normativa — revisão 2.1</w:t>
      </w:r>
    </w:p>
    <w:p>
      <w:r>
        <w:t>Integra esta minuta como requisito de revisão. As escolhas propostas dependem de validação institucional; as referências não equivalem a aprovação da contratação.</w:t>
      </w:r>
    </w:p>
    <w:p>
      <w:pPr>
        <w:pStyle w:val="Heading2"/>
      </w:pPr>
      <w:r>
        <w:t>1. Fundamentos e limites de aplicação</w:t>
      </w:r>
    </w:p>
    <w:p>
      <w:r>
        <w:t>A Lei nº 14.133/2021 orienta planejamento (art. 18), estimativa de preços (art. 23), parcelamento de compras e serviços (arts. 40 e 47), cláusulas contratuais (art. 92), fiscalização (art. 117) e recebimento (art. 140). Aplicam-se o Decreto Estadual nº 1.525/2022 e alterações, com conferência da consolidação pela área jurídica. A inclusão no PCA deve observar os atos estaduais pertinentes, inclusive IN nº 002/2025/SEPLAG e sua alteração pela IN nº 003/2026/SEPLAG. A escolha de prontidão remunerada exige motivação própria; nenhuma dessas referências, isoladamente, aprova preço, modalidade, lote único ou contratação direta.</w:t>
      </w:r>
    </w:p>
    <w:p>
      <w:pPr>
        <w:pStyle w:val="Heading2"/>
      </w:pPr>
      <w:r>
        <w:t>11. Condições para concluir a versão de edital</w:t>
      </w:r>
    </w:p>
    <w:p>
      <w:r>
        <w:t>Permanecem pendentes de decisão institucional: solução e parcelamento, modalidade e critério de julgamento, catálogo e limites, quantitativos sustentados por dados, preços pesquisados, reserva orçamentária, SLAs, matriz de riscos, licenciamento e ato de competência. Menções anteriores a modalidade, técnica e preço, faixas de leitos, prazos ou percentuais são propostas a harmonizar na versão final. Não declarar a contratação aprovada ou pronta para publicação antes dessas validações. As diretrizes OMS para equipes médicas de emergência são referência técnica complementar; N0–N4 é classificação interna do projeto e não representa classificação ou certificação OMS.</w:t>
      </w:r>
    </w:p>
    <w:p>
      <w:pPr>
        <w:pStyle w:val="Heading2"/>
      </w:pPr>
      <w:r>
        <w:t>Referências da complementação</w:t>
      </w:r>
    </w:p>
    <w:p>
      <w:r>
        <w:t>Brasil. Lei nº 14.133, de 1º de abril de 2021. Texto compilado. Disponível em: https://www.planalto.gov.br/ccivil_03/_ato2019-2022/2021/lei/l14133.htm. Acesso em: 28 set. 2026.</w:t>
      </w:r>
    </w:p>
    <w:p>
      <w:r>
        <w:t>Mato Grosso. SEPLAG. Portal de Aquisições Governamentais: legislação e atos do PCA. Disponível em: https://aquisicoes.seplag.mt.gov.br/home/index.php?c=4&amp;pg=ver. Acesso em: 28 set. 2026.</w:t>
      </w:r>
    </w:p>
    <w:p>
      <w:r>
        <w:t>Anvisa. RDC nº 509, de 27 de maio de 2021. Gerenciamento de tecnologias em saúde. Disponível em: https://bvsms.saude.gov.br/bvs/saudelegis/anvisa/2020/rdc0509_27_05_2021.pdf. Acesso em: 28 set. 2026.</w:t>
      </w:r>
    </w:p>
    <w:p>
      <w:r>
        <w:t>Anvisa. Agenda de ARR 2023–2026: RDC nº 978/2025, alterada pela RDC nº 986/2025. Disponível em: https://www.gov.br/anvisa/pt-br/assuntos/regulamentacao/avaliacao-do-resultado-regulatorio/agenda-de-arr-2023-2026. Acesso em: 28 set. 2026.</w:t>
      </w:r>
    </w:p>
    <w:p>
      <w:r>
        <w:t>Anvisa. Perguntas e respostas sobre a RDC nº 430/2020. Atualização de novembro de 2022. Disponível em: https://www.gov.br/anvisa/pt-br/centraisdeconteudo/publicacoes/certificacao-e-fiscalizacao/perguntas-e-respostas/perguntas-e-respostas-rdc-430-de-2020.pdf. Acesso em: 28 set. 2026.</w:t>
      </w:r>
    </w:p>
    <w:p>
      <w:r>
        <w:t>World Health Organization. Classification and minimum standards for emergency medical teams. Geneva: WHO, 2021. Disponível em: https://extranet.who.int/emt/sites/default/files/BlueBook2021.pdf. Acesso em: 28 set.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são técnica UHMR" w:initials="UHMR" w:date="2026-09-28T20:44:19Z">
    <w:p>
      <w:pPr>
        <w:pStyle w:val="CommentText"/>
      </w:pPr>
      <w:r>
        <w:rPr>
          <w:rStyle w:val="CommentReference"/>
        </w:rPr>
        <w:annotationRef/>
      </w:r>
      <w:r>
        <w:t>Revisão decorrente das premissas definidas em 28/09/2026: N0 remunerado, módulos independentes, manutenção pela empresa, medicamentos isolados e autorização do Secretário com análise de risco e cenários. Pendente de validação institucional.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6666"/>
        <w:sz w:val="16"/>
      </w:rPr>
      <w:t xml:space="preserve">Revisão 2.1  28/09/2026   </w:t>
    </w:r>
    <w:r>
      <w:rPr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66666"/>
        <w:sz w:val="16"/>
      </w:rPr>
      <w:t>SES MT   UHMR   GUIA DO PACOTE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rial" w:hAnsi="Arial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Pacote de Planejamento da Contratação UHMR</dc:title>
  <dc:subject>Índice, sequência de instrução e controle do pacote</dc:subject>
  <dc:creator>Secretaria de Estado de Saúde de Mato Grosso</dc:creator>
  <cp:keywords>UHMR, emergência, hospital modular, SES MT, contratação pública</cp:keywords>
  <dc:description>Revisão 2.1: prontidão N0 remunerada, configuração independente, manutenção pela contratada, medicamentos isolados e autorização do Secretário.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