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Arial" w:hAnsi="Arial"/>
          <w:b/>
          <w:color w:val="17365D"/>
          <w:sz w:val="24"/>
        </w:rPr>
        <w:t>GOVERNO DO ESTADO DE MATO GROSSO</w:t>
      </w:r>
    </w:p>
    <w:p>
      <w:pPr>
        <w:jc w:val="center"/>
      </w:pPr>
      <w:r>
        <w:rPr>
          <w:rFonts w:ascii="Arial" w:hAnsi="Arial"/>
          <w:b/>
          <w:color w:val="1F4E78"/>
          <w:sz w:val="22"/>
        </w:rPr>
        <w:t>SECRETARIA DE ESTADO DE SAÚDE</w:t>
      </w:r>
    </w:p>
    <w:p>
      <w:pPr>
        <w:spacing w:before="760"/>
        <w:jc w:val="center"/>
      </w:pPr>
      <w:r>
        <w:rPr>
          <w:rFonts w:ascii="Arial" w:hAnsi="Arial"/>
          <w:b/>
          <w:color w:val="17365D"/>
          <w:sz w:val="44"/>
        </w:rPr>
        <w:t>MINUTA DE EDITAL</w:t>
      </w:r>
    </w:p>
    <w:p>
      <w:pPr>
        <w:jc w:val="center"/>
      </w:pPr>
      <w:r>
        <w:rPr>
          <w:rFonts w:ascii="Arial" w:hAnsi="Arial"/>
          <w:b/>
          <w:color w:val="2F75B5"/>
          <w:sz w:val="30"/>
        </w:rPr>
        <w:t>Unidade Hospitalar Modular de Resposta a Emergências — UHMR</w:t>
      </w:r>
    </w:p>
    <w:p>
      <w:pPr>
        <w:jc w:val="center"/>
      </w:pPr>
      <w:r>
        <w:rPr>
          <w:rFonts w:ascii="Arial" w:hAnsi="Arial"/>
          <w:i/>
          <w:color w:val="666666"/>
          <w:sz w:val="20"/>
        </w:rPr>
        <w:t>Versão técnica revisada e compatibilizada com o ETP consolidado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/>
        <w:tc>
          <w:tcPr>
            <w:tcW w:type="dxa" w:w="9859"/>
            <w:shd w:fill="FFEB9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9C6500"/>
                <w:sz w:val="20"/>
              </w:rPr>
              <w:t>MINUTA TÉCNICA PRELIMINAR — NÃO PUBLICAR</w:t>
            </w:r>
          </w:p>
          <w:p>
            <w:pPr>
              <w:jc w:val="center"/>
            </w:pPr>
            <w:r>
              <w:rPr>
                <w:sz w:val="17"/>
              </w:rPr>
              <w:t>Sujeita à definição motivada da modalidade, do critério de julgamento, do parcelamento, do orçamento e dos parâmetros de habilitação, bem como à validação da área de aquisições e da PGE-MT.</w:t>
            </w:r>
          </w:p>
        </w:tc>
      </w:tr>
    </w:tbl>
    <w:p>
      <w:pPr>
        <w:spacing w:before="920"/>
        <w:jc w:val="center"/>
      </w:pPr>
      <w:r>
        <w:rPr>
          <w:rFonts w:ascii="Arial" w:hAnsi="Arial"/>
          <w:color w:val="666666"/>
          <w:sz w:val="20"/>
        </w:rPr>
        <w:t>Cuiabá — MT</w:t>
        <w:br/>
        <w:t>28 de setembro de 2026</w:t>
      </w:r>
    </w:p>
    <w:p>
      <w:r>
        <w:br w:type="page"/>
      </w:r>
    </w:p>
    <w:p>
      <w:pPr>
        <w:pStyle w:val="Heading1"/>
      </w:pPr>
      <w:r>
        <w:t>Controle do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2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Informação</w:t>
            </w:r>
          </w:p>
        </w:tc>
      </w:tr>
      <w:tr>
        <w:trPr/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Documento</w:t>
            </w:r>
          </w:p>
        </w:tc>
        <w:tc>
          <w:tcPr>
            <w:tcW w:type="dxa" w:w="708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Minuta de edital — contratação da UHMR/SES-MT</w:t>
            </w:r>
          </w:p>
        </w:tc>
      </w:tr>
      <w:tr>
        <w:trPr/>
        <w:tc>
          <w:tcPr>
            <w:tcW w:type="dxa" w:w="2268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Versão</w:t>
            </w:r>
          </w:p>
        </w:tc>
        <w:tc>
          <w:tcPr>
            <w:tcW w:type="dxa" w:w="7087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2.1 — revisão técnica fundamentada</w:t>
            </w:r>
          </w:p>
        </w:tc>
      </w:tr>
      <w:tr>
        <w:trPr/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Documento de origem</w:t>
            </w:r>
          </w:p>
        </w:tc>
        <w:tc>
          <w:tcPr>
            <w:tcW w:type="dxa" w:w="708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Minuta recebida em 17/09/2026</w:t>
            </w:r>
          </w:p>
        </w:tc>
      </w:tr>
      <w:tr>
        <w:trPr/>
        <w:tc>
          <w:tcPr>
            <w:tcW w:type="dxa" w:w="2268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Referência técnica</w:t>
            </w:r>
          </w:p>
        </w:tc>
        <w:tc>
          <w:tcPr>
            <w:tcW w:type="dxa" w:w="7087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ETP consolidado da UHMR constante dos autos</w:t>
            </w:r>
          </w:p>
        </w:tc>
      </w:tr>
      <w:tr>
        <w:trPr/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Situação</w:t>
            </w:r>
          </w:p>
        </w:tc>
        <w:tc>
          <w:tcPr>
            <w:tcW w:type="dxa" w:w="708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 instrução; não apto à publicação</w:t>
            </w:r>
          </w:p>
        </w:tc>
      </w:tr>
      <w:tr>
        <w:trPr/>
        <w:tc>
          <w:tcPr>
            <w:tcW w:type="dxa" w:w="2268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Aprovações necessárias</w:t>
            </w:r>
          </w:p>
        </w:tc>
        <w:tc>
          <w:tcPr>
            <w:tcW w:type="dxa" w:w="7087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Área demandante; planejamento; orçamento; licitações; controle interno; PGE-MT; autoridade competente</w:t>
            </w:r>
          </w:p>
        </w:tc>
      </w:tr>
    </w:tbl>
    <w:p>
      <w:pPr>
        <w:spacing w:after="0"/>
      </w:pPr>
    </w:p>
    <w:p>
      <w:pPr>
        <w:pStyle w:val="Heading1"/>
      </w:pPr>
      <w:r>
        <w:t>Nota de compatibilização</w:t>
      </w:r>
    </w:p>
    <w:p>
      <w:r>
        <w:t>Esta revisão transforma a minuta recebida em uma base coerente com o Estudo Técnico Preliminar consolidado. Foram harmonizados o objeto, os níveis N0 a N4, os relógios de mobilização, o modelo econômico, a prova de conceito, a medição por desempenho e a matriz de riscos. Não foram preenchidos valores, percentuais ou decisões que dependem de pesquisa de mercado, orçamento estimado, classificação do objeto ou manifestação jurídica.</w:t>
      </w:r>
    </w:p>
    <w:p>
      <w:pPr>
        <w:pStyle w:val="LegalAlert"/>
      </w:pPr>
      <w:r>
        <w:t>A minuta deverá ser transposta para o modelo padronizado vigente da PGE-MT/SEPLAG-MT antes da publicação. Em caso de divergência, prevalecerão a legislação aplicável, o modelo oficial vigente e as decisões motivadas constantes do processo.</w:t>
      </w:r>
    </w:p>
    <w:p>
      <w:pPr>
        <w:pStyle w:val="Heading1"/>
      </w:pPr>
      <w:r>
        <w:t>Quadro de deliberações pendentes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328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Tratamento nesta versão</w:t>
            </w:r>
          </w:p>
        </w:tc>
        <w:tc>
          <w:tcPr>
            <w:tcW w:type="dxa" w:w="328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Condição para fechamento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Modalidade e critério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EB9C"/>
          </w:tcPr>
          <w:p>
            <w:pPr>
              <w:spacing w:after="0"/>
            </w:pPr>
            <w:r>
              <w:rPr>
                <w:rFonts w:ascii="Arial" w:hAnsi="Arial"/>
                <w:b/>
                <w:color w:val="9C6500"/>
                <w:sz w:val="16"/>
              </w:rPr>
              <w:t>PENDENTE — não fixados nesta versão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Classificação do objeto e motivação no ETP; se técnica e preço, demonstrar variação relevante de qualidade e critérios objetivos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Parcelamento</w:t>
            </w:r>
          </w:p>
        </w:tc>
        <w:tc>
          <w:tcPr>
            <w:tcW w:type="dxa" w:w="3286"/>
            <w:shd w:fill="FFEB9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9C6500"/>
                <w:sz w:val="16"/>
              </w:rPr>
              <w:t>PENDENTE — lote integrado é a hipótese técnica de referência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Consulta ao mercado, análise de competitividade e riscos de interface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Regime de execução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EB9C"/>
          </w:tcPr>
          <w:p>
            <w:pPr>
              <w:spacing w:after="0"/>
            </w:pPr>
            <w:r>
              <w:rPr>
                <w:rFonts w:ascii="Arial" w:hAnsi="Arial"/>
                <w:b/>
                <w:color w:val="9C6500"/>
                <w:sz w:val="16"/>
              </w:rPr>
              <w:t>PENDENTE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Compatibilidade com a natureza mista: prontidão, acionamento, locação/fornecimento e serviços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Prazo contratual</w:t>
            </w:r>
          </w:p>
        </w:tc>
        <w:tc>
          <w:tcPr>
            <w:tcW w:type="dxa" w:w="3286"/>
            <w:shd w:fill="FFEB9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9C6500"/>
                <w:sz w:val="16"/>
              </w:rPr>
              <w:t>PENDENTE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Definição conforme natureza continuada, vantajosidade plurianual e disponibilidade orçamentária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Orçamento e preços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EB9C"/>
          </w:tcPr>
          <w:p>
            <w:pPr>
              <w:spacing w:after="0"/>
            </w:pPr>
            <w:r>
              <w:rPr>
                <w:rFonts w:ascii="Arial" w:hAnsi="Arial"/>
                <w:b/>
                <w:color w:val="9C6500"/>
                <w:sz w:val="16"/>
              </w:rPr>
              <w:t>PENDENTE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Pesquisa de preços por componentes A–J e memória de cálculo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Habilitação técnica</w:t>
            </w:r>
          </w:p>
        </w:tc>
        <w:tc>
          <w:tcPr>
            <w:tcW w:type="dxa" w:w="3286"/>
            <w:shd w:fill="FFEB9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9C6500"/>
                <w:sz w:val="16"/>
              </w:rPr>
              <w:t>CONDICIONADA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Definição das parcelas de maior relevância e quantitativos, sem restrição indevida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Qualificação econômico-financeira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EB9C"/>
          </w:tcPr>
          <w:p>
            <w:pPr>
              <w:spacing w:after="0"/>
            </w:pPr>
            <w:r>
              <w:rPr>
                <w:rFonts w:ascii="Arial" w:hAnsi="Arial"/>
                <w:b/>
                <w:color w:val="9C6500"/>
                <w:sz w:val="16"/>
              </w:rPr>
              <w:t>CONDICIONADA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Índices usuais, patrimônio líquido e garantia de proposta, todos motivados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Equipe assistencial</w:t>
            </w:r>
          </w:p>
        </w:tc>
        <w:tc>
          <w:tcPr>
            <w:tcW w:type="dxa" w:w="3286"/>
            <w:shd w:fill="FFEB9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9C6500"/>
                <w:sz w:val="16"/>
              </w:rPr>
              <w:t>PENDENTE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Definir se integra o objeto-base, módulo acionável ou contratação distinta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Base logística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EB9C"/>
          </w:tcPr>
          <w:p>
            <w:pPr>
              <w:spacing w:after="0"/>
            </w:pPr>
            <w:r>
              <w:rPr>
                <w:rFonts w:ascii="Arial" w:hAnsi="Arial"/>
                <w:b/>
                <w:color w:val="9C6500"/>
                <w:sz w:val="16"/>
              </w:rPr>
              <w:t>CONDICIONADA A DESEMPENHO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Fixar SLA e prazo para implantação da base; exigir local específico apenas com justificativa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Dados estaduais</w:t>
            </w:r>
          </w:p>
        </w:tc>
        <w:tc>
          <w:tcPr>
            <w:tcW w:type="dxa" w:w="3286"/>
            <w:shd w:fill="FFEB9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9C6500"/>
                <w:sz w:val="16"/>
              </w:rPr>
              <w:t>PENDENTE DE CONSOLIDAÇÃO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Inserir séries internas de emergências, rede, deslocamentos, acessos, acionamentos e capacidade residual</w:t>
            </w:r>
          </w:p>
        </w:tc>
      </w:tr>
    </w:tbl>
    <w:p>
      <w:pPr>
        <w:spacing w:after="0"/>
      </w:pPr>
    </w:p>
    <w:p>
      <w:pPr>
        <w:pStyle w:val="Heading1"/>
      </w:pPr>
      <w:commentRangeStart w:id="0"/>
      <w:r>
        <w:t>Diretrizes de prontidão e acionamento</w:t>
      </w:r>
      <w:commentRangeEnd w:id="0"/>
      <w:r>
        <w:rPr>
          <w:rStyle w:val="CommentReference"/>
        </w:rPr>
        <w:commentReference w:id="0"/>
      </w:r>
    </w:p>
    <w:p>
      <w:r>
        <w:t>Revisão 2.1 de 28/09/2026. Minuta para validação institucional. As diretrizes abaixo integram o planejamento e devem orientar os requisitos e formulários desta peça.</w:t>
      </w:r>
    </w:p>
    <w:p>
      <w:pPr>
        <w:pStyle w:val="Heading2"/>
      </w:pPr>
      <w:r>
        <w:t>N0 e remuneração da prontidão</w:t>
      </w:r>
    </w:p>
    <w:p>
      <w:r>
        <w:t>N0 permanece como prontidão, sem assistência ativa. A mensalidade remunera a capacidade contratada mantida disponível mesmo sem utilização, mediante aceite inicial e comprovação mensal de inventário, conservação, testes, manutenção, equipe técnica e meios de mobilização. A indisponibilidade será registrada e terá tratamento de medição conforme critérios contratuais. A permanência da mensalidade durante missões exige demonstração das obrigações efetivamente mantidas e exclusão de custos duplicados nas parcelas variáveis.</w:t>
      </w:r>
    </w:p>
    <w:p>
      <w:pPr>
        <w:pStyle w:val="Heading2"/>
      </w:pPr>
      <w:r>
        <w:t>Configuração personalizada da missão</w:t>
      </w:r>
    </w:p>
    <w:p>
      <w:r>
        <w:t>N1 a N4 são referências de planejamento, sem obrigação de ativação cumulativa. Cada missão poderá selecionar módulos isolados, combinar módulos ou adotar quantitativos diferentes das faixas referenciais, dentro do objeto, dos quantitativos contratados e dos requisitos de segurança. São exemplos: dez leitos com suportes dimensionados; somente laboratório; somente medicamentos e insumos. A configuração efetiva e o nível de referência serão registrados separadamente. Não se presumem cirurgia, internação, equipes ou infraestrutura não solicitadas. As dependências técnicas indispensáveis serão justificadas e dimensionadas, inclusive quando fornecidas pela rede local.</w:t>
      </w:r>
    </w:p>
    <w:p>
      <w:pPr>
        <w:pStyle w:val="Heading2"/>
      </w:pPr>
      <w:r>
        <w:t>Responsabilidade pela manutenção</w:t>
      </w:r>
    </w:p>
    <w:p>
      <w:r>
        <w:t>A contratada executará e custeará manutenção preventiva e corretiva ordinária, calibrações aplicáveis, testes, peças, mão de obra e substituição dos equipamentos necessários à disponibilidade. Esses encargos integram os preços contratados, inclusive durante períodos sem uso, sem cobrança adicional à SES-MT por manutenção ordinária. O plano de manutenção seguirá fabricante, risco e requisitos técnicos, com registros por equipamento, datas, responsável e evidências. A manutenção programada não poderá reduzir a capacidade garantida sem cobertura equivalente e comunicação à fiscalização.</w:t>
      </w:r>
    </w:p>
    <w:p>
      <w:pPr>
        <w:pStyle w:val="Heading2"/>
      </w:pPr>
      <w:r>
        <w:t>Fornecimento exclusivo de medicamentos</w:t>
      </w:r>
    </w:p>
    <w:p>
      <w:r>
        <w:t>Poderá ser acionado somente o fornecimento de medicamentos ou insumos previamente especificados e precificados, sem montagem hospitalar. A solicitação discriminará item, apresentação, concentração quando pertinente, unidade, quantidade, destino, prazo, lote e validade no recebimento, condições de conservação e responsável pelo aceite. Armazenagem, transporte, cadeia de frio quando aplicável, rastreabilidade, regularidade sanitária e responsabilidade farmacêutica deverão ser assegurados. Estoque reservado, mercadoria fornecida e reposição serão distinguidos na medição. Perdas por vencimento ou conservação imputáveis à contratada não serão repassadas à SES-MT. A relação de itens e o parcelamento ainda dependem de planejamento e validação formal.</w:t>
      </w:r>
    </w:p>
    <w:p>
      <w:pPr>
        <w:pStyle w:val="Heading2"/>
      </w:pPr>
      <w:r>
        <w:t>Competência e fundamentação do acionamento</w:t>
      </w:r>
    </w:p>
    <w:p>
      <w:r>
        <w:t>Compete ao Secretário de Estado de Saúde autorizar o acionamento e a configuração da missão, mediante Ordem de Acionamento fundamentada em documentação técnica, análise de risco e avaliação de cenários. A instrução conterá identificação do evento, demanda estimada, capacidade residual da rede, alternativas, justificativa, módulos ou itens, quantidades, dependências, local, prazo, duração, estimativa de custo e disponibilidade contratual e orçamentária. As áreas técnicas, inclusive CIEVS/COES quando envolvidos, subsidiam a decisão. A fiscalização acompanha a execução e não substitui a autorização do Secretário. Ampliação, redução e encerramento serão formalizados com justificativa técnica e decisão do Secretário, preservada a interrupção imediata de atividade insegura pela fiscalização.</w:t>
      </w:r>
    </w:p>
    <w:p>
      <w:pPr>
        <w:pStyle w:val="Heading2"/>
      </w:pPr>
      <w:r>
        <w:t>Medição por configuração e aceite</w:t>
      </w:r>
    </w:p>
    <w:p>
      <w:r>
        <w:t>A medição separará mensalidade N0, serviços efetivamente acionados e aceitos e medicamentos/insumos fornecidos. Cada item terá unidade, quantidade, preço, período, origem e evidência. Suportes compartilhados serão contabilizados uma única vez. Manutenção ordinária, perdas imputáveis à contratada e itens já pagos não gerarão nova cobrança. Para fornecimento exclusivo, não incidem montagem, diária hospitalar ou desmobilização física inexistentes. O aceite será de recebimento dos produtos. Para laboratório isolado ou assistência, aplicam-se comissionamento e liberação compatíveis com a atividade. Preços, glosas e SLAs permanecem sujeitos a pesquisa de mercado e validação antes do edital.</w:t>
      </w:r>
    </w:p>
    <w:p>
      <w:pPr>
        <w:pStyle w:val="Heading1"/>
      </w:pPr>
      <w:r>
        <w:t>1. Preâmbulo</w:t>
      </w:r>
    </w:p>
    <w:p>
      <w:r>
        <w:t>O ESTADO DE MATO GROSSO, por intermédio da SECRETARIA DE ESTADO DE SAÚDE — SES-MT, torna público que realizará procedimento licitatório para contratação da solução descrita neste Edital e em seus anexos, na modalidade, forma, critério de julgamento e regime de execução definidos após a conclusão da instrução processual e aprovação jurídica.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492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Preenchimento antes da publicação</w:t>
            </w:r>
          </w:p>
        </w:tc>
      </w:tr>
      <w:tr>
        <w:trPr/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Processo administrativo</w:t>
            </w:r>
          </w:p>
        </w:tc>
        <w:tc>
          <w:tcPr>
            <w:tcW w:type="dxa" w:w="6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[A DEFINIR]</w:t>
            </w:r>
          </w:p>
        </w:tc>
      </w:tr>
      <w:tr>
        <w:trPr/>
        <w:tc>
          <w:tcPr>
            <w:tcW w:type="dxa" w:w="2835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Modalidade e forma</w:t>
            </w:r>
          </w:p>
        </w:tc>
        <w:tc>
          <w:tcPr>
            <w:tcW w:type="dxa" w:w="6520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[A DEFINIR MEDIANTE NOTA DE CLASSIFICAÇÃO DO OBJETO]</w:t>
            </w:r>
          </w:p>
        </w:tc>
      </w:tr>
      <w:tr>
        <w:trPr/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Critério de julgamento</w:t>
            </w:r>
          </w:p>
        </w:tc>
        <w:tc>
          <w:tcPr>
            <w:tcW w:type="dxa" w:w="6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[A DEFINIR E MOTIVAR]</w:t>
            </w:r>
          </w:p>
        </w:tc>
      </w:tr>
      <w:tr>
        <w:trPr/>
        <w:tc>
          <w:tcPr>
            <w:tcW w:type="dxa" w:w="2835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Modo de disputa</w:t>
            </w:r>
          </w:p>
        </w:tc>
        <w:tc>
          <w:tcPr>
            <w:tcW w:type="dxa" w:w="6520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[A DEFINIR]</w:t>
            </w:r>
          </w:p>
        </w:tc>
      </w:tr>
      <w:tr>
        <w:trPr/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Regime de execução</w:t>
            </w:r>
          </w:p>
        </w:tc>
        <w:tc>
          <w:tcPr>
            <w:tcW w:type="dxa" w:w="6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[A DEFINIR]</w:t>
            </w:r>
          </w:p>
        </w:tc>
      </w:tr>
      <w:tr>
        <w:trPr/>
        <w:tc>
          <w:tcPr>
            <w:tcW w:type="dxa" w:w="2835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 e horário da sessão</w:t>
            </w:r>
          </w:p>
        </w:tc>
        <w:tc>
          <w:tcPr>
            <w:tcW w:type="dxa" w:w="6520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[A DEFINIR]</w:t>
            </w:r>
          </w:p>
        </w:tc>
      </w:tr>
      <w:tr>
        <w:trPr/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Plataforma eletrônica</w:t>
            </w:r>
          </w:p>
        </w:tc>
        <w:tc>
          <w:tcPr>
            <w:tcW w:type="dxa" w:w="6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[A DEFINIR]</w:t>
            </w:r>
          </w:p>
        </w:tc>
      </w:tr>
      <w:tr>
        <w:trPr/>
        <w:tc>
          <w:tcPr>
            <w:tcW w:type="dxa" w:w="2835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Valor estimado e sigilo</w:t>
            </w:r>
          </w:p>
        </w:tc>
        <w:tc>
          <w:tcPr>
            <w:tcW w:type="dxa" w:w="6520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[A DEFINIR NOS TERMOS DA DECISÃO PROCESSUAL]</w:t>
            </w:r>
          </w:p>
        </w:tc>
      </w:tr>
    </w:tbl>
    <w:p>
      <w:pPr>
        <w:spacing w:after="0"/>
      </w:pPr>
    </w:p>
    <w:p>
      <w:pPr>
        <w:pStyle w:val="Heading2"/>
      </w:pPr>
      <w:r>
        <w:t>1.1 Base normativa</w:t>
      </w:r>
    </w:p>
    <w:p>
      <w:r>
        <w:t>Aplicam-se, no que couber e em suas versões vigentes, a Lei Federal nº 14.133/2021, a Lei nº 8.080/1990, a Lei nº 12.608/2012, a Lei nº 13.709/2018, a Lei Complementar nº 123/2006, o Decreto Estadual nº 1.525/2022, as normas estaduais correlatas, as normas sanitárias e profissionais aplicáveis e os documentos técnicos integrantes dos autos.</w:t>
      </w:r>
    </w:p>
    <w:p>
      <w:pPr>
        <w:pStyle w:val="LegalAlert"/>
      </w:pPr>
      <w:r>
        <w:t>Normas técnicas e atos administrativos somente deverão ser nominados no texto final após conferência de vigência, aplicabilidade e conteúdo pela unidade competente. Referências não verificadas deverão ser excluídas ou juntadas integralmente aos autos.</w:t>
      </w:r>
    </w:p>
    <w:p>
      <w:pPr>
        <w:pStyle w:val="Heading2"/>
      </w:pPr>
      <w:r>
        <w:t>1.2 Documentos integrantes e ordem de prevalência</w:t>
      </w:r>
    </w:p>
    <w:p>
      <w:r>
        <w:t>Integram o certame o Edital, o Termo de Referência, o ETP, a minuta contratual e os demais anexos. A versão final deverá estabelecer ordem de prevalência entre documentos e procedimento objetivo para sanar divergências, sem permitir alteração material do objeto após a publicação.</w:t>
      </w:r>
    </w:p>
    <w:p>
      <w:pPr>
        <w:pStyle w:val="Heading1"/>
      </w:pPr>
      <w:r>
        <w:t>2. Objeto</w:t>
      </w:r>
    </w:p>
    <w:p>
      <w:r>
        <w:t>Contratação de solução integrada, modular, escalável e mobilizável para prontidão, transporte, implantação, operação técnica, manutenção e desmobilização de Unidade Hospitalar Modular de Resposta a Emergências — UHMR, incluindo infraestrutura física temporária, equipamentos médico-hospitalares, mobiliário, energia, climatização, gases medicinais, água e saneamento, telecomunicações, tecnologia da informação, conectividade satelital, logística e apoio operacional e, quando expressamente acionadas, equipes e insumos, destinada a emergências em saúde pública, desastres, incidentes com múltiplas vítimas, interrupção de serviços hospitalares e desassistência territorial.</w:t>
      </w:r>
    </w:p>
    <w:p>
      <w:r>
        <w:t>O objeto será medido por disponibilidade, capacidade entregue e desempenho. A descrição definitiva dos módulos, quantitativos, interfaces, exclusões e responsabilidades constará do Termo de Referência e de suas matrizes.</w:t>
      </w:r>
    </w:p>
    <w:p>
      <w:pPr>
        <w:pStyle w:val="Heading2"/>
      </w:pPr>
      <w:r>
        <w:t>2.1 Escopo do ciclo de vida</w:t>
      </w:r>
    </w:p>
    <w:p>
      <w:pPr>
        <w:pStyle w:val="ListBullet"/>
        <w:ind w:left="312" w:hanging="142"/>
      </w:pPr>
      <w:r>
        <w:t>prontidão, armazenagem, inventário, manutenção, calibração e testes periódicos;</w:t>
      </w:r>
    </w:p>
    <w:p>
      <w:pPr>
        <w:pStyle w:val="ListBullet"/>
        <w:ind w:left="312" w:hanging="142"/>
      </w:pPr>
      <w:r>
        <w:t>reconhecimento do sítio, planejamento de missão e mobilização;</w:t>
      </w:r>
    </w:p>
    <w:p>
      <w:pPr>
        <w:pStyle w:val="ListBullet"/>
        <w:ind w:left="312" w:hanging="142"/>
      </w:pPr>
      <w:r>
        <w:t>transporte, descarga, implantação, ancoragem, montagem e comissionamento;</w:t>
      </w:r>
    </w:p>
    <w:p>
      <w:pPr>
        <w:pStyle w:val="ListBullet"/>
        <w:ind w:left="312" w:hanging="142"/>
      </w:pPr>
      <w:r>
        <w:t>sustentação das utilidades críticas, telecomunicações, TI e apoio logístico;</w:t>
      </w:r>
    </w:p>
    <w:p>
      <w:pPr>
        <w:pStyle w:val="ListBullet"/>
        <w:ind w:left="312" w:hanging="142"/>
      </w:pPr>
      <w:r>
        <w:t>manutenção preventiva e corretiva, reposição e continuidade operacional;</w:t>
      </w:r>
    </w:p>
    <w:p>
      <w:pPr>
        <w:pStyle w:val="ListBullet"/>
        <w:ind w:left="312" w:hanging="142"/>
      </w:pPr>
      <w:r>
        <w:t>expansão ou retração modular conforme ordem da SES-MT;</w:t>
      </w:r>
    </w:p>
    <w:p>
      <w:pPr>
        <w:pStyle w:val="ListBullet"/>
        <w:ind w:left="312" w:hanging="142"/>
      </w:pPr>
      <w:r>
        <w:t>desmobilização, descontaminação, transporte de retorno, recomposição do estoque e relatório pós-ação.</w:t>
      </w:r>
    </w:p>
    <w:p>
      <w:pPr>
        <w:pStyle w:val="Heading2"/>
      </w:pPr>
      <w:r>
        <w:t>2.2 Níveis de ativação compatibilizados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465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Nível</w:t>
            </w:r>
          </w:p>
        </w:tc>
        <w:tc>
          <w:tcPr>
            <w:tcW w:type="dxa" w:w="2465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Cenário e capacidade indicativa</w:t>
            </w:r>
          </w:p>
        </w:tc>
        <w:tc>
          <w:tcPr>
            <w:tcW w:type="dxa" w:w="2465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Componentes mínimos</w:t>
            </w:r>
          </w:p>
        </w:tc>
        <w:tc>
          <w:tcPr>
            <w:tcW w:type="dxa" w:w="2465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Meta de implantação*</w:t>
            </w:r>
          </w:p>
        </w:tc>
      </w:tr>
      <w:tr>
        <w:trPr/>
        <w:tc>
          <w:tcPr>
            <w:tcW w:type="dxa" w:w="1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N0 — Prontidão</w:t>
            </w:r>
          </w:p>
        </w:tc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Sem emergência ativa; capacidade contratada disponível conforme índice de prontidão</w:t>
            </w:r>
          </w:p>
        </w:tc>
        <w:tc>
          <w:tcPr>
            <w:tcW w:type="dxa" w:w="32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Armazenagem, inventário, manutenção, testes, treinamento, simulação e reposição</w:t>
            </w:r>
          </w:p>
        </w:tc>
        <w:tc>
          <w:tcPr>
            <w:tcW w:type="dxa" w:w="136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Permanente</w:t>
            </w:r>
          </w:p>
        </w:tc>
      </w:tr>
      <w:tr>
        <w:trPr/>
        <w:tc>
          <w:tcPr>
            <w:tcW w:type="dxa" w:w="1304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N1 — Resposta rápida</w:t>
            </w:r>
          </w:p>
        </w:tc>
        <w:tc>
          <w:tcPr>
            <w:tcW w:type="dxa" w:w="3175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Evento localizado; 2–4 posições críticas e 6–12 de observação</w:t>
            </w:r>
          </w:p>
        </w:tc>
        <w:tc>
          <w:tcPr>
            <w:tcW w:type="dxa" w:w="3288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Comando, triagem, estabilização, consultas, farmácia, POC e apoio</w:t>
            </w:r>
          </w:p>
        </w:tc>
        <w:tc>
          <w:tcPr>
            <w:tcW w:type="dxa" w:w="1361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6–12 h</w:t>
            </w:r>
          </w:p>
        </w:tc>
      </w:tr>
      <w:tr>
        <w:trPr/>
        <w:tc>
          <w:tcPr>
            <w:tcW w:type="dxa" w:w="1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N2 — Assistência ampliada</w:t>
            </w:r>
          </w:p>
        </w:tc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Sobrecarga local/regional; 12–20 leitos e 4 posições críticas</w:t>
            </w:r>
          </w:p>
        </w:tc>
        <w:tc>
          <w:tcPr>
            <w:tcW w:type="dxa" w:w="32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Módulos selecionáveis de internação, laboratório, imagem e isolamento</w:t>
            </w:r>
          </w:p>
        </w:tc>
        <w:tc>
          <w:tcPr>
            <w:tcW w:type="dxa" w:w="136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Até 18 h</w:t>
            </w:r>
          </w:p>
        </w:tc>
      </w:tr>
      <w:tr>
        <w:trPr/>
        <w:tc>
          <w:tcPr>
            <w:tcW w:type="dxa" w:w="1304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N3 — Hospital modular</w:t>
            </w:r>
          </w:p>
        </w:tc>
        <w:tc>
          <w:tcPr>
            <w:tcW w:type="dxa" w:w="3175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Desastre regional ou hospital comprometido; 18–30 leitos, 4 posições críticas e 1 sala cirúrgica</w:t>
            </w:r>
          </w:p>
        </w:tc>
        <w:tc>
          <w:tcPr>
            <w:tcW w:type="dxa" w:w="3288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Estrutura funcional de referência EMT Tipo 2, CME, imagem, POC e WASH</w:t>
            </w:r>
          </w:p>
        </w:tc>
        <w:tc>
          <w:tcPr>
            <w:tcW w:type="dxa" w:w="1361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Até 24 h</w:t>
            </w:r>
          </w:p>
        </w:tc>
      </w:tr>
      <w:tr>
        <w:trPr/>
        <w:tc>
          <w:tcPr>
            <w:tcW w:type="dxa" w:w="1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N4 — Expansão</w:t>
            </w:r>
          </w:p>
        </w:tc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Catástrofe ou substituição prolongada; total de 40–100 leitos, conforme configuração</w:t>
            </w:r>
          </w:p>
        </w:tc>
        <w:tc>
          <w:tcPr>
            <w:tcW w:type="dxa" w:w="32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Módulos selecionáveis: leitos, segunda sala cirúrgica, cuidados intensivos e especialidades, quando acionados</w:t>
            </w:r>
          </w:p>
        </w:tc>
        <w:tc>
          <w:tcPr>
            <w:tcW w:type="dxa" w:w="136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36–48 h</w:t>
            </w:r>
          </w:p>
        </w:tc>
      </w:tr>
    </w:tbl>
    <w:p>
      <w:pPr>
        <w:spacing w:after="0"/>
      </w:pPr>
    </w:p>
    <w:p>
      <w:r>
        <w:rPr>
          <w:color w:val="666666"/>
        </w:rPr>
        <w:t>* A contagem deverá separar confirmação, planejamento, deslocamento, montagem e comissionamento. A meta de implantação será medida após a chegada da carga ao sítio formalmente liberado, ressalvados os eventos alocados à Administração na matriz de riscos.</w:t>
      </w:r>
    </w:p>
    <w:p>
      <w:pPr>
        <w:pStyle w:val="Heading2"/>
      </w:pPr>
      <w:r>
        <w:t>2.3 Requisitos funcionais estruturantes</w:t>
      </w:r>
    </w:p>
    <w:p>
      <w:pPr>
        <w:pStyle w:val="ListBullet"/>
        <w:ind w:left="312" w:hanging="142"/>
      </w:pPr>
      <w:r>
        <w:t>arquitetura modular que permita expansão e retração sem interrupção indevida da assistência;</w:t>
      </w:r>
    </w:p>
    <w:p>
      <w:pPr>
        <w:pStyle w:val="ListBullet"/>
        <w:ind w:left="312" w:hanging="142"/>
      </w:pPr>
      <w:r>
        <w:t>energia com redundância N+1 para cargas críticas, UPS para equipamentos vitais e plano de combustível;</w:t>
      </w:r>
    </w:p>
    <w:p>
      <w:pPr>
        <w:pStyle w:val="ListBullet"/>
        <w:ind w:left="312" w:hanging="142"/>
      </w:pPr>
      <w:r>
        <w:t>climatização dimensionada por ambiente; pressão negativa apenas nos módulos e cenários em que for exigida;</w:t>
      </w:r>
    </w:p>
    <w:p>
      <w:pPr>
        <w:pStyle w:val="ListBullet"/>
        <w:ind w:left="312" w:hanging="142"/>
      </w:pPr>
      <w:r>
        <w:t>gases medicinais dimensionados para a carga máxima ativada, com fonte e reserva;</w:t>
      </w:r>
    </w:p>
    <w:p>
      <w:pPr>
        <w:pStyle w:val="ListBullet"/>
        <w:ind w:left="312" w:hanging="142"/>
      </w:pPr>
      <w:r>
        <w:t>WASH com água segura, lavatórios, sanitários, efluentes e controle de qualidade;</w:t>
      </w:r>
    </w:p>
    <w:p>
      <w:pPr>
        <w:pStyle w:val="ListBullet"/>
        <w:ind w:left="312" w:hanging="142"/>
      </w:pPr>
      <w:r>
        <w:t>comunicações em camadas: satélite, rede móvel de mais de uma operadora quando disponível e rádio compatível com a governança local;</w:t>
      </w:r>
    </w:p>
    <w:p>
      <w:pPr>
        <w:pStyle w:val="ListBullet"/>
        <w:ind w:left="312" w:hanging="142"/>
      </w:pPr>
      <w:r>
        <w:t>rede clínica segregada, segurança cibernética, registros, disponibilidade e proteção de dados;</w:t>
      </w:r>
    </w:p>
    <w:p>
      <w:pPr>
        <w:pStyle w:val="ListBullet"/>
        <w:ind w:left="312" w:hanging="142"/>
      </w:pPr>
      <w:r>
        <w:t>metrologia com rastreabilidade adequada; acreditação RBC quando aplicável ao serviço e à grandeza;</w:t>
      </w:r>
    </w:p>
    <w:p>
      <w:pPr>
        <w:pStyle w:val="ListBullet"/>
        <w:ind w:left="312" w:hanging="142"/>
      </w:pPr>
      <w:r>
        <w:t>equipamentos críticos com contingência e manutenção durante a missão;</w:t>
      </w:r>
    </w:p>
    <w:p>
      <w:pPr>
        <w:pStyle w:val="ListBullet"/>
        <w:ind w:left="312" w:hanging="142"/>
      </w:pPr>
      <w:r>
        <w:t>acessibilidade, segurança contra incêndio, fluxos assistenciais e controle de infecção.</w:t>
      </w:r>
    </w:p>
    <w:p>
      <w:pPr>
        <w:pStyle w:val="Heading2"/>
      </w:pPr>
      <w:r>
        <w:t>2.4 Exclusões e interfaces a definir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492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Definição obrigatória no TR</w:t>
            </w:r>
          </w:p>
        </w:tc>
      </w:tr>
      <w:tr>
        <w:trPr/>
        <w:tc>
          <w:tcPr>
            <w:tcW w:type="dxa" w:w="492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Assistência clínica</w:t>
            </w:r>
          </w:p>
        </w:tc>
        <w:tc>
          <w:tcPr>
            <w:tcW w:type="dxa" w:w="492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 haverá equipes completas, apenas núcleo técnico ou acionamento opcional; dimensionamento por turno e responsabilidade sanitária</w:t>
            </w:r>
          </w:p>
        </w:tc>
      </w:tr>
      <w:tr>
        <w:trPr/>
        <w:tc>
          <w:tcPr>
            <w:tcW w:type="dxa" w:w="4929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Medicamentos e insumos</w:t>
            </w:r>
          </w:p>
        </w:tc>
        <w:tc>
          <w:tcPr>
            <w:tcW w:type="dxa" w:w="4929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Kits por perfil e período, ou por item isolado, política de fornecimento, rastreabilidade, validade e reposição</w:t>
            </w:r>
          </w:p>
        </w:tc>
      </w:tr>
      <w:tr>
        <w:trPr/>
        <w:tc>
          <w:tcPr>
            <w:tcW w:type="dxa" w:w="492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Regulação e prontuário</w:t>
            </w:r>
          </w:p>
        </w:tc>
        <w:tc>
          <w:tcPr>
            <w:tcW w:type="dxa" w:w="492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Sistema utilizado, integração, perfis de acesso, contingência offline e guarda de dados</w:t>
            </w:r>
          </w:p>
        </w:tc>
      </w:tr>
      <w:tr>
        <w:trPr/>
        <w:tc>
          <w:tcPr>
            <w:tcW w:type="dxa" w:w="4929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LACEN-MT e redes estaduais</w:t>
            </w:r>
          </w:p>
        </w:tc>
        <w:tc>
          <w:tcPr>
            <w:tcW w:type="dxa" w:w="4929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Interfaces possíveis, governança, requisitos de interoperabilidade e limites de responsabilidade</w:t>
            </w:r>
          </w:p>
        </w:tc>
      </w:tr>
      <w:tr>
        <w:trPr/>
        <w:tc>
          <w:tcPr>
            <w:tcW w:type="dxa" w:w="492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Segurança pública</w:t>
            </w:r>
          </w:p>
        </w:tc>
        <w:tc>
          <w:tcPr>
            <w:tcW w:type="dxa" w:w="492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Perímetro, controle de acesso, escolta e coordenação com Defesa Civil e forças de segurança</w:t>
            </w:r>
          </w:p>
        </w:tc>
      </w:tr>
      <w:tr>
        <w:trPr/>
        <w:tc>
          <w:tcPr>
            <w:tcW w:type="dxa" w:w="4929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Obras preparatórias</w:t>
            </w:r>
          </w:p>
        </w:tc>
        <w:tc>
          <w:tcPr>
            <w:tcW w:type="dxa" w:w="4929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Terraplenagem, drenagem, acessos, ligações e responsabilidade pelo sítio</w:t>
            </w:r>
          </w:p>
        </w:tc>
      </w:tr>
    </w:tbl>
    <w:p>
      <w:pPr>
        <w:spacing w:after="0"/>
      </w:pPr>
    </w:p>
    <w:p>
      <w:pPr>
        <w:pStyle w:val="Heading1"/>
      </w:pPr>
      <w:r>
        <w:t>3. Modelo de contratação e parcelamento</w:t>
      </w:r>
    </w:p>
    <w:p>
      <w:r>
        <w:t>A hipótese técnica preferencial é um lote funcional integrado, com responsabilidade única pelo desempenho e preços unitários dos módulos e eventos. A adoção de lote único, lotes agrupados ou itens separados dependerá de estudo de mercado, avaliação da competitividade, divisibilidade técnica e riscos de interface.</w:t>
      </w:r>
    </w:p>
    <w:p>
      <w:pPr>
        <w:pStyle w:val="LegalAlert"/>
      </w:pPr>
      <w:r>
        <w:t>A minuta final não deverá fixar sete lotes, base logística em local exclusivo ou dupla constelação satelital sem demonstração de necessidade, proporcionalidade e oferta de mercado. Requisitos territoriais deverão privilegiar o resultado — tempo de resposta e disponibilidade — permitindo que a contratada estabeleça a estrutura necessária até o início da execução.</w:t>
      </w:r>
    </w:p>
    <w:p>
      <w:pPr>
        <w:pStyle w:val="Heading2"/>
      </w:pPr>
      <w:r>
        <w:t>3.1 Modelo econômico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328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Unidade de medição indicativa</w:t>
            </w:r>
          </w:p>
        </w:tc>
        <w:tc>
          <w:tcPr>
            <w:tcW w:type="dxa" w:w="328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Gatilho de pagamento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A. Prontidão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R$/mês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Disponibilidade comprovada, inventário e testes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B. Mobilização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R$/acionamento por configuração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Ordem de Acionamento e início validado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C. Transporte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Faixa de distância, rota ou km validado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Deslocamento efetivo e rastreado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D. Instalação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R$/nível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Comissionamento e TLO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E. Operação técnica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R$/dia por módulo acionado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Capacidade operacional disponível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F. Equipe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Pacote/24 h por perfil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Escala cumprida e registros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G. Consumo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Kit/dia ou consumo aferido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Entrega/uso e rastreabilidade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H. Expansão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Módulo adicional/dia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Módulo aceito e operacional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I. Desmobilização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R$/evento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Retirada, recomposição e aceite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J. Treinamento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R$/evento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Exercício realizado e avaliado</w:t>
            </w:r>
          </w:p>
        </w:tc>
      </w:tr>
    </w:tbl>
    <w:p>
      <w:pPr>
        <w:spacing w:after="0"/>
      </w:pPr>
    </w:p>
    <w:p>
      <w:pPr>
        <w:pStyle w:val="Heading1"/>
      </w:pPr>
      <w:r>
        <w:t>4. Condições de participação</w:t>
      </w:r>
    </w:p>
    <w:p>
      <w:r>
        <w:t>Poderão participar pessoas jurídicas cujo ramo seja compatível com o objeto e que atendam às exigências do Edital. A participação em consórcio será admitida, salvo decisão motivada em sentido contrário, considerando a natureza multidisciplinar da solução.</w:t>
      </w:r>
    </w:p>
    <w:p>
      <w:pPr>
        <w:pStyle w:val="Heading2"/>
      </w:pPr>
      <w:r>
        <w:t>4.1 Consórcios</w:t>
      </w:r>
    </w:p>
    <w:p>
      <w:pPr>
        <w:pStyle w:val="ListBullet"/>
        <w:ind w:left="312" w:hanging="142"/>
      </w:pPr>
      <w:r>
        <w:t>compromisso de constituição, indicação da líder e discriminação das responsabilidades;</w:t>
      </w:r>
    </w:p>
    <w:p>
      <w:pPr>
        <w:pStyle w:val="ListBullet"/>
        <w:ind w:left="312" w:hanging="142"/>
      </w:pPr>
      <w:r>
        <w:t>responsabilidade solidária dos integrantes pelos atos da licitação e da execução;</w:t>
      </w:r>
    </w:p>
    <w:p>
      <w:pPr>
        <w:pStyle w:val="ListBullet"/>
        <w:ind w:left="312" w:hanging="142"/>
      </w:pPr>
      <w:r>
        <w:t>proibição de participação simultânea isolada e em mais de um consórcio no mesmo certame;</w:t>
      </w:r>
    </w:p>
    <w:p>
      <w:pPr>
        <w:pStyle w:val="ListBullet"/>
        <w:ind w:left="312" w:hanging="142"/>
      </w:pPr>
      <w:r>
        <w:t>requisitos econômico-financeiros e eventual acréscimo nos limites legais, conforme regra motivada;</w:t>
      </w:r>
    </w:p>
    <w:p>
      <w:pPr>
        <w:pStyle w:val="ListBullet"/>
        <w:ind w:left="312" w:hanging="142"/>
      </w:pPr>
      <w:r>
        <w:t>limite de integrantes somente se demonstrada sua necessidade e adequação ao mercado.</w:t>
      </w:r>
    </w:p>
    <w:p>
      <w:pPr>
        <w:pStyle w:val="Heading2"/>
      </w:pPr>
      <w:r>
        <w:t>4.2 ME/EPP</w:t>
      </w:r>
    </w:p>
    <w:p>
      <w:r>
        <w:t>Serão observados os benefícios da Lei Complementar nº 123/2006. A eventual não aplicação de cota reservada deverá resultar de análise específica sobre divisibilidade, mercado fornecedor, vantajosidade e risco de prejuízo ao conjunto integrado; o valor ou a complexidade, isoladamente, não constituem motivação suficiente.</w:t>
      </w:r>
    </w:p>
    <w:p>
      <w:pPr>
        <w:pStyle w:val="Heading2"/>
      </w:pPr>
      <w:r>
        <w:t>4.3 Vedações e declarações</w:t>
      </w:r>
    </w:p>
    <w:p>
      <w:r>
        <w:t>Aplicam-se as vedações da Lei nº 14.133/2021 e as exigências do modelo estadual vigente. As declarações serão consolidadas em anexo padronizado, evitando duplicidade e exigências sem base legal.</w:t>
      </w:r>
    </w:p>
    <w:p>
      <w:pPr>
        <w:pStyle w:val="Heading1"/>
      </w:pPr>
      <w:r>
        <w:t>5. Habilitação</w:t>
      </w:r>
    </w:p>
    <w:p>
      <w:r>
        <w:t>A habilitação compreenderá os requisitos jurídicos, fiscais, sociais, trabalhistas, técnicos e econômico-financeiros estritamente necessários à garantia do cumprimento do objeto, observando proporcionalidade, competitividade e possibilidade de diligência nos limites legais.</w:t>
      </w:r>
    </w:p>
    <w:p>
      <w:pPr>
        <w:pStyle w:val="Heading2"/>
      </w:pPr>
      <w:r>
        <w:t>5.1 Qualificação técnica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Eixo</w:t>
            </w:r>
          </w:p>
        </w:tc>
        <w:tc>
          <w:tcPr>
            <w:tcW w:type="dxa" w:w="328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Comprovação proposta</w:t>
            </w:r>
          </w:p>
        </w:tc>
        <w:tc>
          <w:tcPr>
            <w:tcW w:type="dxa" w:w="328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Cuidado de proporcionalidade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Integração e implantação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Atestados de solução modular temporária de saúde ou complexidade equivalente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Definir parcelas relevantes; admitir somatório quando tecnicamente cabível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Logística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Mobilização, transporte e implantação em ambiente remoto ou de contingência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Exigir capacidade, não propriedade prévia de frota/base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Utilidades críticas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Energia, HVAC, gases, água/saneamento e telecomunicações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Aceitar atestados complementares do consórcio/subcontratados autorizados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Responsabilidade técnica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Registros e profissionais legalmente habilitados conforme cada disciplina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Não exigir conselho profissional sem pertinência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Capacidade quantitativa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Até o limite legal e sobre parcelas de maior relevância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Fixar percentual somente após justificativa técnica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Equipe pontuada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Compromisso e vínculo admitido em lei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 pontuada, assegurar participação direta e pessoal na execução</w:t>
            </w:r>
          </w:p>
        </w:tc>
      </w:tr>
    </w:tbl>
    <w:p>
      <w:pPr>
        <w:spacing w:after="0"/>
      </w:pPr>
    </w:p>
    <w:p>
      <w:pPr>
        <w:pStyle w:val="LegalAlert"/>
      </w:pPr>
      <w:r>
        <w:t>A apresentação de CAT não deve ser exigida indistintamente para atestados técnico-operacionais da pessoa jurídica. O instrumento final distinguirá capacidade técnico-profissional e técnico-operacional conforme a natureza de cada parcela.</w:t>
      </w:r>
    </w:p>
    <w:p>
      <w:pPr>
        <w:pStyle w:val="Heading2"/>
      </w:pPr>
      <w:r>
        <w:t>5.2 Qualificação econômico-financeira</w:t>
      </w:r>
    </w:p>
    <w:p>
      <w:r>
        <w:t>Os índices e valores serão definidos após análise de risco e prática de mercado, com justificativa nos autos. As fórmulas serão apresentadas em texto legível:</w:t>
      </w:r>
    </w:p>
    <w:p>
      <w:pPr>
        <w:pStyle w:val="ListBullet"/>
        <w:ind w:left="312" w:hanging="142"/>
      </w:pPr>
      <w:r>
        <w:t>Liquidez Geral (LG) = (Ativo Circulante + Realizável a Longo Prazo) ÷ (Passivo Circulante + Passivo Não Circulante).</w:t>
      </w:r>
    </w:p>
    <w:p>
      <w:pPr>
        <w:pStyle w:val="ListBullet"/>
        <w:ind w:left="312" w:hanging="142"/>
      </w:pPr>
      <w:r>
        <w:t>Liquidez Corrente (LC) = Ativo Circulante ÷ Passivo Circulante.</w:t>
      </w:r>
    </w:p>
    <w:p>
      <w:pPr>
        <w:pStyle w:val="ListBullet"/>
        <w:ind w:left="312" w:hanging="142"/>
      </w:pPr>
      <w:r>
        <w:t>Solvência Geral (SG) = Ativo Total ÷ (Passivo Circulante + Passivo Não Circulante).</w:t>
      </w:r>
    </w:p>
    <w:p>
      <w:r>
        <w:t>Os valores mínimos, o patrimônio líquido e eventual garantia de proposta permanecerão [A DEFINIR], dentro dos limites legais e mediante justificativa. Não deverão ser acumulados de modo a restringir indevidamente a competição.</w:t>
      </w:r>
    </w:p>
    <w:p>
      <w:pPr>
        <w:pStyle w:val="Heading1"/>
      </w:pPr>
      <w:r>
        <w:t>6. Propostas e julgamento</w:t>
      </w:r>
    </w:p>
    <w:p>
      <w:r>
        <w:t>O critério de julgamento somente será fechado após a classificação do objeto. Se os padrões de desempenho e qualidade puderem ser objetivamente definidos por especificações usuais de mercado, a área competente deverá avaliar a modalidade e o critério próprios dos bens e serviços comuns. A adoção de técnica e preço exigirá motivação específica no ETP, demonstração de que a qualidade técnica produz variações relevantes e critérios objetivos de pontuação.</w:t>
      </w:r>
    </w:p>
    <w:p>
      <w:pPr>
        <w:pStyle w:val="Heading2"/>
      </w:pPr>
      <w:r>
        <w:t>6.1 Caminhos possíveis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Hipótese</w:t>
            </w:r>
          </w:p>
        </w:tc>
        <w:tc>
          <w:tcPr>
            <w:tcW w:type="dxa" w:w="328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Condição</w:t>
            </w:r>
          </w:p>
        </w:tc>
        <w:tc>
          <w:tcPr>
            <w:tcW w:type="dxa" w:w="328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Estrutura de julgamento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Menor preço/maior desconto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Objeto classificado como comum e requisitos mínimos plenamente objetiváveis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Conformidade técnica eliminatória + disputa econômica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Técnica e preço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ETP demonstra variação técnica relevante e enquadramento legal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Nota técnica objetiva + nota de preço, com pesos motivados e limite legal</w:t>
            </w:r>
          </w:p>
        </w:tc>
      </w:tr>
    </w:tbl>
    <w:p>
      <w:pPr>
        <w:spacing w:after="0"/>
      </w:pPr>
    </w:p>
    <w:p>
      <w:pPr>
        <w:pStyle w:val="Heading2"/>
      </w:pPr>
      <w:r>
        <w:t>6.2 Prova de conceito e testes</w:t>
      </w:r>
    </w:p>
    <w:p>
      <w:r>
        <w:t>Quando prevista, a prova de conceito será aplicada ao licitante provisoriamente classificado em primeiro lugar, com roteiro, infraestrutura, prazos, critérios binários, hipóteses de repetição e consequências previamente divulgados. O teste poderá abranger montagem parcial representativa, energia, climatização, gases, conectividade, rastreabilidade e fluxo assistencial simulado. O SAT realizado em missão não substitui a prova de conceito pré-contratual quando esta for necessária à seleção.</w:t>
      </w:r>
    </w:p>
    <w:p>
      <w:pPr>
        <w:pStyle w:val="Heading2"/>
      </w:pPr>
      <w:r>
        <w:t>6.3 Técnica e preço — cláusula condicional</w:t>
      </w:r>
    </w:p>
    <w:p>
      <w:r>
        <w:t>Se aprovado esse critério, a Nota Final poderá adotar a expressão NF = (NT × peso técnico) + (NP × peso de preço), com notas e pesos definidos no Edital. A nota de preço poderá ser normalizada por NP = (menor preço válido ÷ preço da proposta) × 100. O modelo deverá testar sensibilidade, evitar pontuação subjetiva e impedir dupla valorização de requisito já usado para habilitação.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Dimensão técnica possível</w:t>
            </w:r>
          </w:p>
        </w:tc>
        <w:tc>
          <w:tcPr>
            <w:tcW w:type="dxa" w:w="328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Forma objetiva de comprovação</w:t>
            </w:r>
          </w:p>
        </w:tc>
        <w:tc>
          <w:tcPr>
            <w:tcW w:type="dxa" w:w="328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Regra de controle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Plano de mobilização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Tempos, recursos, rotas, redundâncias e simulação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Pontuar apenas desempenho acima do mínimo que gere benefício mensurável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Confiabilidade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Arquitetura, estoque crítico, manutenção e contingência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Sem marca direcionada ou tecnologia proprietária injustificada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Equipe-chave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Experiência pertinente e disponibilidade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Participação direta dos profissionais pontuados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Biossegurança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Fluxos, isolamento, PGRSS e protocolos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Critérios verificáveis e alinhados ao cenário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Interoperabilidade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Plano de integração, segurança e contingência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Dependente das interfaces oficialmente disponibilizadas</w:t>
            </w:r>
          </w:p>
        </w:tc>
      </w:tr>
    </w:tbl>
    <w:p>
      <w:pPr>
        <w:spacing w:after="0"/>
      </w:pPr>
    </w:p>
    <w:p>
      <w:pPr>
        <w:pStyle w:val="Heading2"/>
      </w:pPr>
      <w:r>
        <w:t>6.4 Desempate, negociação e recursos</w:t>
      </w:r>
    </w:p>
    <w:p>
      <w:r>
        <w:t>Os critérios de desempate observarão a ordem vigente do art. 60 da Lei nº 14.133/2021, sem substituição por critérios próprios. Os benefícios de empate ficto de ME/EPP serão aplicados na etapa legalmente adequada. Negociação, diligências e recursos seguirão a Lei, o Decreto Estadual nº 1.525/2022 e o modelo estadual vigente.</w:t>
      </w:r>
    </w:p>
    <w:p>
      <w:pPr>
        <w:pStyle w:val="Heading1"/>
      </w:pPr>
      <w:r>
        <w:t>7. Execução e mobilização</w:t>
      </w:r>
    </w:p>
    <w:p>
      <w:pPr>
        <w:pStyle w:val="Heading2"/>
      </w:pPr>
      <w:r>
        <w:t>7.1 Relógios contratuais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Marco</w:t>
            </w:r>
          </w:p>
        </w:tc>
        <w:tc>
          <w:tcPr>
            <w:tcW w:type="dxa" w:w="328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Meta indicativa</w:t>
            </w:r>
          </w:p>
        </w:tc>
        <w:tc>
          <w:tcPr>
            <w:tcW w:type="dxa" w:w="328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Evidência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Confirmação da Ordem de Acionamento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Até 15 min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Registro eletrônico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Contato com gestor da missão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Até 30 min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Ata/registro de comunicação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Plano de mobilização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Até 2 h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Plano aprovado ou ressalvado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Primeiros recursos em deslocamento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Até 6 h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Telemetria/manifesto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N1 operacional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Até 12 h após condições contratuais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TLO parcial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N2 operacional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Até 18 h após chegada ao sítio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TLO do nível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N3 operacional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Até 24 h após chegada ao sítio liberado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TLO do nível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N4 operacional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36–48 h conforme configuração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TLO de expansão</w:t>
            </w:r>
          </w:p>
        </w:tc>
      </w:tr>
    </w:tbl>
    <w:p>
      <w:pPr>
        <w:spacing w:after="0"/>
      </w:pPr>
    </w:p>
    <w:p>
      <w:pPr>
        <w:pStyle w:val="Heading2"/>
      </w:pPr>
      <w:r>
        <w:t>7.2 Reconhecimento e liberação do sítio</w:t>
      </w:r>
    </w:p>
    <w:p>
      <w:r>
        <w:t>A SES-MT e a contratada elaborarão relatório de avaliação do local contendo coordenadas, acessos, área útil, drenagem, riscos, segurança, energia, água, comunicações, fluxo de ambulâncias, resíduos, referência hospitalar e condicionantes. O início dos prazos dependentes do sítio será formalmente registrado.</w:t>
      </w:r>
    </w:p>
    <w:p>
      <w:pPr>
        <w:pStyle w:val="Heading2"/>
      </w:pPr>
      <w:r>
        <w:t>7.3 Comissionamento e TLO</w:t>
      </w:r>
    </w:p>
    <w:p>
      <w:r>
        <w:t>A abertura assistencial dependerá de testes documentados de estrutura, energia, transferência, UPS, iluminação, HVAC, gases, pressão diferencial quando aplicável, equipamentos, água, efluentes, incêndio, comunicação, TI, farmácia e fluxos. O TLO será emitido pela fiscalização e pelo responsável técnico, sem transferir à Administração a responsabilidade da contratada.</w:t>
      </w:r>
    </w:p>
    <w:p>
      <w:pPr>
        <w:pStyle w:val="Heading2"/>
      </w:pPr>
      <w:r>
        <w:t>7.4 Prontidão e manutenção</w:t>
      </w:r>
    </w:p>
    <w:p>
      <w:r>
        <w:t>O N0 compreenderá inventário, conservação, testes, manutenção, atualização, calibração, conectividade, controle de validade e exercícios. O índice de disponibilidade será definido por módulo e não implicará, automaticamente, dedicação exclusiva de 100% de todos os ativos, salvo se a análise de mercado e o orçamento demonstrarem que essa reserva é necessária e economicamente adequada.</w:t>
      </w:r>
    </w:p>
    <w:p>
      <w:pPr>
        <w:pStyle w:val="Heading2"/>
      </w:pPr>
      <w:r>
        <w:t>7.5 Desmobilização</w:t>
      </w:r>
    </w:p>
    <w:p>
      <w:pPr>
        <w:pStyle w:val="ListNumber"/>
        <w:ind w:left="369" w:hanging="159"/>
      </w:pPr>
      <w:r>
        <w:t>redução progressiva e suspensão coordenada de novos atendimentos;</w:t>
      </w:r>
    </w:p>
    <w:p>
      <w:pPr>
        <w:pStyle w:val="ListNumber"/>
        <w:ind w:left="369" w:hanging="159"/>
      </w:pPr>
      <w:r>
        <w:t>transferência ou alta segura dos pacientes;</w:t>
      </w:r>
    </w:p>
    <w:p>
      <w:pPr>
        <w:pStyle w:val="ListNumber"/>
        <w:ind w:left="369" w:hanging="159"/>
      </w:pPr>
      <w:r>
        <w:t>inventário, descontaminação, gestão de resíduos e encerramento de registros;</w:t>
      </w:r>
    </w:p>
    <w:p>
      <w:pPr>
        <w:pStyle w:val="ListNumber"/>
        <w:ind w:left="369" w:hanging="159"/>
      </w:pPr>
      <w:r>
        <w:t>desmontagem, acondicionamento, transporte e recomposição do sítio;</w:t>
      </w:r>
    </w:p>
    <w:p>
      <w:pPr>
        <w:pStyle w:val="ListNumber"/>
        <w:ind w:left="369" w:hanging="159"/>
      </w:pPr>
      <w:r>
        <w:t>manutenção pós-missão, reposição de estoque e restabelecimento do N0;</w:t>
      </w:r>
    </w:p>
    <w:p>
      <w:pPr>
        <w:pStyle w:val="ListNumber"/>
        <w:ind w:left="369" w:hanging="159"/>
      </w:pPr>
      <w:r>
        <w:t>After Action Review com tempos, consumo, falhas, incidentes, custos e ações de melhoria.</w:t>
      </w:r>
    </w:p>
    <w:p>
      <w:pPr>
        <w:pStyle w:val="Heading1"/>
      </w:pPr>
      <w:r>
        <w:t>8. Medição, SLA e pagamento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28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Meta de referência</w:t>
            </w:r>
          </w:p>
        </w:tc>
        <w:tc>
          <w:tcPr>
            <w:tcW w:type="dxa" w:w="328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Medição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Disponibilidade da solução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≥ 99%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Relatório mensal por módulo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Energia crítica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≥ 99,9% durante operação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Telemetria e registro de falhas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Comunicação principal ou redundante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≥ 99% durante operação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Monitoramento do serviço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Equipamentos críticos funcionais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100%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Checklist e testes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Insumos dentro da validade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100%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Inventário e auditoria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Rastreabilidade patrimonial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100%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Manifesto e inventário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Cumprimento dos relógios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Conforme nível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Marcos eletrônicos e TLO</w:t>
            </w:r>
          </w:p>
        </w:tc>
      </w:tr>
    </w:tbl>
    <w:p>
      <w:pPr>
        <w:spacing w:after="0"/>
      </w:pPr>
    </w:p>
    <w:p>
      <w:r>
        <w:t>As glosas constituirão ajuste de medição por nível de serviço e não substituirão, por si, sanções administrativas ou indenização. A tabela final definirá fórmula, teto, período de tolerância, exclusões, não cumulatividade e contraditório.</w:t>
      </w:r>
    </w:p>
    <w:p>
      <w:pPr>
        <w:pStyle w:val="Heading1"/>
      </w:pPr>
      <w:r>
        <w:t>9. Gestão contratual, riscos e continuidade</w:t>
      </w:r>
    </w:p>
    <w:p>
      <w:r>
        <w:t>A execução será acompanhada por gestor e fiscais técnico, administrativo, setorial assistencial e, quando necessário, especialistas. Serão mantidos diário de missão, livro eletrônico de ocorrências, registros de manutenção, indicadores, inventário e documentação sanitária.</w:t>
      </w:r>
    </w:p>
    <w:p>
      <w:pPr>
        <w:pStyle w:val="Heading2"/>
      </w:pPr>
      <w:r>
        <w:t>9.1 Matriz sintética de riscos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Evento</w:t>
            </w:r>
          </w:p>
        </w:tc>
        <w:tc>
          <w:tcPr>
            <w:tcW w:type="dxa" w:w="328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Alocação de referência</w:t>
            </w:r>
          </w:p>
        </w:tc>
        <w:tc>
          <w:tcPr>
            <w:tcW w:type="dxa" w:w="328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Tratamento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Falha de equipamento/manutenção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Contratada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Reserva, correção e continuidade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Atraso imputável na montagem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Contratada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Plano de recuperação, glosa e sanção cabível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Ruptura de estoque contratado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Contratada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Reposição e contingência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Sítio inadequado indicado pela SES-MT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Administração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Relocação ou preparação; ajuste dos prazos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Bloqueio extraordinário de rota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Conforme causa/compartilhado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Rota alternativa e reprogramação motivada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Evento climático acima do envelope técnico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Conforme matriz definitiva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Suspensão segura, reforço ou relocação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Segurança pública do perímetro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Administração, em regra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Coordenação institucional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Dano por montagem inadequada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Contratada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Reparação integral</w:t>
            </w:r>
          </w:p>
        </w:tc>
      </w:tr>
    </w:tbl>
    <w:p>
      <w:pPr>
        <w:spacing w:after="0"/>
      </w:pPr>
    </w:p>
    <w:p>
      <w:pPr>
        <w:pStyle w:val="LegalAlert"/>
      </w:pPr>
      <w:r>
        <w:t>Caso fortuito e força maior serão avaliados conforme causalidade, deveres de prevenção, comunicação e mitigação e a matriz de riscos. Não haverá transferência genérica de todo risco extraordinário à contratada.</w:t>
      </w:r>
    </w:p>
    <w:p>
      <w:pPr>
        <w:pStyle w:val="Heading2"/>
      </w:pPr>
      <w:r>
        <w:t>9.2 Vigência, reajuste e garantias</w:t>
      </w:r>
    </w:p>
    <w:p>
      <w:pPr>
        <w:pStyle w:val="ListBullet"/>
        <w:ind w:left="312" w:hanging="142"/>
      </w:pPr>
      <w:r>
        <w:t>a vigência será definida conforme a classificação de serviço/fornecimento contínuo e a vantajosidade da duração inicial;</w:t>
      </w:r>
    </w:p>
    <w:p>
      <w:pPr>
        <w:pStyle w:val="ListBullet"/>
        <w:ind w:left="312" w:hanging="142"/>
      </w:pPr>
      <w:r>
        <w:t>reajuste em sentido estrito observará data-base, índice compatível e interregno legal; parcelas com mão de obra dedicada poderão seguir repactuação, se cabível;</w:t>
      </w:r>
    </w:p>
    <w:p>
      <w:pPr>
        <w:pStyle w:val="ListBullet"/>
        <w:ind w:left="312" w:hanging="142"/>
      </w:pPr>
      <w:r>
        <w:t>garantia contratual e garantia de proposta, se exigidas, terão percentuais motivados e observarão prazos e modalidades legais;</w:t>
      </w:r>
    </w:p>
    <w:p>
      <w:pPr>
        <w:pStyle w:val="ListBullet"/>
        <w:ind w:left="312" w:hanging="142"/>
      </w:pPr>
      <w:r>
        <w:t>se a contratada optar por seguro-garantia, o cronograma de assinatura deverá respeitar o prazo legal para apresentação da apólice;</w:t>
      </w:r>
    </w:p>
    <w:p>
      <w:pPr>
        <w:pStyle w:val="ListBullet"/>
        <w:ind w:left="312" w:hanging="142"/>
      </w:pPr>
      <w:r>
        <w:t>subcontratação parcial será permitida apenas para parcelas autorizadas, preservada a responsabilidade integral da contratada.</w:t>
      </w:r>
    </w:p>
    <w:p>
      <w:pPr>
        <w:pStyle w:val="Heading1"/>
      </w:pPr>
      <w:r>
        <w:t>10. Sanções, impugnações e disposições finais</w:t>
      </w:r>
    </w:p>
    <w:p>
      <w:r>
        <w:t>Infrações e sanções seguirão os arts. 155 a 163 da Lei nº 14.133/2021 e a regulamentação estadual. Multas e glosas terão base de cálculo proporcional à obrigação afetada, limites, hipóteses de incidência e rito definidos em anexo. O prazo de defesa nos processos sancionatórios será o previsto na legislação aplicável; não permanecerá como campo aberto.</w:t>
      </w:r>
    </w:p>
    <w:p>
      <w:r>
        <w:t>Pedidos de esclarecimento e impugnações serão apresentados até três dias úteis antes da abertura do certame, sem prejuízo de prazo mais favorável previsto em norma superveniente. A resposta será divulgada em sítio eletrônico oficial no prazo legal.</w:t>
      </w:r>
    </w:p>
    <w:p>
      <w:r>
        <w:t>O contrato observará recebimentos mensais da prontidão e de cada acionamento. O SAT e o TLO não configuram recebimento definitivo de todo o contrato. Ao término de cada missão haverá aceite de encerramento; ao fim da vigência, recebimento definitivo global após verificação das obrigações remanescentes.</w:t>
      </w:r>
    </w:p>
    <w:p>
      <w:pPr>
        <w:pStyle w:val="Heading1"/>
      </w:pPr>
      <w:r>
        <w:t>11. Anexos da futura versão publicável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Anexo</w:t>
            </w:r>
          </w:p>
        </w:tc>
        <w:tc>
          <w:tcPr>
            <w:tcW w:type="dxa" w:w="328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Conteúdo</w:t>
            </w:r>
          </w:p>
        </w:tc>
        <w:tc>
          <w:tcPr>
            <w:tcW w:type="dxa" w:w="328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Situação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Termo de Referência consolidado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elaborar/compatibilizar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II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ETP consolidado constante dos autos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Existente; atualizar dados internos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III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Minuta contratual no modelo estadual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elaborar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IV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Matriz N0–N4 e catálogo de módulos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elaborar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Equipamentos, insumos e kits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dimensionar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Equipes e escalas, se incluídas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Decisão pendente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VII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Planilha de preços A–J e critérios de medição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orçar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VIII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SLA, glosas e relatórios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elaborar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IX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Mobilização, Site Assessment, SAT, TLO e desmobilização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elaborar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X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Prova de conceito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decidir e elaborar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XI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PGRSS, biossegurança e controle de infecção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elaborar</w:t>
            </w:r>
          </w:p>
        </w:tc>
      </w:tr>
      <w:tr>
        <w:trPr/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XII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Matriz de riscos</w:t>
            </w:r>
          </w:p>
        </w:tc>
        <w:tc>
          <w:tcPr>
            <w:tcW w:type="dxa" w:w="3286"/>
            <w:shd w:fill="EEF5FA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aprofundar</w:t>
            </w:r>
          </w:p>
        </w:tc>
      </w:tr>
      <w:tr>
        <w:trPr/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XIII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Modelos de proposta e declarações</w:t>
            </w:r>
          </w:p>
        </w:tc>
        <w:tc>
          <w:tcPr>
            <w:tcW w:type="dxa" w:w="32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Adotar modelos oficiais</w:t>
            </w:r>
          </w:p>
        </w:tc>
      </w:tr>
    </w:tbl>
    <w:p>
      <w:pPr>
        <w:spacing w:after="0"/>
      </w:pPr>
    </w:p>
    <w:p>
      <w:pPr>
        <w:pStyle w:val="Heading1"/>
      </w:pPr>
      <w:r>
        <w:t>12. Checklist de fechamento para publicação</w:t>
      </w:r>
    </w:p>
    <w:p>
      <w:pPr>
        <w:pStyle w:val="ListNumber"/>
        <w:ind w:left="369" w:hanging="159"/>
      </w:pPr>
      <w:r>
        <w:t>juntar a nota de classificação do objeto e decidir modalidade, critério e regime de execução;</w:t>
      </w:r>
    </w:p>
    <w:p>
      <w:pPr>
        <w:pStyle w:val="ListNumber"/>
        <w:ind w:left="369" w:hanging="159"/>
      </w:pPr>
      <w:r>
        <w:t>aprovar o ETP com dados estaduais internos e memória de dimensionamento;</w:t>
      </w:r>
    </w:p>
    <w:p>
      <w:pPr>
        <w:pStyle w:val="ListNumber"/>
        <w:ind w:left="369" w:hanging="159"/>
      </w:pPr>
      <w:r>
        <w:t>concluir consulta ao mercado, análise de parcelamento e justificativa de consórcio;</w:t>
      </w:r>
    </w:p>
    <w:p>
      <w:pPr>
        <w:pStyle w:val="ListNumber"/>
        <w:ind w:left="369" w:hanging="159"/>
      </w:pPr>
      <w:r>
        <w:t>consolidar o Termo de Referência e eliminar divergências entre N0–N4;</w:t>
      </w:r>
    </w:p>
    <w:p>
      <w:pPr>
        <w:pStyle w:val="ListNumber"/>
        <w:ind w:left="369" w:hanging="159"/>
      </w:pPr>
      <w:r>
        <w:t>concluir orçamento estimado e planilha de preços por componentes;</w:t>
      </w:r>
    </w:p>
    <w:p>
      <w:pPr>
        <w:pStyle w:val="ListNumber"/>
        <w:ind w:left="369" w:hanging="159"/>
      </w:pPr>
      <w:r>
        <w:t>definir parcelas relevantes, habilitação, índices e garantias de forma motivada;</w:t>
      </w:r>
    </w:p>
    <w:p>
      <w:pPr>
        <w:pStyle w:val="ListNumber"/>
        <w:ind w:left="369" w:hanging="159"/>
      </w:pPr>
      <w:r>
        <w:t>validar interfaces sanitárias, assistenciais, de TI, LGPD, LACEN, regulação e segurança;</w:t>
      </w:r>
    </w:p>
    <w:p>
      <w:pPr>
        <w:pStyle w:val="ListNumber"/>
        <w:ind w:left="369" w:hanging="159"/>
      </w:pPr>
      <w:r>
        <w:t>aprovar prova de conceito, SLA, glosas, matriz de riscos e critérios de aceitação;</w:t>
      </w:r>
    </w:p>
    <w:p>
      <w:pPr>
        <w:pStyle w:val="ListNumber"/>
        <w:ind w:left="369" w:hanging="159"/>
      </w:pPr>
      <w:r>
        <w:t>transpor o conteúdo para o modelo padronizado vigente da PGE-MT/SEPLAG-MT;</w:t>
      </w:r>
    </w:p>
    <w:p>
      <w:pPr>
        <w:pStyle w:val="ListNumber"/>
        <w:ind w:left="369" w:hanging="159"/>
      </w:pPr>
      <w:r>
        <w:t>realizar controle de legalidade, disponibilidade orçamentária e aprovação da autoridade competente.</w:t>
      </w:r>
    </w:p>
    <w:p>
      <w:pPr>
        <w:pStyle w:val="Heading1"/>
      </w:pPr>
      <w:r>
        <w:t>Termo de encerramento da minuta</w:t>
      </w:r>
    </w:p>
    <w:p>
      <w:r>
        <w:t>Esta versão é documento de trabalho para instrução do processo. Campos materiais não poderão ser preenchidos apenas por opção redacional: cada definição deverá estar vinculada a estudo, orçamento, consulta ao mercado, decisão administrativa ou manifestação jurídica correspondente.</w:t>
      </w:r>
    </w:p>
    <w:p>
      <w:pPr>
        <w:jc w:val="center"/>
      </w:pPr>
      <w:r>
        <w:t>Cuiabá — MT, 28 de setembro de 2026.</w:t>
      </w:r>
    </w:p>
    <w:p>
      <w:r>
        <w:br w:type="page"/>
      </w:r>
    </w:p>
    <w:p>
      <w:pPr>
        <w:pStyle w:val="Heading1"/>
      </w:pPr>
      <w:r>
        <w:t>Complementação técnica e normativa — revisão 2.1</w:t>
      </w:r>
    </w:p>
    <w:p>
      <w:r>
        <w:t>Integra esta minuta como requisito de revisão. As escolhas propostas dependem de validação institucional; as referências não equivalem a aprovação da contratação.</w:t>
      </w:r>
    </w:p>
    <w:p>
      <w:pPr>
        <w:pStyle w:val="Heading2"/>
      </w:pPr>
      <w:r>
        <w:t>1. Fundamentos e limites de aplicação</w:t>
      </w:r>
    </w:p>
    <w:p>
      <w:r>
        <w:t>A Lei nº 14.133/2021 orienta planejamento (art. 18), estimativa de preços (art. 23), parcelamento de compras e serviços (arts. 40 e 47), cláusulas contratuais (art. 92), fiscalização (art. 117) e recebimento (art. 140). Aplicam-se o Decreto Estadual nº 1.525/2022 e alterações, com conferência da consolidação pela área jurídica. A inclusão no PCA deve observar os atos estaduais pertinentes, inclusive IN nº 002/2025/SEPLAG e sua alteração pela IN nº 003/2026/SEPLAG. A escolha de prontidão remunerada exige motivação própria; nenhuma dessas referências, isoladamente, aprova preço, modalidade, lote único ou contratação direta.</w:t>
      </w:r>
    </w:p>
    <w:p>
      <w:pPr>
        <w:pStyle w:val="Heading2"/>
      </w:pPr>
      <w:r>
        <w:t>3. Catálogo contratual e parcelamento</w:t>
      </w:r>
    </w:p>
    <w:p>
      <w:r>
        <w:t>Antes do edital, cadastrar cada módulo e fornecimento com código, descrição, unidade, capacidade, dependências, preço, teto quantitativo, prazo e forma de aceite. Separar leito disponível de paciente atendido, exame de diária laboratorial e unidade de medicamento de reserva de estoque. A ativação modular não equivale, por si, a parcelamento da licitação. Justificar contratação conjunta ou separada de medicamentos, laboratório, estrutura e operação, avaliando competição, responsabilidade técnica, integração e custo de gestão. Não permitir inclusão de item novo ou ampliação ilimitada por simples OA.</w:t>
      </w:r>
    </w:p>
    <w:p>
      <w:pPr>
        <w:pStyle w:val="Heading2"/>
      </w:pPr>
      <w:r>
        <w:t>11. Condições para concluir a versão de edital</w:t>
      </w:r>
    </w:p>
    <w:p>
      <w:r>
        <w:t>Permanecem pendentes de decisão institucional: solução e parcelamento, modalidade e critério de julgamento, catálogo e limites, quantitativos sustentados por dados, preços pesquisados, reserva orçamentária, SLAs, matriz de riscos, licenciamento e ato de competência. Menções anteriores a modalidade, técnica e preço, faixas de leitos, prazos ou percentuais são propostas a harmonizar na versão final. Não declarar a contratação aprovada ou pronta para publicação antes dessas validações. As diretrizes OMS para equipes médicas de emergência são referência técnica complementar; N0–N4 é classificação interna do projeto e não representa classificação ou certificação OMS.</w:t>
      </w:r>
    </w:p>
    <w:p>
      <w:pPr>
        <w:pStyle w:val="Heading2"/>
      </w:pPr>
      <w:r>
        <w:t>Referências da complementação</w:t>
      </w:r>
    </w:p>
    <w:p>
      <w:r>
        <w:t>Brasil. Lei nº 14.133, de 1º de abril de 2021. Texto compilado. Disponível em: https://www.planalto.gov.br/ccivil_03/_ato2019-2022/2021/lei/l14133.htm. Acesso em: 28 set. 2026.</w:t>
      </w:r>
    </w:p>
    <w:p>
      <w:r>
        <w:t>Mato Grosso. SEPLAG. Portal de Aquisições Governamentais: legislação e atos do PCA. Disponível em: https://aquisicoes.seplag.mt.gov.br/home/index.php?c=4&amp;pg=ver. Acesso em: 28 set. 2026.</w:t>
      </w:r>
    </w:p>
    <w:p>
      <w:r>
        <w:t>Anvisa. RDC nº 509, de 27 de maio de 2021. Gerenciamento de tecnologias em saúde. Disponível em: https://bvsms.saude.gov.br/bvs/saudelegis/anvisa/2020/rdc0509_27_05_2021.pdf. Acesso em: 28 set. 2026.</w:t>
      </w:r>
    </w:p>
    <w:p>
      <w:r>
        <w:t>Anvisa. Agenda de ARR 2023–2026: RDC nº 978/2025, alterada pela RDC nº 986/2025. Disponível em: https://www.gov.br/anvisa/pt-br/assuntos/regulamentacao/avaliacao-do-resultado-regulatorio/agenda-de-arr-2023-2026. Acesso em: 28 set. 2026.</w:t>
      </w:r>
    </w:p>
    <w:p>
      <w:r>
        <w:t>Anvisa. Perguntas e respostas sobre a RDC nº 430/2020. Atualização de novembro de 2022. Disponível em: https://www.gov.br/anvisa/pt-br/centraisdeconteudo/publicacoes/certificacao-e-fiscalizacao/perguntas-e-respostas/perguntas-e-respostas-rdc-430-de-2020.pdf. Acesso em: 28 set. 2026.</w:t>
      </w:r>
    </w:p>
    <w:p>
      <w:r>
        <w:t>World Health Organization. Classification and minimum standards for emergency medical teams. Geneva: WHO, 2021. Disponível em: https://extranet.who.int/emt/sites/default/files/BlueBook2021.pdf. Acesso em: 28 set.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são técnica UHMR" w:initials="UHMR" w:date="2026-09-28T20:44:20Z">
    <w:p>
      <w:pPr>
        <w:pStyle w:val="CommentText"/>
      </w:pPr>
      <w:r>
        <w:rPr>
          <w:rStyle w:val="CommentReference"/>
        </w:rPr>
        <w:annotationRef/>
      </w:r>
      <w:r>
        <w:t>Revisão decorrente das premissas definidas em 28/09/2026: N0 remunerado, módulos independentes, manutenção pela empresa, medicamentos isolados e autorização do Secretário com análise de risco e cenários. Pendente de validação institucional.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6666"/>
        <w:sz w:val="16"/>
      </w:rPr>
      <w:t xml:space="preserve">Revisão 2.1 — 28/09/2026  •  Página </w:t>
    </w:r>
    <w:r>
      <w:rPr>
        <w:sz w:val="16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66666"/>
        <w:sz w:val="16"/>
      </w:rPr>
      <w:t>SES-MT  |  UHMR  |  MINUTA TÉCNICA PRELIMINAR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F75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Alert">
    <w:name w:val="Legal Alert"/>
    <w:pPr>
      <w:spacing w:after="120"/>
    </w:pPr>
    <w:rPr>
      <w:rFonts w:ascii="Arial" w:hAnsi="Arial"/>
      <w:color w:val="9C000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Edital UHMR SES-MT — Revisão Técnico-Jurídica v0.2</dc:title>
  <dc:subject>Contratação de Unidade Hospitalar Modular de Resposta a Emergências</dc:subject>
  <dc:creator>Secretaria de Estado de Saúde de Mato Grosso — minuta para instrução</dc:creator>
  <cp:keywords>UHMR, hospital modular, emergência, SES-MT, edital, Lei 14.133</cp:keywords>
  <dc:description>Revisão 2.1: prontidão N0 remunerada, configuração independente, manutenção pela contratada, medicamentos isolados e autorização do Secretário.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