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CADERNO DE FUNDAMENTAÇÃO E CONTROLES DA UHMR</w:t>
      </w:r>
    </w:p>
    <w:p>
      <w:pPr>
        <w:jc w:val="left"/>
      </w:pPr>
      <w:r>
        <w:t>SES-MT | Revisão 2.1 | 28 de setembro de 2026</w:t>
        <w:br/>
        <w:t>Minuta técnica para validação institucional</w:t>
      </w:r>
    </w:p>
    <w:p>
      <w:pPr>
        <w:pStyle w:val="Heading1"/>
      </w:pPr>
      <w:r>
        <w:t>1. Fundamentos e limites de aplicação</w:t>
      </w:r>
    </w:p>
    <w:p>
      <w:r>
        <w:t>A Lei nº 14.133/2021 orienta planejamento (art. 18), estimativa de preços (art. 23), parcelamento de compras e serviços (arts. 40 e 47), cláusulas contratuais (art. 92), fiscalização (art. 117) e recebimento (art. 140). Aplicam-se o Decreto Estadual nº 1.525/2022 e alterações, com conferência da consolidação pela área jurídica. A inclusão no PCA deve observar os atos estaduais pertinentes, inclusive IN nº 002/2025/SEPLAG e sua alteração pela IN nº 003/2026/SEPLAG. A escolha de prontidão remunerada exige motivação própria; nenhuma dessas referências, isoladamente, aprova preço, modalidade, lote único ou contratação direta.</w:t>
      </w:r>
    </w:p>
    <w:p>
      <w:pPr>
        <w:pStyle w:val="Heading1"/>
      </w:pPr>
      <w:r>
        <w:t>2. Necessidade, alternativas e dimensionamento</w:t>
      </w:r>
    </w:p>
    <w:p>
      <w:r>
        <w:t>O ETP deverá comparar capacidade própria, locação com suporte, serviço integrado e aproveitamento de contratos ou capacidade existente, documentando investimento, custo anual, tempo de resposta, logística e risco de indisponibilidade. Para cada cenário, registrar fonte e data dos dados, população exposta, demanda provável e máxima plausível, capacidade operacional residual da rede, lacuna, duração e incerteza. Dimensionar a configuração para a lacuna demonstrada, sem usar capacidade cadastrada como sinônimo de capacidade disponível. Os números de leitos nas versões anteriores são referências de planejamento e não autorizam quantitativos ou preços.</w:t>
      </w:r>
    </w:p>
    <w:p>
      <w:pPr>
        <w:pStyle w:val="Heading1"/>
      </w:pPr>
      <w:r>
        <w:t>3. Catálogo contratual e parcelamento</w:t>
      </w:r>
    </w:p>
    <w:p>
      <w:r>
        <w:t>Antes do edital, cadastrar cada módulo e fornecimento com código, descrição, unidade, capacidade, dependências, preço, teto quantitativo, prazo e forma de aceite. Separar leito disponível de paciente atendido, exame de diária laboratorial e unidade de medicamento de reserva de estoque. A ativação modular não equivale, por si, a parcelamento da licitação. Justificar contratação conjunta ou separada de medicamentos, laboratório, estrutura e operação, avaliando competição, responsabilidade técnica, integração e custo de gestão. Não permitir inclusão de item novo ou ampliação ilimitada por simples OA.</w:t>
      </w:r>
    </w:p>
    <w:p>
      <w:pPr>
        <w:pStyle w:val="Heading1"/>
      </w:pPr>
      <w:r>
        <w:t>4. Prontidão verificável e manutenção</w:t>
      </w:r>
    </w:p>
    <w:p>
      <w:r>
        <w:t>O aceite inicial do N0 exige inventário identificável, localização dos bens, estado de conservação, testes funcionais, plano de manutenção, capacidade de mobilização e responsáveis. Mensalmente, a empresa entregará posição do inventário, intervenções previstas e realizadas, falhas, substituições, reservas e evidência da capacidade garantida. A empresa executa e custeia manutenção preventiva e corretiva ordinária, calibração aplicável, peças e testes, inclusive sem missões, em preços já contratados. Definir contratualmente capacidade reservada, exclusividade ou compartilhamento admitido e resposta a missões simultâneas; não remunerar como exclusiva uma capacidade comprometida com terceiros. A RDC nº 509/2021 sustenta plano, registros e rastreabilidade; terceirizar a gestão não elimina a responsabilidade sanitária do estabelecimento.</w:t>
      </w:r>
    </w:p>
    <w:p>
      <w:pPr>
        <w:pStyle w:val="Heading1"/>
      </w:pPr>
      <w:r>
        <w:t>5. Dossiê de decisão e limites da OA</w:t>
      </w:r>
    </w:p>
    <w:p>
      <w:r>
        <w:t>O dossiê para o Secretário reunirá nota técnica assinada, evento e território, risco e cenários, insuficiência da rede, alternativas examinadas, configuração, dependências, cronograma, custo estimado, saldo contratual e disponibilidade orçamentária, além de recomendação de início, revisão e término. A decisão do Secretário e seus condicionantes serão anexados à OA identificada e datada. A formalização institucional dessa competência integra as providências prévias. A OA executa o objeto contratado e não substitui licitação, empenho, aditivo ou licença quando exigidos. Registrar reavaliações sempre que mudarem demanda, risco, acesso ou capacidade local.</w:t>
      </w:r>
    </w:p>
    <w:p>
      <w:pPr>
        <w:pStyle w:val="Heading1"/>
      </w:pPr>
      <w:r>
        <w:t>6. Laboratório isolado e medicamentos isolados</w:t>
      </w:r>
    </w:p>
    <w:p>
      <w:r>
        <w:t>Laboratório isolado terá escopo de exames, tipo de serviço, responsabilidade técnica, licenciamento aplicável, fluxo de amostras, controle de qualidade, conservação, comunicação de resultados críticos e destinação de resíduos. Adotar como referência regulatória a RDC nº 978/2025 e a alteração RDC nº 986/2025, conferindo o texto consolidado para o enquadramento concreto. Medicamentos isolados terão catálogo validado pela assistência farmacêutica, especificação, quantidade, rastreabilidade de lote, validade mínima justificada, conservação, transporte, registro de temperatura quando aplicável e fluxo de rejeição/recolhimento. A RDC nº 430/2020 e alterações apoia a logística farmacêutica conforme atividade. Não cobrar montagem, diária hospitalar ou desmontagem inexistentes.</w:t>
      </w:r>
    </w:p>
    <w:p>
      <w:pPr>
        <w:pStyle w:val="Heading1"/>
      </w:pPr>
      <w:r>
        <w:t>7. Formação de preços, medição e vedação à duplicidade</w:t>
      </w:r>
    </w:p>
    <w:p>
      <w:r>
        <w:t>A pesquisa de mercado deverá solicitar composição homogênea para N0, dez leitos, laboratório, medicamentos e missão combinada, incluindo distâncias e durações comparáveis. Separar reserva de estoque, aquisição, consumo e reposição; esclarecer titularidade e destino dos saldos. O mapa de custos indicará o que cada preço inclui. Na medição mensal, conciliar OA, boletim de execução, inventário, aceite, nota fiscal e histórico de pagamentos. Suporte compartilhado e manutenção ordinária não geram cobrança duplicada. Para insumos pagos por unidade entregue e aceita, não cobrar novamente reposição da mesma entrega. A continuidade do N0 durante a missão depende das obrigações que permanecem e da segregação de custos.</w:t>
      </w:r>
    </w:p>
    <w:p>
      <w:pPr>
        <w:pStyle w:val="Heading1"/>
      </w:pPr>
      <w:r>
        <w:t>8. Indicadores e tratamento da indisponibilidade</w:t>
      </w:r>
    </w:p>
    <w:p>
      <w:r>
        <w:t>Proposta de indicadores: disponibilidade por componente = horas de capacidade disponível e comprovada / horas de capacidade contratada; manutenção preventiva no prazo = intervenções concluídas no prazo / intervenções devidas; entrega conforme = unidades aceitas / unidades entregues. Denominador zero será registrado como não aplicável. Registrar também tempo da OA ao recebimento, tempo até liberação e falhas críticas. Metas, janelas de apuração, tolerâncias, substituição e regra proporcional de medição devem ser validadas antes do edital. Não fixar percentuais de glosa arbitrários nem confundir redução por serviço não prestado com sanção administrativa. Impedimentos atribuíveis à SES ou a terceiros serão registrados e tratados conforme matriz de riscos.</w:t>
      </w:r>
    </w:p>
    <w:p>
      <w:pPr>
        <w:pStyle w:val="Heading1"/>
      </w:pPr>
      <w:r>
        <w:t>9. Matriz de riscos e continuidade</w:t>
      </w:r>
    </w:p>
    <w:p>
      <w:r>
        <w:t>Atribuir à empresa falha ordinária de equipamento, manutenção vencida, conservação inadequada e perda por vencimento sob sua gestão; prever substituição e recomposição sem preço adicional ordinário. Identificar separadamente acesso bloqueado, sítio inadequado, falha de utilidades locais, demanda simultânea e atraso de licença, com responsável, prevenção, contingência, evidência e consequência contratual. A imputação dependerá da causa documentada e da alocação pactuada. Para assistência, prever referência e transporte seguro de pacientes; para laboratório, rede de apoio; para medicamentos, fornecedor e rota alternativos autorizados. O encerramento exige transferência assistencial, reconciliação de estoques e liberação do sítio.</w:t>
      </w:r>
    </w:p>
    <w:p>
      <w:pPr>
        <w:pStyle w:val="Heading1"/>
      </w:pPr>
      <w:r>
        <w:t>10. Recebimento e responsabilidades</w:t>
      </w:r>
    </w:p>
    <w:p>
      <w:r>
        <w:t>Distinguir aceite inicial e mensal da prontidão, liberação para funcionamento e recebimento de produtos. Fiscal técnico verifica execução; gestor coordena providências; área demandante fundamenta necessidade; assistência farmacêutica valida medicamentos; engenharia clínica valida equipamentos; autoridade sanitária atua em sua competência. As designações precisam ser formalizadas. Para módulo assistencial, anexar testes, registros profissionais, equipe, fluxos e licenças aplicáveis antes da abertura. Para fornecimento isolado, usar termo de recebimento por item e registrar recusas. Não considerar o silêncio da fiscalização como aceite.</w:t>
      </w:r>
    </w:p>
    <w:p>
      <w:pPr>
        <w:pStyle w:val="Heading1"/>
      </w:pPr>
      <w:r>
        <w:t>11. Condições para concluir a versão de edital</w:t>
      </w:r>
    </w:p>
    <w:p>
      <w:r>
        <w:t>Permanecem pendentes de decisão institucional: solução e parcelamento, modalidade e critério de julgamento, catálogo e limites, quantitativos sustentados por dados, preços pesquisados, reserva orçamentária, SLAs, matriz de riscos, licenciamento e ato de competência. Menções anteriores a modalidade, técnica e preço, faixas de leitos, prazos ou percentuais são propostas a harmonizar na versão final. Não declarar a contratação aprovada ou pronta para publicação antes dessas validações. As diretrizes OMS para equipes médicas de emergência são referência técnica complementar; N0–N4 é classificação interna do projeto e não representa classificação ou certificação OMS.</w:t>
      </w:r>
    </w:p>
    <w:p>
      <w:pPr>
        <w:pStyle w:val="Heading1"/>
      </w:pPr>
      <w:r>
        <w:t>Referências consultadas</w:t>
      </w:r>
    </w:p>
    <w:p>
      <w:r>
        <w:t>Brasil. Lei nº 14.133, de 1º de abril de 2021. Texto compilado. Disponível em: https://www.planalto.gov.br/ccivil_03/_ato2019-2022/2021/lei/l14133.htm. Acesso em: 28 set. 2026.</w:t>
      </w:r>
    </w:p>
    <w:p>
      <w:r>
        <w:t>Mato Grosso. SEPLAG. Portal de Aquisições Governamentais: legislação e atos do PCA. Disponível em: https://aquisicoes.seplag.mt.gov.br/home/index.php?c=4&amp;pg=ver. Acesso em: 28 set. 2026.</w:t>
      </w:r>
    </w:p>
    <w:p>
      <w:r>
        <w:t>Anvisa. RDC nº 509, de 27 de maio de 2021. Gerenciamento de tecnologias em saúde. Disponível em: https://bvsms.saude.gov.br/bvs/saudelegis/anvisa/2020/rdc0509_27_05_2021.pdf. Acesso em: 28 set. 2026.</w:t>
      </w:r>
    </w:p>
    <w:p>
      <w:r>
        <w:t>Anvisa. Agenda de ARR 2023–2026: RDC nº 978/2025, alterada pela RDC nº 986/2025. Disponível em: https://www.gov.br/anvisa/pt-br/assuntos/regulamentacao/avaliacao-do-resultado-regulatorio/agenda-de-arr-2023-2026. Acesso em: 28 set. 2026.</w:t>
      </w:r>
    </w:p>
    <w:p>
      <w:r>
        <w:t>Anvisa. Perguntas e respostas sobre a RDC nº 430/2020. Atualização de novembro de 2022. Disponível em: https://www.gov.br/anvisa/pt-br/centraisdeconteudo/publicacoes/certificacao-e-fiscalizacao/perguntas-e-respostas/perguntas-e-respostas-rdc-430-de-2020.pdf. Acesso em: 28 set. 2026.</w:t>
      </w:r>
    </w:p>
    <w:p>
      <w:r>
        <w:t>World Health Organization. Classification and minimum standards for emergency medical teams. Geneva: WHO, 2021. Disponível em: https://extranet.who.int/emt/sites/default/files/BlueBook2021.pdf. Acesso em: 28 set.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são técnica UHMR" w:initials="UHMR" w:date="2026-09-28T20:44:19Z">
    <w:p>
      <w:pPr>
        <w:pStyle w:val="CommentText"/>
      </w:pPr>
      <w:r>
        <w:rPr>
          <w:rStyle w:val="CommentReference"/>
        </w:rPr>
        <w:annotationRef/>
      </w:r>
      <w:r>
        <w:t>Revisão decorrente das premissas definidas em 28/09/2026: N0 remunerado, módulos independentes, manutenção pela empresa, medicamentos isolados e autorização do Secretário com análise de risco e cenários. Pendente de validação institucional.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6"/>
      </w:rPr>
      <w:t xml:space="preserve">Revisão 2.1  28/09/2026   </w:t>
    </w: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6666"/>
        <w:sz w:val="16"/>
      </w:rPr>
      <w:t>SES MT   UHMR   FUNDAMENTAÇÃO E CONTROLES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Pacote de Planejamento da Contratação UHMR</dc:title>
  <dc:subject>Índice, sequência de instrução e controle do pacote</dc:subject>
  <dc:creator>Secretaria de Estado de Saúde de Mato Grosso</dc:creator>
  <cp:keywords>UHMR, emergência, hospital modular, SES MT, contratação pública</cp:keywords>
  <dc:description>Revisão 2.1: prontidão N0 remunerada, configuração independente, manutenção pela contratada, medicamentos isolados e autorização do Secretário.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