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100"/>
        <w:jc w:val="center"/>
      </w:pPr>
      <w:r>
        <w:rPr>
          <w:b/>
          <w:color w:val="0B3A66"/>
          <w:sz w:val="26"/>
        </w:rPr>
        <w:t>GOVERNO DO ESTADO DE MATO GROSSO</w:t>
      </w:r>
    </w:p>
    <w:p>
      <w:pPr>
        <w:widowControl/>
        <w:jc w:val="center"/>
      </w:pPr>
      <w:r>
        <w:rPr>
          <w:b/>
          <w:color w:val="1F5D8F"/>
          <w:sz w:val="30"/>
        </w:rPr>
        <w:t>SECRETARIA DE ESTADO DE SAÚDE</w:t>
      </w:r>
    </w:p>
    <w:p>
      <w:pPr>
        <w:widowControl/>
        <w:spacing w:after="800"/>
      </w:pPr>
    </w:p>
    <w:p>
      <w:pPr>
        <w:pStyle w:val="Title"/>
        <w:widowControl/>
        <w:jc w:val="center"/>
      </w:pPr>
      <w:r>
        <w:t>ESTUDO TÉCNICO PRELIMINAR</w:t>
      </w:r>
    </w:p>
    <w:p>
      <w:pPr>
        <w:pStyle w:val="SubtitleCustom"/>
        <w:widowControl/>
      </w:pPr>
      <w:r>
        <w:t>Unidade Hospitalar Modular de Resposta a Emergências - UHMR</w:t>
      </w:r>
    </w:p>
    <w:p>
      <w:pPr>
        <w:pStyle w:val="SubtitleCustom"/>
        <w:widowControl/>
      </w:pPr>
      <w:r>
        <w:t>Versão consolidada para validação técnica e instrução do planejamento da contratação</w:t>
      </w:r>
    </w:p>
    <w:p>
      <w:pPr>
        <w:widowControl/>
        <w:spacing w:after="5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62"/>
        <w:gridCol w:w="4762"/>
      </w:tblGrid>
      <w:tr>
        <w:trPr>
          <w:cantSplit/>
          <w:tblHeader w:val="true"/>
        </w:trPr>
        <w:tc>
          <w:tcPr>
            <w:tcW w:type="dxa" w:w="4762"/>
            <w:shd w:fill="0B3A66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Órgão</w:t>
            </w:r>
          </w:p>
        </w:tc>
        <w:tc>
          <w:tcPr>
            <w:tcW w:type="dxa" w:w="4762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shd w:fill="0B3A6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Secretaria de Estado de Saúde de Mato Grosso - SES-MT</w:t>
            </w:r>
          </w:p>
        </w:tc>
      </w:tr>
      <w:tr>
        <w:trPr>
          <w:cantSplit/>
        </w:trPr>
        <w:tc>
          <w:tcPr>
            <w:tcW w:type="dxa" w:w="4762"/>
            <w:shd w:fill="DCEAF5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B3A66"/>
                <w:sz w:val="18"/>
              </w:rPr>
              <w:t>Unidade requisitante</w:t>
            </w:r>
          </w:p>
        </w:tc>
        <w:tc>
          <w:tcPr>
            <w:tcW w:type="dxa" w:w="4762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8"/>
              </w:rPr>
              <w:t>A ser formalmente indicada no processo administrativo</w:t>
            </w:r>
          </w:p>
        </w:tc>
      </w:tr>
      <w:tr>
        <w:trPr>
          <w:cantSplit/>
        </w:trPr>
        <w:tc>
          <w:tcPr>
            <w:tcW w:type="dxa" w:w="4762"/>
            <w:shd w:fill="DCEAF5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B3A66"/>
                <w:sz w:val="18"/>
              </w:rPr>
              <w:t>Área técnica proponente</w:t>
            </w:r>
          </w:p>
        </w:tc>
        <w:tc>
          <w:tcPr>
            <w:tcW w:type="dxa" w:w="4762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8"/>
              </w:rPr>
              <w:t>Equipe de Planejamento da Contratação a ser designada</w:t>
            </w:r>
          </w:p>
        </w:tc>
      </w:tr>
      <w:tr>
        <w:trPr>
          <w:cantSplit/>
        </w:trPr>
        <w:tc>
          <w:tcPr>
            <w:tcW w:type="dxa" w:w="4762"/>
            <w:shd w:fill="DCEAF5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B3A66"/>
                <w:sz w:val="18"/>
              </w:rPr>
              <w:t>Abrangência</w:t>
            </w:r>
          </w:p>
        </w:tc>
        <w:tc>
          <w:tcPr>
            <w:tcW w:type="dxa" w:w="4762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8"/>
              </w:rPr>
              <w:t>Todo o território do Estado de Mato Grosso</w:t>
            </w:r>
          </w:p>
        </w:tc>
      </w:tr>
      <w:tr>
        <w:trPr>
          <w:cantSplit/>
        </w:trPr>
        <w:tc>
          <w:tcPr>
            <w:tcW w:type="dxa" w:w="4762"/>
            <w:shd w:fill="DCEAF5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B3A66"/>
                <w:sz w:val="18"/>
              </w:rPr>
              <w:t>Versão/data</w:t>
            </w:r>
          </w:p>
        </w:tc>
        <w:tc>
          <w:tcPr>
            <w:tcW w:type="dxa" w:w="4762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Revisão 2.1 - 28 de setembro de 2026</w:t>
            </w:r>
          </w:p>
        </w:tc>
      </w:tr>
    </w:tbl>
    <w:p>
      <w:pPr>
        <w:widowControl/>
        <w:spacing w:before="1200"/>
        <w:jc w:val="center"/>
      </w:pPr>
      <w:r>
        <w:t>Cuiabá - MT</w:t>
        <w:br/>
        <w:t>28 de setembro de 2026</w:t>
      </w:r>
    </w:p>
    <w:p>
      <w:pPr>
        <w:widowControl/>
      </w:pPr>
      <w:r>
        <w:br w:type="page"/>
      </w:r>
    </w:p>
    <w:p>
      <w:pPr>
        <w:pStyle w:val="Heading1"/>
        <w:keepNext/>
        <w:pageBreakBefore w:val="0"/>
        <w:widowControl/>
      </w:pPr>
      <w:r>
        <w:t>Nota de utilização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EEF5FA"/>
            <w:tcBorders>
              <w:top w:val="single" w:sz="10" w:space="0" w:color="0B3A66"/>
              <w:left w:val="single" w:sz="10" w:space="0" w:color="0B3A66"/>
              <w:bottom w:val="single" w:sz="10" w:space="0" w:color="0B3A66"/>
              <w:right w:val="single" w:sz="10" w:space="0" w:color="0B3A66"/>
              <w:insideH w:val="single" w:sz="10" w:space="0" w:color="0B3A66"/>
              <w:insideV w:val="single" w:sz="10" w:space="0" w:color="0B3A66"/>
            </w:tcBorders>
          </w:tcPr>
          <w:p>
            <w:pPr>
              <w:spacing w:after="80"/>
            </w:pPr>
            <w:r>
              <w:rPr>
                <w:b/>
                <w:color w:val="0B3A66"/>
                <w:sz w:val="21"/>
              </w:rPr>
              <w:t>Finalidade do documento</w:t>
            </w:r>
          </w:p>
          <w:p>
            <w:pPr>
              <w:spacing w:after="0" w:line="259" w:lineRule="auto"/>
            </w:pPr>
            <w:r>
              <w:rPr>
                <w:color w:val="243443"/>
                <w:sz w:val="18"/>
              </w:rPr>
              <w:t>Este ETP organiza a necessidade, avalia alternativas e propõe a arquitetura inicial da contratação. Não substitui a designação formal da equipe de planejamento, a pesquisa de preços, os pareceres das áreas técnicas, a análise jurídica nem a aprovação da autoridade competente. Os quantitativos e parâmetros assinalados como indicativos deverão ser confirmados antes da elaboração do Termo de Referência.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</w:pPr>
      <w:r>
        <w:t>Síntese da decisão recomendada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75"/>
        <w:gridCol w:w="3175"/>
        <w:gridCol w:w="3175"/>
      </w:tblGrid>
      <w:tr>
        <w:trPr>
          <w:tblHeader w:val="true"/>
          <w:cantSplit/>
          <w:tblHeader w:val="true"/>
        </w:trPr>
        <w:tc>
          <w:tcPr>
            <w:tcW w:type="dxa" w:w="1080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2160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Recomendação preliminar</w:t>
            </w:r>
          </w:p>
        </w:tc>
        <w:tc>
          <w:tcPr>
            <w:tcW w:type="dxa" w:w="2592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Justificativa</w:t>
            </w:r>
          </w:p>
        </w:tc>
      </w:tr>
      <w:tr>
        <w:trPr>
          <w:cantSplit/>
          <w:cantSplit/>
        </w:trPr>
        <w:tc>
          <w:tcPr>
            <w:tcW w:type="dxa" w:w="108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Objeto</w:t>
            </w:r>
          </w:p>
        </w:tc>
        <w:tc>
          <w:tcPr>
            <w:tcW w:type="dxa" w:w="216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Capacidade continuada de prontidão, mobilização, instalação, operação, manutenção e desmobilização de UHMR.</w:t>
            </w:r>
          </w:p>
        </w:tc>
        <w:tc>
          <w:tcPr>
            <w:tcW w:type="dxa" w:w="259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Contrata resultado operacional e disponibilidade, não apenas tendas e equipamentos.</w:t>
            </w:r>
          </w:p>
        </w:tc>
      </w:tr>
      <w:tr>
        <w:trPr>
          <w:cantSplit/>
          <w:cantSplit/>
        </w:trPr>
        <w:tc>
          <w:tcPr>
            <w:tcW w:type="dxa" w:w="108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Escalonamento</w:t>
            </w:r>
          </w:p>
        </w:tc>
        <w:tc>
          <w:tcPr>
            <w:tcW w:type="dxa" w:w="216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t>N0 de prontidão; N1 a N4 referenciais, com configuração personalizada e independente.</w:t>
            </w:r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  <w:tc>
          <w:tcPr>
            <w:tcW w:type="dxa" w:w="259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Permite adequar custo, prazo e capacidade à gravidade do evento.</w:t>
            </w:r>
          </w:p>
        </w:tc>
      </w:tr>
      <w:tr>
        <w:trPr>
          <w:cantSplit/>
          <w:cantSplit/>
        </w:trPr>
        <w:tc>
          <w:tcPr>
            <w:tcW w:type="dxa" w:w="108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Núcleo de referência</w:t>
            </w:r>
          </w:p>
        </w:tc>
        <w:tc>
          <w:tcPr>
            <w:tcW w:type="dxa" w:w="216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N3 com pelo menos 20 leitos de internação, até 30, quatro posições críticas e uma sala cirúrgica.</w:t>
            </w:r>
          </w:p>
        </w:tc>
        <w:tc>
          <w:tcPr>
            <w:tcW w:type="dxa" w:w="259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Mantém compatibilidade funcional com a classificação EMT Tipo 2 da OMS, sem exigir certificação internacional como condição automática.</w:t>
            </w:r>
          </w:p>
        </w:tc>
      </w:tr>
      <w:tr>
        <w:trPr>
          <w:cantSplit/>
          <w:cantSplit/>
        </w:trPr>
        <w:tc>
          <w:tcPr>
            <w:tcW w:type="dxa" w:w="108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Modelo de fornecimento</w:t>
            </w:r>
          </w:p>
        </w:tc>
        <w:tc>
          <w:tcPr>
            <w:tcW w:type="dxa" w:w="216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Integrador único para infraestrutura, sistemas críticos e logística; equipes clínicas em módulo separável.</w:t>
            </w:r>
          </w:p>
        </w:tc>
        <w:tc>
          <w:tcPr>
            <w:tcW w:type="dxa" w:w="259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Reduz falhas de interface e preserva flexibilidade jurídico-assistencial.</w:t>
            </w:r>
          </w:p>
        </w:tc>
      </w:tr>
      <w:tr>
        <w:trPr>
          <w:cantSplit/>
          <w:cantSplit/>
        </w:trPr>
        <w:tc>
          <w:tcPr>
            <w:tcW w:type="dxa" w:w="108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Modelo econômico</w:t>
            </w:r>
          </w:p>
        </w:tc>
        <w:tc>
          <w:tcPr>
            <w:tcW w:type="dxa" w:w="216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Mensalidade de prontidão + mobilização + transporte + instalação + diária operacional + consumíveis + expansão.</w:t>
            </w:r>
          </w:p>
        </w:tc>
        <w:tc>
          <w:tcPr>
            <w:tcW w:type="dxa" w:w="259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Evita pagamento integral de capacidade não utilizada e torna a medição auditável.</w:t>
            </w:r>
          </w:p>
        </w:tc>
      </w:tr>
      <w:tr>
        <w:trPr>
          <w:cantSplit/>
          <w:cantSplit/>
        </w:trPr>
        <w:tc>
          <w:tcPr>
            <w:tcW w:type="dxa" w:w="108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Transporte</w:t>
            </w:r>
          </w:p>
        </w:tc>
        <w:tc>
          <w:tcPr>
            <w:tcW w:type="dxa" w:w="216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Rodoviário estadual como requisito; aerotransporte civil desejável; padrão militar apenas opcional.</w:t>
            </w:r>
          </w:p>
        </w:tc>
        <w:tc>
          <w:tcPr>
            <w:tcW w:type="dxa" w:w="259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Evita custo e restrição competitiva sem benefício proporcional ao contexto estadual.</w:t>
            </w:r>
          </w:p>
        </w:tc>
      </w:tr>
      <w:tr>
        <w:trPr>
          <w:cantSplit/>
          <w:cantSplit/>
        </w:trPr>
        <w:tc>
          <w:tcPr>
            <w:tcW w:type="dxa" w:w="108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Autonomia</w:t>
            </w:r>
          </w:p>
        </w:tc>
        <w:tc>
          <w:tcPr>
            <w:tcW w:type="dxa" w:w="216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Autonomia inicial mínima de 72 horas e plano de reabastecimento para operação prolongada.</w:t>
            </w:r>
          </w:p>
        </w:tc>
        <w:tc>
          <w:tcPr>
            <w:tcW w:type="dxa" w:w="259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Equilibra mobilidade, peso, segurança e continuidade.</w:t>
            </w:r>
          </w:p>
        </w:tc>
      </w:tr>
      <w:tr>
        <w:trPr>
          <w:cantSplit/>
          <w:cantSplit/>
        </w:trPr>
        <w:tc>
          <w:tcPr>
            <w:tcW w:type="dxa" w:w="108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Aceitação</w:t>
            </w:r>
          </w:p>
        </w:tc>
        <w:tc>
          <w:tcPr>
            <w:tcW w:type="dxa" w:w="216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Prova de conceito, FAT/SAT e exercício anual completo.</w:t>
            </w:r>
          </w:p>
        </w:tc>
        <w:tc>
          <w:tcPr>
            <w:tcW w:type="dxa" w:w="259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Comprova integração real, desempenho e repetibilidade da solução.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</w:pPr>
      <w:r>
        <w:t>Sumário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62"/>
        <w:gridCol w:w="4762"/>
      </w:tblGrid>
      <w:tr>
        <w:trPr>
          <w:cantSplit/>
          <w:cantSplit/>
          <w:tblHeader w:val="true"/>
        </w:trPr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shd w:fill="0B3A6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1. Identificação e contexto administrativo</w:t>
            </w:r>
          </w:p>
        </w:tc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shd w:fill="0B3A6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14. Estimativas de quantidades</w:t>
            </w:r>
          </w:p>
        </w:tc>
      </w:tr>
      <w:tr>
        <w:trPr>
          <w:cantSplit/>
          <w:cantSplit/>
        </w:trPr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2. Descrição da necessidade</w:t>
            </w:r>
          </w:p>
        </w:tc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15. Parcelamento e estratégia de contratação</w:t>
            </w:r>
          </w:p>
        </w:tc>
      </w:tr>
      <w:tr>
        <w:trPr>
          <w:cantSplit/>
          <w:cantSplit/>
        </w:trPr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3. Objetivos da contratação</w:t>
            </w:r>
          </w:p>
        </w:tc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16. Resultados pretendidos</w:t>
            </w:r>
          </w:p>
        </w:tc>
      </w:tr>
      <w:tr>
        <w:trPr>
          <w:cantSplit/>
          <w:cantSplit/>
        </w:trPr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4. Alinhamento institucional e normativo</w:t>
            </w:r>
          </w:p>
        </w:tc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17. Modelo econômico e pesquisa de preços</w:t>
            </w:r>
          </w:p>
        </w:tc>
      </w:tr>
      <w:tr>
        <w:trPr>
          <w:cantSplit/>
          <w:cantSplit/>
        </w:trPr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5. Cenários de emprego e estimativa da demanda</w:t>
            </w:r>
          </w:p>
        </w:tc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18. Providências prévias à contratação</w:t>
            </w:r>
          </w:p>
        </w:tc>
      </w:tr>
      <w:tr>
        <w:trPr>
          <w:cantSplit/>
          <w:cantSplit/>
        </w:trPr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6. Requisitos da contratação</w:t>
            </w:r>
          </w:p>
        </w:tc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19. Contratações correlatas e interdependentes</w:t>
            </w:r>
          </w:p>
        </w:tc>
      </w:tr>
      <w:tr>
        <w:trPr>
          <w:cantSplit/>
          <w:cantSplit/>
        </w:trPr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7. Levantamento de mercado e análise de alternativas</w:t>
            </w:r>
          </w:p>
        </w:tc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20. Sustentabilidade e impactos ambientais</w:t>
            </w:r>
          </w:p>
        </w:tc>
      </w:tr>
      <w:tr>
        <w:trPr>
          <w:cantSplit/>
          <w:cantSplit/>
        </w:trPr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8. Solução recomendada</w:t>
            </w:r>
          </w:p>
        </w:tc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21. Riscos preliminares</w:t>
            </w:r>
          </w:p>
        </w:tc>
      </w:tr>
      <w:tr>
        <w:trPr>
          <w:cantSplit/>
          <w:cantSplit/>
        </w:trPr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9. Arquitetura modular e níveis de ativação</w:t>
            </w:r>
          </w:p>
        </w:tc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22. Governança, fiscalização e medição</w:t>
            </w:r>
          </w:p>
        </w:tc>
      </w:tr>
      <w:tr>
        <w:trPr>
          <w:cantSplit/>
          <w:cantSplit/>
        </w:trPr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10. Ciclo operacional e logística</w:t>
            </w:r>
          </w:p>
        </w:tc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23. Conclusão de viabilidade</w:t>
            </w:r>
          </w:p>
        </w:tc>
      </w:tr>
      <w:tr>
        <w:trPr>
          <w:cantSplit/>
          <w:cantSplit/>
        </w:trPr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11. Comunicações, tecnologia e proteção de dados</w:t>
            </w:r>
          </w:p>
        </w:tc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24. Deliberações necessárias</w:t>
            </w:r>
          </w:p>
        </w:tc>
      </w:tr>
      <w:tr>
        <w:trPr>
          <w:cantSplit/>
          <w:cantSplit/>
        </w:trPr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12. Equipes e organização do trabalho</w:t>
            </w:r>
          </w:p>
        </w:tc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Referências</w:t>
            </w:r>
          </w:p>
        </w:tc>
      </w:tr>
      <w:tr>
        <w:trPr>
          <w:cantSplit/>
          <w:cantSplit/>
        </w:trPr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13. Modelo de execução e níveis de serviço</w:t>
            </w:r>
          </w:p>
        </w:tc>
        <w:tc>
          <w:tcPr>
            <w:tcW w:type="dxa" w:w="2916000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Anexos técnicos A a F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</w:pPr>
      <w:commentRangeStart w:id="0"/>
      <w:r>
        <w:t>Diretrizes de prontidão e acionamento</w:t>
      </w:r>
      <w:commentRangeEnd w:id="0"/>
      <w:r>
        <w:rPr>
          <w:rStyle w:val="CommentReference"/>
        </w:rPr>
        <w:commentReference w:id="0"/>
      </w:r>
    </w:p>
    <w:p>
      <w:r>
        <w:t>Revisão 2.1 de 28/09/2026. Minuta para validação institucional. As diretrizes abaixo integram o planejamento e devem orientar os requisitos e formulários desta peça.</w:t>
      </w:r>
    </w:p>
    <w:p>
      <w:pPr>
        <w:pStyle w:val="Heading2"/>
      </w:pPr>
      <w:r>
        <w:t>N0 e remuneração da prontidão</w:t>
      </w:r>
    </w:p>
    <w:p>
      <w:r>
        <w:t>N0 permanece como prontidão, sem assistência ativa. A mensalidade remunera a capacidade contratada mantida disponível mesmo sem utilização, mediante aceite inicial e comprovação mensal de inventário, conservação, testes, manutenção, equipe técnica e meios de mobilização. A indisponibilidade será registrada e terá tratamento de medição conforme critérios contratuais. A permanência da mensalidade durante missões exige demonstração das obrigações efetivamente mantidas e exclusão de custos duplicados nas parcelas variáveis.</w:t>
      </w:r>
    </w:p>
    <w:p>
      <w:pPr>
        <w:pStyle w:val="Heading2"/>
      </w:pPr>
      <w:r>
        <w:t>Configuração personalizada da missão</w:t>
      </w:r>
    </w:p>
    <w:p>
      <w:r>
        <w:t>N1 a N4 são referências de planejamento, sem obrigação de ativação cumulativa. Cada missão poderá selecionar módulos isolados, combinar módulos ou adotar quantitativos diferentes das faixas referenciais, dentro do objeto, dos quantitativos contratados e dos requisitos de segurança. São exemplos: dez leitos com suportes dimensionados; somente laboratório; somente medicamentos e insumos. A configuração efetiva e o nível de referência serão registrados separadamente. Não se presumem cirurgia, internação, equipes ou infraestrutura não solicitadas. As dependências técnicas indispensáveis serão justificadas e dimensionadas, inclusive quando fornecidas pela rede local.</w:t>
      </w:r>
    </w:p>
    <w:p>
      <w:pPr>
        <w:pStyle w:val="Heading2"/>
      </w:pPr>
      <w:r>
        <w:t>Responsabilidade pela manutenção</w:t>
      </w:r>
    </w:p>
    <w:p>
      <w:r>
        <w:t>A contratada executará e custeará manutenção preventiva e corretiva ordinária, calibrações aplicáveis, testes, peças, mão de obra e substituição dos equipamentos necessários à disponibilidade. Esses encargos integram os preços contratados, inclusive durante períodos sem uso, sem cobrança adicional à SES-MT por manutenção ordinária. O plano de manutenção seguirá fabricante, risco e requisitos técnicos, com registros por equipamento, datas, responsável e evidências. A manutenção programada não poderá reduzir a capacidade garantida sem cobertura equivalente e comunicação à fiscalização.</w:t>
      </w:r>
    </w:p>
    <w:p>
      <w:pPr>
        <w:pStyle w:val="Heading2"/>
      </w:pPr>
      <w:r>
        <w:t>Fornecimento exclusivo de medicamentos</w:t>
      </w:r>
    </w:p>
    <w:p>
      <w:r>
        <w:t>Poderá ser acionado somente o fornecimento de medicamentos ou insumos previamente especificados e precificados, sem montagem hospitalar. A solicitação discriminará item, apresentação, concentração quando pertinente, unidade, quantidade, destino, prazo, lote e validade no recebimento, condições de conservação e responsável pelo aceite. Armazenagem, transporte, cadeia de frio quando aplicável, rastreabilidade, regularidade sanitária e responsabilidade farmacêutica deverão ser assegurados. Estoque reservado, mercadoria fornecida e reposição serão distinguidos na medição. Perdas por vencimento ou conservação imputáveis à contratada não serão repassadas à SES-MT. A relação de itens e o parcelamento ainda dependem de planejamento e validação formal.</w:t>
      </w:r>
    </w:p>
    <w:p>
      <w:pPr>
        <w:pStyle w:val="Heading2"/>
      </w:pPr>
      <w:r>
        <w:t>Competência e fundamentação do acionamento</w:t>
      </w:r>
    </w:p>
    <w:p>
      <w:r>
        <w:t>Compete ao Secretário de Estado de Saúde autorizar o acionamento e a configuração da missão, mediante Ordem de Acionamento fundamentada em documentação técnica, análise de risco e avaliação de cenários. A instrução conterá identificação do evento, demanda estimada, capacidade residual da rede, alternativas, justificativa, módulos ou itens, quantidades, dependências, local, prazo, duração, estimativa de custo e disponibilidade contratual e orçamentária. As áreas técnicas, inclusive CIEVS/COES quando envolvidos, subsidiam a decisão. A fiscalização acompanha a execução e não substitui a autorização do Secretário. Ampliação, redução e encerramento serão formalizados com justificativa técnica e decisão do Secretário, preservada a interrupção imediata de atividade insegura pela fiscalização.</w:t>
      </w:r>
    </w:p>
    <w:p>
      <w:pPr>
        <w:pStyle w:val="Heading2"/>
      </w:pPr>
      <w:r>
        <w:t>Medição por configuração e aceite</w:t>
      </w:r>
    </w:p>
    <w:p>
      <w:r>
        <w:t>A medição separará mensalidade N0, serviços efetivamente acionados e aceitos e medicamentos/insumos fornecidos. Cada item terá unidade, quantidade, preço, período, origem e evidência. Suportes compartilhados serão contabilizados uma única vez. Manutenção ordinária, perdas imputáveis à contratada e itens já pagos não gerarão nova cobrança. Para fornecimento exclusivo, não incidem montagem, diária hospitalar ou desmobilização física inexistentes. O aceite será de recebimento dos produtos. Para laboratório isolado ou assistência, aplicam-se comissionamento e liberação compatíveis com a atividade. Preços, glosas e SLAs permanecem sujeitos a pesquisa de mercado e validação antes do edital.</w:t>
      </w:r>
    </w:p>
    <w:p>
      <w:pPr>
        <w:pStyle w:val="Heading1"/>
        <w:keepNext/>
        <w:pageBreakBefore w:val="0"/>
        <w:widowControl/>
      </w:pPr>
      <w:r>
        <w:t>1. Identificação e contexto administrativo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62"/>
        <w:gridCol w:w="4762"/>
      </w:tblGrid>
      <w:tr>
        <w:trPr>
          <w:tblHeader w:val="true"/>
          <w:cantSplit/>
          <w:tblHeader w:val="true"/>
        </w:trPr>
        <w:tc>
          <w:tcPr>
            <w:tcW w:type="dxa" w:w="1440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4392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Definição inicial</w:t>
            </w:r>
          </w:p>
        </w:tc>
      </w:tr>
      <w:tr>
        <w:trPr>
          <w:cantSplit/>
          <w:cantSplit/>
        </w:trPr>
        <w:tc>
          <w:tcPr>
            <w:tcW w:type="dxa" w:w="14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Objeto em estudo</w:t>
            </w:r>
          </w:p>
        </w:tc>
        <w:tc>
          <w:tcPr>
            <w:tcW w:type="dxa" w:w="439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Contratação de solução integrada, modular, escalável e mobilizável de Unidade Hospitalar Modular de Resposta a Emergências - UHMR.</w:t>
            </w:r>
          </w:p>
        </w:tc>
      </w:tr>
      <w:tr>
        <w:trPr>
          <w:cantSplit/>
          <w:cantSplit/>
        </w:trPr>
        <w:tc>
          <w:tcPr>
            <w:tcW w:type="dxa" w:w="144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Natureza</w:t>
            </w:r>
          </w:p>
        </w:tc>
        <w:tc>
          <w:tcPr>
            <w:tcW w:type="dxa" w:w="439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Serviço continuado de disponibilidade e prontidão, com fornecimento de bens em regime de locação/cessão de uso, logística, instalação, manutenção, suporte e operação quando acionado.</w:t>
            </w:r>
          </w:p>
        </w:tc>
      </w:tr>
      <w:tr>
        <w:trPr>
          <w:cantSplit/>
          <w:cantSplit/>
        </w:trPr>
        <w:tc>
          <w:tcPr>
            <w:tcW w:type="dxa" w:w="14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Abrangência geográfica</w:t>
            </w:r>
          </w:p>
        </w:tc>
        <w:tc>
          <w:tcPr>
            <w:tcW w:type="dxa" w:w="439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Municípios e regiões de saúde de Mato Grosso; mobilização interestadual somente quando autorizada e prevista.</w:t>
            </w:r>
          </w:p>
        </w:tc>
      </w:tr>
      <w:tr>
        <w:trPr>
          <w:cantSplit/>
          <w:cantSplit/>
        </w:trPr>
        <w:tc>
          <w:tcPr>
            <w:tcW w:type="dxa" w:w="144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Vigência sugerida para estudo</w:t>
            </w:r>
          </w:p>
        </w:tc>
        <w:tc>
          <w:tcPr>
            <w:tcW w:type="dxa" w:w="439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Prazo plurianual suficiente para amortização, prontidão e manutenção, sujeito à modelagem econômica e jurídica.</w:t>
            </w:r>
          </w:p>
        </w:tc>
      </w:tr>
      <w:tr>
        <w:trPr>
          <w:cantSplit/>
          <w:cantSplit/>
        </w:trPr>
        <w:tc>
          <w:tcPr>
            <w:tcW w:type="dxa" w:w="14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Forma de acionamento</w:t>
            </w:r>
          </w:p>
        </w:tc>
        <w:tc>
          <w:tcPr>
            <w:tcW w:type="dxa" w:w="439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t>Ordem de Acionamento emitida pelo Secretário de Estado de Saúde, fundamentada em documentação técnica, análise de risco e cenários, com subsídios do COE/COES quando ativado.</w:t>
            </w:r>
            <w:r>
              <w:rPr>
                <w:rFonts w:ascii="Aptos" w:hAnsi="Aptos"/>
                <w:b w:val="0"/>
                <w:color w:val="24344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144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Classificação do documento</w:t>
            </w:r>
          </w:p>
        </w:tc>
        <w:tc>
          <w:tcPr>
            <w:tcW w:type="dxa" w:w="439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7"/>
              </w:rPr>
              <w:t>Estudo Técnico Preliminar, nos termos da Lei nº 14.133/2021 e regulamentação estadual aplicável.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A contratação poderá integrar processo maior referente à gestão ou operação de unidade hospitalar. Nessa hipótese, os requisitos da UHMR devem constituir obrigação autônoma, mensurável e acionável, com preços unitários, responsabilidades e níveis de serviço próprios, evitando que a capacidade de resposta fique diluída em cláusulas genéricas do contrato hospitalar.</w:t>
      </w:r>
    </w:p>
    <w:p>
      <w:pPr>
        <w:pStyle w:val="Heading1"/>
        <w:keepNext/>
        <w:pageBreakBefore w:val="0"/>
        <w:widowControl/>
      </w:pPr>
      <w:r>
        <w:t>2. Descrição da necessidade</w:t>
      </w:r>
    </w:p>
    <w:p>
      <w:pPr>
        <w:widowControl/>
      </w:pPr>
      <w:r>
        <w:t>A SES-MT necessita de capacidade assistencial temporária que possa ser mobilizada com rapidez quando a rede existente estiver interrompida, danificada, isolada, saturada ou inadequada para absorver aumento súbito da demanda. A necessidade compreende eventos climáticos e ambientais, emergências de saúde pública, incidentes com múltiplas vítimas, desastres tecnológicos, colapso estrutural ou funcional de estabelecimentos, surtos e epidemias, grandes eventos e situações de desassistência territorial.</w:t>
      </w:r>
    </w:p>
    <w:p>
      <w:pPr>
        <w:widowControl/>
      </w:pPr>
      <w:r>
        <w:t>O problema não é apenas a ausência de tendas. Uma resposta hospitalar temporária depende de integração entre infraestrutura, energia, climatização, água, saneamento, gases medicinais, equipamentos, diagnóstico, medicamentos, telecomunicações, sistemas de informação, recursos humanos, suprimentos, segurança, manutenção e comando. A contratação fragmentada e acionada somente após o desastre tende a aumentar o tempo de resposta, produzir incompatibilidades e transferir riscos de interface à Administração.</w:t>
      </w:r>
    </w:p>
    <w:p>
      <w:pPr>
        <w:pStyle w:val="Heading2"/>
        <w:keepNext/>
        <w:pageBreakBefore w:val="0"/>
        <w:widowControl/>
      </w:pPr>
      <w:r>
        <w:t>2.1 Problema público a resolver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DCEAF5"/>
            <w:tcBorders>
              <w:top w:val="single" w:sz="10" w:space="0" w:color="0B3A66"/>
              <w:left w:val="single" w:sz="10" w:space="0" w:color="0B3A66"/>
              <w:bottom w:val="single" w:sz="10" w:space="0" w:color="0B3A66"/>
              <w:right w:val="single" w:sz="10" w:space="0" w:color="0B3A66"/>
              <w:insideH w:val="single" w:sz="10" w:space="0" w:color="0B3A66"/>
              <w:insideV w:val="single" w:sz="10" w:space="0" w:color="0B3A66"/>
            </w:tcBorders>
          </w:tcPr>
          <w:p>
            <w:pPr>
              <w:spacing w:after="80"/>
            </w:pPr>
            <w:r>
              <w:rPr>
                <w:b/>
                <w:color w:val="0B3A66"/>
                <w:sz w:val="21"/>
              </w:rPr>
              <w:t>Enunciado do problema</w:t>
            </w:r>
          </w:p>
          <w:p>
            <w:pPr>
              <w:spacing w:after="0" w:line="259" w:lineRule="auto"/>
            </w:pPr>
            <w:r>
              <w:rPr>
                <w:color w:val="243443"/>
                <w:sz w:val="18"/>
              </w:rPr>
              <w:t>Como assegurar, em qualquer região de Mato Grosso, capacidade hospitalar temporária segura, interoperável e proporcional ao evento, com mobilização rápida, autonomia inicial, continuidade assistencial e custo controlado, quando a infraestrutura local não puder responder adequadamente?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2.2 Consequências da não contratação</w:t>
      </w:r>
    </w:p>
    <w:p>
      <w:pPr>
        <w:pStyle w:val="ListBullet"/>
        <w:widowControl/>
        <w:spacing w:after="70" w:line="259" w:lineRule="auto"/>
        <w:ind w:left="340" w:hanging="142"/>
      </w:pPr>
      <w:r>
        <w:t>atraso na expansão da capacidade assistencial e aumento de risco de óbitos evitáveis;</w:t>
      </w:r>
    </w:p>
    <w:p>
      <w:pPr>
        <w:pStyle w:val="ListBullet"/>
        <w:widowControl/>
        <w:spacing w:after="70" w:line="259" w:lineRule="auto"/>
        <w:ind w:left="340" w:hanging="142"/>
      </w:pPr>
      <w:r>
        <w:t>sobrecarga de hospitais, pronto-atendimentos, SAMU e regulação;</w:t>
      </w:r>
    </w:p>
    <w:p>
      <w:pPr>
        <w:pStyle w:val="ListBullet"/>
        <w:widowControl/>
        <w:spacing w:after="70" w:line="259" w:lineRule="auto"/>
        <w:ind w:left="340" w:hanging="142"/>
      </w:pPr>
      <w:r>
        <w:t>contratações emergenciais sucessivas, com menor padronização e previsibilidade de preços;</w:t>
      </w:r>
    </w:p>
    <w:p>
      <w:pPr>
        <w:pStyle w:val="ListBullet"/>
        <w:widowControl/>
        <w:spacing w:after="70" w:line="259" w:lineRule="auto"/>
        <w:ind w:left="340" w:hanging="142"/>
      </w:pPr>
      <w:r>
        <w:t>dependência de estruturas de outras esferas sem garantia de disponibilidade;</w:t>
      </w:r>
    </w:p>
    <w:p>
      <w:pPr>
        <w:pStyle w:val="ListBullet"/>
        <w:widowControl/>
        <w:spacing w:after="70" w:line="259" w:lineRule="auto"/>
        <w:ind w:left="340" w:hanging="142"/>
      </w:pPr>
      <w:r>
        <w:t>perda de continuidade em áreas isoladas ou atingidas por desastres;</w:t>
      </w:r>
    </w:p>
    <w:p>
      <w:pPr>
        <w:pStyle w:val="ListBullet"/>
        <w:widowControl/>
        <w:spacing w:after="70" w:line="259" w:lineRule="auto"/>
        <w:ind w:left="340" w:hanging="142"/>
      </w:pPr>
      <w:r>
        <w:t>instalações temporárias sem integração entre energia, climatização, gases, WASH, TI e equipamentos;</w:t>
      </w:r>
    </w:p>
    <w:p>
      <w:pPr>
        <w:pStyle w:val="ListBullet"/>
        <w:widowControl/>
        <w:spacing w:after="70" w:line="259" w:lineRule="auto"/>
        <w:ind w:left="340" w:hanging="142"/>
      </w:pPr>
      <w:r>
        <w:t>dificuldade de comando, rastreabilidade, fiscalização e responsabilização.</w:t>
      </w:r>
    </w:p>
    <w:p>
      <w:pPr>
        <w:pStyle w:val="Heading2"/>
        <w:keepNext/>
        <w:pageBreakBefore w:val="0"/>
        <w:widowControl/>
      </w:pPr>
      <w:r>
        <w:t>2.3 Caracterização territorial e evidências estaduais</w:t>
      </w:r>
    </w:p>
    <w:p>
      <w:pPr>
        <w:widowControl/>
      </w:pPr>
      <w:r>
        <w:t>Mato Grosso reúne 142 municípios distribuídos em 16 Regiões de Saúde, possui população estimada de 3.950.330 habitantes em 2026 e território de aproximadamente 903,2 mil km². A combinação entre grande extensão territorial, baixa densidade populacional, três biomas, longas distâncias rodoviárias e concentração de serviços especializados exige que a resposta temporária seja móvel, autônoma e integrada à regionalização do SUS. A matriz logística deverá utilizar distâncias e tempos rodoviários reais, inclusive sazonalidade dos acessos, e não apenas distância em linha reta (IBGE, 2026; SES-MT, 2026).</w:t>
      </w:r>
    </w:p>
    <w:p>
      <w:pPr>
        <w:pStyle w:val="Heading3"/>
        <w:keepNext/>
        <w:pageBreakBefore w:val="0"/>
        <w:widowControl/>
      </w:pPr>
      <w:r>
        <w:t>2.3.1 Incêndios florestais e operações prolongadas</w:t>
      </w:r>
    </w:p>
    <w:p>
      <w:pPr>
        <w:widowControl/>
      </w:pPr>
      <w:r>
        <w:t>O Relatório Final da Temporada de Incêndios Florestais de 2025 registrou 10.968 focos de calor no Estado, distribuídos entre Amazônia, Cerrado e Pantanal, e 3.582 ocorrências de incêndios florestais atendidas no ano. O planejamento previu 68 Instrumentos de Resposta Temporários e foi ampliado para 72 durante o período crítico. O relatório documenta, ainda, operação em área aproximada de 45.080,01 hectares, com emprego de 50 militares do CBMMT, quatro militares da Força Nacional, aeronave, caminhões-pipa, viaturas e maquinário. Esses registros demonstram dispersão territorial, missões prolongadas, dificuldade de acesso e necessidade de apoio assistencial, energético, logístico e de comunicações em campo (CBMMT, 2026).</w:t>
      </w:r>
    </w:p>
    <w:p>
      <w:pPr>
        <w:pStyle w:val="Heading3"/>
        <w:keepNext/>
        <w:pageBreakBefore w:val="0"/>
        <w:widowControl/>
      </w:pPr>
      <w:r>
        <w:t>2.3.2 Seca e déficit hidrológico</w:t>
      </w:r>
    </w:p>
    <w:p>
      <w:pPr>
        <w:widowControl/>
      </w:pPr>
      <w:r>
        <w:t>O CEMADEN identificou anomalia de precipitação de -277 mm na Bacia do Alto Paraguai no período 2023/2024. Em maio de 2024, 118 municípios de Mato Grosso e Mato Grosso do Sul, considerados conjuntamente, apresentavam pelo menos 40% das áreas agroprodutivas potencialmente afetadas pela seca. O indicador não deve ser interpretado como quantitativo exclusivo de Mato Grosso, mas confirma a natureza regional e persistente da ameaça, com potencial para agravar desabastecimento de água, calor, fumaça, isolamento e pressão assistencial (CEMADEN, 2024).</w:t>
      </w:r>
    </w:p>
    <w:p>
      <w:pPr>
        <w:pStyle w:val="Heading3"/>
        <w:keepNext/>
        <w:pageBreakBefore w:val="0"/>
        <w:widowControl/>
      </w:pPr>
      <w:r>
        <w:t>2.3.3 Emergências epidemiológicas e concentração regional da assistência</w:t>
      </w:r>
    </w:p>
    <w:p>
      <w:pPr>
        <w:widowControl/>
      </w:pPr>
      <w:r>
        <w:t>Em informe oficial com dados extraídos do SINAN em 14 de fevereiro de 2025, até a Semana Epidemiológica 7, a SES-MT registrou 14 óbitos confirmados por arboviroses: 12 por chikungunya e dois por dengue, todos com confirmação laboratorial. Havia ainda três óbitos por chikungunya e cinco por dengue em investigação. Os óbitos confirmados por chikungunya concentravam-se na Baixada Cuiabana, Sul e Teles Pires; todos ocorreram em pessoas com 50 anos ou mais. As notificações e internações concentradas em municípios de referência, como Cuiabá, Rondonópolis, Sinop e Cáceres, evidenciam deslocamento assistencial e dependência da rede secundária e terciária (SES-MT, 2025).</w:t>
      </w:r>
    </w:p>
    <w:p>
      <w:pPr>
        <w:pStyle w:val="Heading3"/>
        <w:keepNext/>
        <w:pageBreakBefore w:val="0"/>
        <w:widowControl/>
      </w:pPr>
      <w:r>
        <w:t>2.3.4 Relação entre evidência e desenho da contratação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  <w:tblHeader w:val="true"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6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Evidência estadual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6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Resultado documentado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6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Consequência para a UHMR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6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Situação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Escala territorial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142 municípios, 16 Regiões de Saúde e população estimada de 3,95 milhões.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Rotas rodoviárias reais, comunicação satelital, autonomia inicial e ativação regional.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Fonte oficial incorporada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Incêndios florestais 2025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10.968 focos, 3.582 ocorrências e até 72 instrumentos temporários de resposta.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Módulos móveis, suporte respiratório, climatização, energia, logística e operação fora de grandes centros.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Fonte oficial incorporada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Operação de grande extensão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Evento documentado com cerca de 45 mil hectares e múltiplos meios terrestres e aéreos.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Apoio prolongado, rastreabilidade de cargas, manutenção e comunicação redundante.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Fonte oficial incorporada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Seca no Pantanal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Déficit de 277 mm na Bacia do Alto Paraguai em 2023/2024.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WASH, reservação, tratamento de água, controle térmico e plano de reabastecimento.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Fonte oficial incorporada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Arboviroses 2025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14 óbitos confirmados até a SE 7 e concentração do atendimento em polos regionais.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N1/N2 para triagem, hidratação e observação; N3 quando houver internação, casos críticos e necessidade diagnóstica.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Fonte oficial incorporada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Capacidade hospitalar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Leitos operacionais, bloqueios e ocupação ainda dependem de extração padronizada.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Definição dos gatilhos N1-N4 e dimensionamento regional.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Validar em CNES, IndicaSUS e Monitora Hospitalar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Pressão regulatória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Filas, tempos e transferências ainda dependem de base anonimizada.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Localização, pré-posicionamento e prioridade de acionamento.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Validar no SISREG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Histórico de eventos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Frequência, duração, recursos e lacunas ainda serão auditados.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Estimativa de acionamentos e cenário de consumo para preços.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Validar no CIEVS-MT e S2iD</w:t>
            </w:r>
          </w:p>
        </w:tc>
      </w:tr>
    </w:tbl>
    <w:p>
      <w:pPr>
        <w:widowControl/>
      </w:pPr>
      <w:r>
        <w:t>Os dados públicos acima sustentam a necessidade qualitativa e parte do desenho funcional. O dimensionamento definitivo e a estimativa de frequência de acionamento permanecem condicionados à consolidação das bases internas descritas no Anexo F.</w:t>
      </w:r>
    </w:p>
    <w:p>
      <w:pPr>
        <w:pStyle w:val="Heading1"/>
        <w:keepNext/>
        <w:pageBreakBefore w:val="0"/>
        <w:widowControl/>
      </w:pPr>
      <w:r>
        <w:t>3. Objetivos da contratação</w:t>
      </w:r>
    </w:p>
    <w:p>
      <w:pPr>
        <w:pStyle w:val="Heading2"/>
        <w:keepNext/>
        <w:pageBreakBefore w:val="0"/>
        <w:widowControl/>
      </w:pPr>
      <w:r>
        <w:t>3.1 Objetivo geral</w:t>
      </w:r>
    </w:p>
    <w:p>
      <w:pPr>
        <w:widowControl/>
      </w:pPr>
      <w:r>
        <w:t>Disponibilizar capacidade estadual permanente de prontidão para implantação e operação de unidade hospitalar temporária modular, segura e escalonável, integrada ao SUS e apta a apoiar ou substituir parcialmente serviços de saúde afetados por emergências.</w:t>
      </w:r>
    </w:p>
    <w:p>
      <w:pPr>
        <w:pStyle w:val="Heading2"/>
        <w:keepNext/>
        <w:pageBreakBefore w:val="0"/>
        <w:widowControl/>
      </w:pPr>
      <w:r>
        <w:t>3.2 Objetivos específicos</w:t>
      </w:r>
    </w:p>
    <w:p>
      <w:pPr>
        <w:pStyle w:val="ListBullet"/>
        <w:widowControl/>
        <w:spacing w:after="70" w:line="259" w:lineRule="auto"/>
        <w:ind w:left="340" w:hanging="142"/>
      </w:pPr>
      <w:r>
        <w:t>iniciar atendimento essencial em configuração N1 no menor prazo tecnicamente viável;</w:t>
      </w:r>
    </w:p>
    <w:p>
      <w:pPr>
        <w:pStyle w:val="ListBullet"/>
        <w:widowControl/>
        <w:spacing w:after="70" w:line="259" w:lineRule="auto"/>
        <w:ind w:left="340" w:hanging="142"/>
      </w:pPr>
      <w:r>
        <w:t>implantar configuração hospitalar N3 em até 24 horas após chegada da carga a sítio liberado e apto, como meta a validar em consulta ao mercado;</w:t>
      </w:r>
    </w:p>
    <w:p>
      <w:pPr>
        <w:pStyle w:val="ListBullet"/>
        <w:widowControl/>
        <w:spacing w:after="70" w:line="259" w:lineRule="auto"/>
        <w:ind w:left="340" w:hanging="142"/>
      </w:pPr>
      <w:r>
        <w:t>escalar ou reduzir módulos sem interromper a assistência;</w:t>
      </w:r>
    </w:p>
    <w:p>
      <w:pPr>
        <w:pStyle w:val="ListBullet"/>
        <w:widowControl/>
        <w:spacing w:after="70" w:line="259" w:lineRule="auto"/>
        <w:ind w:left="340" w:hanging="142"/>
      </w:pPr>
      <w:r>
        <w:t>garantir redundância dos sistemas críticos e autonomia inicial mínima de 72 horas;</w:t>
      </w:r>
    </w:p>
    <w:p>
      <w:pPr>
        <w:pStyle w:val="ListBullet"/>
        <w:widowControl/>
        <w:spacing w:after="70" w:line="259" w:lineRule="auto"/>
        <w:ind w:left="340" w:hanging="142"/>
      </w:pPr>
      <w:r>
        <w:t>assegurar comunicação por satélite, rede móvel e rádio, com contingência;</w:t>
      </w:r>
    </w:p>
    <w:p>
      <w:pPr>
        <w:pStyle w:val="ListBullet"/>
        <w:widowControl/>
        <w:spacing w:after="70" w:line="259" w:lineRule="auto"/>
        <w:ind w:left="340" w:hanging="142"/>
      </w:pPr>
      <w:r>
        <w:t>integrar triagem, regulação, vigilância, prontuário, diagnóstico, farmácia e logística;</w:t>
      </w:r>
    </w:p>
    <w:p>
      <w:pPr>
        <w:pStyle w:val="ListBullet"/>
        <w:widowControl/>
        <w:spacing w:after="70" w:line="259" w:lineRule="auto"/>
        <w:ind w:left="340" w:hanging="142"/>
      </w:pPr>
      <w:r>
        <w:t>manter inventário, manutenção, calibração, treinamento e simulações durante a prontidão;</w:t>
      </w:r>
    </w:p>
    <w:p>
      <w:pPr>
        <w:pStyle w:val="ListBullet"/>
        <w:widowControl/>
        <w:spacing w:after="70" w:line="259" w:lineRule="auto"/>
        <w:ind w:left="340" w:hanging="142"/>
      </w:pPr>
      <w:r>
        <w:t>estabelecer medição por resultados, níveis de serviço e evidências verificáveis.</w:t>
      </w:r>
    </w:p>
    <w:p>
      <w:pPr>
        <w:pStyle w:val="Heading1"/>
        <w:keepNext/>
        <w:pageBreakBefore w:val="0"/>
        <w:widowControl/>
      </w:pPr>
      <w:r>
        <w:t>4. Alinhamento institucional e normativo</w:t>
      </w:r>
    </w:p>
    <w:p>
      <w:pPr>
        <w:widowControl/>
      </w:pPr>
      <w:r>
        <w:t>A demanda deverá ser vinculada ao planejamento estratégico, ao Plano de Contratações Anual e aos instrumentos orçamentários da SES-MT. Caso ainda não esteja prevista no PCA, a área requisitante deverá justificar a inclusão superveniente e demonstrar disponibilidade orçamentária conforme o rito estadual.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62"/>
        <w:gridCol w:w="4762"/>
      </w:tblGrid>
      <w:tr>
        <w:trPr>
          <w:tblHeader w:val="true"/>
          <w:cantSplit/>
          <w:tblHeader w:val="true"/>
          <w:tblHeader w:val="true"/>
        </w:trPr>
        <w:tc>
          <w:tcPr>
            <w:tcW w:type="dxa" w:w="3402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Referência</w:t>
            </w:r>
          </w:p>
        </w:tc>
        <w:tc>
          <w:tcPr>
            <w:tcW w:type="dxa" w:w="6236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Aplicação ao planejamento</w:t>
            </w:r>
          </w:p>
        </w:tc>
      </w:tr>
      <w:tr>
        <w:trPr>
          <w:cantSplit/>
          <w:cantSplit/>
        </w:trPr>
        <w:tc>
          <w:tcPr>
            <w:tcW w:type="dxa" w:w="3402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Lei Federal nº 14.133/2021</w:t>
            </w:r>
          </w:p>
        </w:tc>
        <w:tc>
          <w:tcPr>
            <w:tcW w:type="dxa" w:w="6236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Planejamento da contratação, ETP, Termo de Referência, parcelamento, prova de conceito, matriz de riscos, gestão e fiscalização.</w:t>
            </w:r>
          </w:p>
        </w:tc>
      </w:tr>
      <w:tr>
        <w:trPr>
          <w:cantSplit/>
          <w:cantSplit/>
        </w:trPr>
        <w:tc>
          <w:tcPr>
            <w:tcW w:type="dxa" w:w="3402"/>
            <w:shd w:fill="F3F7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Decreto Estadual nº 1.525/2022 e normas estaduais correlatas</w:t>
            </w:r>
          </w:p>
        </w:tc>
        <w:tc>
          <w:tcPr>
            <w:tcW w:type="dxa" w:w="6236"/>
            <w:shd w:fill="F3F7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Regulamentação da Lei nº 14.133/2021 no Poder Executivo de Mato Grosso e procedimentos do SIAG.</w:t>
            </w:r>
          </w:p>
        </w:tc>
      </w:tr>
      <w:tr>
        <w:trPr>
          <w:cantSplit/>
          <w:cantSplit/>
        </w:trPr>
        <w:tc>
          <w:tcPr>
            <w:tcW w:type="dxa" w:w="3402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Lei nº 13.709/2018 - LGPD</w:t>
            </w:r>
          </w:p>
        </w:tc>
        <w:tc>
          <w:tcPr>
            <w:tcW w:type="dxa" w:w="6236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Tratamento de dados pessoais e dados de saúde, segurança, controle de acesso e resposta a incidentes.</w:t>
            </w:r>
          </w:p>
        </w:tc>
      </w:tr>
      <w:tr>
        <w:trPr>
          <w:cantSplit/>
          <w:cantSplit/>
        </w:trPr>
        <w:tc>
          <w:tcPr>
            <w:tcW w:type="dxa" w:w="3402"/>
            <w:shd w:fill="F3F7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RDC Anvisa nº 50/2002</w:t>
            </w:r>
          </w:p>
        </w:tc>
        <w:tc>
          <w:tcPr>
            <w:tcW w:type="dxa" w:w="6236"/>
            <w:shd w:fill="F3F7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Referência físico-funcional para estabelecimentos assistenciais, adaptada à natureza temporária e modular.</w:t>
            </w:r>
          </w:p>
        </w:tc>
      </w:tr>
      <w:tr>
        <w:trPr>
          <w:cantSplit/>
          <w:cantSplit/>
        </w:trPr>
        <w:tc>
          <w:tcPr>
            <w:tcW w:type="dxa" w:w="3402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RDC Anvisa nº 63/2011</w:t>
            </w:r>
          </w:p>
        </w:tc>
        <w:tc>
          <w:tcPr>
            <w:tcW w:type="dxa" w:w="6236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Boas práticas de funcionamento, recursos, infraestrutura e qualidade dos serviços de saúde.</w:t>
            </w:r>
          </w:p>
        </w:tc>
      </w:tr>
      <w:tr>
        <w:trPr>
          <w:cantSplit/>
          <w:cantSplit/>
        </w:trPr>
        <w:tc>
          <w:tcPr>
            <w:tcW w:type="dxa" w:w="3402"/>
            <w:shd w:fill="F3F7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RDC Anvisa nº 36/2013</w:t>
            </w:r>
          </w:p>
        </w:tc>
        <w:tc>
          <w:tcPr>
            <w:tcW w:type="dxa" w:w="6236"/>
            <w:shd w:fill="F3F7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Ações de segurança do paciente em serviços de saúde.</w:t>
            </w:r>
          </w:p>
        </w:tc>
      </w:tr>
      <w:tr>
        <w:trPr>
          <w:cantSplit/>
          <w:cantSplit/>
        </w:trPr>
        <w:tc>
          <w:tcPr>
            <w:tcW w:type="dxa" w:w="3402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RDC Anvisa nº 222/2018</w:t>
            </w:r>
          </w:p>
        </w:tc>
        <w:tc>
          <w:tcPr>
            <w:tcW w:type="dxa" w:w="6236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Gerenciamento de resíduos de serviços de saúde, inclusive em estruturas móveis/temporárias.</w:t>
            </w:r>
          </w:p>
        </w:tc>
      </w:tr>
      <w:tr>
        <w:trPr>
          <w:cantSplit/>
          <w:cantSplit/>
        </w:trPr>
        <w:tc>
          <w:tcPr>
            <w:tcW w:type="dxa" w:w="3402"/>
            <w:shd w:fill="F3F7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NR-10, NR-23 e NR-32</w:t>
            </w:r>
          </w:p>
        </w:tc>
        <w:tc>
          <w:tcPr>
            <w:tcW w:type="dxa" w:w="6236"/>
            <w:shd w:fill="F3F7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Segurança em eletricidade, proteção contra incêndios e segurança e saúde em serviços de saúde.</w:t>
            </w:r>
          </w:p>
        </w:tc>
      </w:tr>
      <w:tr>
        <w:trPr>
          <w:cantSplit/>
          <w:cantSplit/>
        </w:trPr>
        <w:tc>
          <w:tcPr>
            <w:tcW w:type="dxa" w:w="3402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OMS - Blue Book EMT, 2021</w:t>
            </w:r>
          </w:p>
        </w:tc>
        <w:tc>
          <w:tcPr>
            <w:tcW w:type="dxa" w:w="6236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Classificação e padrões mínimos para equipes médicas de emergência; referência funcional para N3.</w:t>
            </w:r>
          </w:p>
        </w:tc>
      </w:tr>
      <w:tr>
        <w:trPr>
          <w:cantSplit/>
          <w:cantSplit/>
        </w:trPr>
        <w:tc>
          <w:tcPr>
            <w:tcW w:type="dxa" w:w="3402"/>
            <w:shd w:fill="F3F7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Consulta Pública FNSUS nº 04/2026</w:t>
            </w:r>
          </w:p>
        </w:tc>
        <w:tc>
          <w:tcPr>
            <w:tcW w:type="dxa" w:w="6236"/>
            <w:shd w:fill="F3F7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Benchmark nacional recente para hospital de campanha modular EMT Tipo 2, testes, logística e consulta ao mercado.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IBGE - estimativa populacional 2026 e área territorial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Caracterização da população, escala territorial e dispersão geográfica.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SES-MT - organização regional 2026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Abrangência de 142 municípios distribuídos em 16 Regiões de Saúde.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CBMMT - Relatório Final da Temporada de Incêndios Florestais 2025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Evidência de operações extensas, temporárias, descentralizadas e de difícil acesso.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CEMADEN - Nota Técnica do Pantanal 2024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Evidência de seca prolongada e déficit hidrológico na Bacia do Alto Paraguai.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SES-MT - Perfil dos óbitos por dengue e chikungunya 2025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Evidência de gravidade, concentração regional da assistência e necessidade de expansão temporária.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As normas técnicas específicas de instalações elétricas, gases medicinais, climatização, proteção contra incêndio, radiologia, acessibilidade, engenharia clínica e telecomunicações deverão ser confirmadas pelas áreas competentes na elaboração do Termo de Referência, adotando-se sempre suas versões vigentes. A simples menção a uma norma não dispensa a definição do desempenho esperado e do método de comprovação.</w:t>
      </w:r>
    </w:p>
    <w:p>
      <w:pPr>
        <w:pStyle w:val="Heading1"/>
        <w:keepNext/>
        <w:pageBreakBefore w:val="0"/>
        <w:widowControl/>
      </w:pPr>
      <w:r>
        <w:t>5. Cenários de emprego e estimativa da demanda</w:t>
      </w:r>
    </w:p>
    <w:p>
      <w:pPr>
        <w:pStyle w:val="Heading2"/>
        <w:keepNext/>
        <w:pageBreakBefore w:val="0"/>
        <w:widowControl/>
      </w:pPr>
      <w:r>
        <w:t>5.1 Cenários prioritários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75"/>
        <w:gridCol w:w="3175"/>
        <w:gridCol w:w="3175"/>
      </w:tblGrid>
      <w:tr>
        <w:trPr>
          <w:tblHeader w:val="true"/>
          <w:cantSplit/>
          <w:tblHeader w:val="true"/>
        </w:trPr>
        <w:tc>
          <w:tcPr>
            <w:tcW w:type="dxa" w:w="1440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2160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Lacuna provável</w:t>
            </w:r>
          </w:p>
        </w:tc>
        <w:tc>
          <w:tcPr>
            <w:tcW w:type="dxa" w:w="2232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Resposta modular</w:t>
            </w:r>
          </w:p>
        </w:tc>
      </w:tr>
      <w:tr>
        <w:trPr>
          <w:cantSplit/>
          <w:cantSplit/>
        </w:trPr>
        <w:tc>
          <w:tcPr>
            <w:tcW w:type="dxa" w:w="14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Enchentes, incêndios florestais, seca extrema e eventos climáticos</w:t>
            </w:r>
          </w:p>
        </w:tc>
        <w:tc>
          <w:tcPr>
            <w:tcW w:type="dxa" w:w="216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Isolamento territorial, perda de unidade, demanda respiratória/trauma, falha de energia ou água.</w:t>
            </w:r>
          </w:p>
        </w:tc>
        <w:tc>
          <w:tcPr>
            <w:tcW w:type="dxa" w:w="223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N1/N2 para reforço; N3/N4 quando houver perda de capacidade hospitalar.</w:t>
            </w:r>
          </w:p>
        </w:tc>
      </w:tr>
      <w:tr>
        <w:trPr>
          <w:cantSplit/>
          <w:cantSplit/>
        </w:trPr>
        <w:tc>
          <w:tcPr>
            <w:tcW w:type="dxa" w:w="144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Surto, epidemia ou ameaça biológica</w:t>
            </w:r>
          </w:p>
        </w:tc>
        <w:tc>
          <w:tcPr>
            <w:tcW w:type="dxa" w:w="216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Aumento rápido de demanda, necessidade de separação de fluxos e isolamento.</w:t>
            </w:r>
          </w:p>
        </w:tc>
        <w:tc>
          <w:tcPr>
            <w:tcW w:type="dxa" w:w="223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N1 de triagem; N2 assistencial; N3 com isolamento e internação.</w:t>
            </w:r>
          </w:p>
        </w:tc>
      </w:tr>
      <w:tr>
        <w:trPr>
          <w:cantSplit/>
          <w:cantSplit/>
        </w:trPr>
        <w:tc>
          <w:tcPr>
            <w:tcW w:type="dxa" w:w="14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Incidente com múltiplas vítimas</w:t>
            </w:r>
          </w:p>
        </w:tc>
        <w:tc>
          <w:tcPr>
            <w:tcW w:type="dxa" w:w="216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Pico de vítimas, estabilização, cirurgia e evacuação.</w:t>
            </w:r>
          </w:p>
        </w:tc>
        <w:tc>
          <w:tcPr>
            <w:tcW w:type="dxa" w:w="223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N1 imediato; N2/N3 conforme número e gravidade.</w:t>
            </w:r>
          </w:p>
        </w:tc>
      </w:tr>
      <w:tr>
        <w:trPr>
          <w:cantSplit/>
          <w:cantSplit/>
        </w:trPr>
        <w:tc>
          <w:tcPr>
            <w:tcW w:type="dxa" w:w="144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Interrupção de hospital</w:t>
            </w:r>
          </w:p>
        </w:tc>
        <w:tc>
          <w:tcPr>
            <w:tcW w:type="dxa" w:w="216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Perda parcial ou total de emergência, internação, centro cirúrgico ou utilidades.</w:t>
            </w:r>
          </w:p>
        </w:tc>
        <w:tc>
          <w:tcPr>
            <w:tcW w:type="dxa" w:w="223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Módulos específicos ou N3; N4 se substituição prolongada.</w:t>
            </w:r>
          </w:p>
        </w:tc>
      </w:tr>
      <w:tr>
        <w:trPr>
          <w:cantSplit/>
          <w:cantSplit/>
        </w:trPr>
        <w:tc>
          <w:tcPr>
            <w:tcW w:type="dxa" w:w="14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Desassistência temporária ou acesso remoto</w:t>
            </w:r>
          </w:p>
        </w:tc>
        <w:tc>
          <w:tcPr>
            <w:tcW w:type="dxa" w:w="216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Capacidade local insuficiente e longas distâncias de referência.</w:t>
            </w:r>
          </w:p>
        </w:tc>
        <w:tc>
          <w:tcPr>
            <w:tcW w:type="dxa" w:w="223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N1/N2, com telemedicina e diagnóstico portátil.</w:t>
            </w:r>
          </w:p>
        </w:tc>
      </w:tr>
      <w:tr>
        <w:trPr>
          <w:cantSplit/>
          <w:cantSplit/>
        </w:trPr>
        <w:tc>
          <w:tcPr>
            <w:tcW w:type="dxa" w:w="144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Grande evento</w:t>
            </w:r>
          </w:p>
        </w:tc>
        <w:tc>
          <w:tcPr>
            <w:tcW w:type="dxa" w:w="216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Demanda concentrada e necessidade de retaguarda temporária.</w:t>
            </w:r>
          </w:p>
        </w:tc>
        <w:tc>
          <w:tcPr>
            <w:tcW w:type="dxa" w:w="223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N1/N2 pré-posicionado.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5.2 Variáveis para escolha do nível</w:t>
      </w:r>
    </w:p>
    <w:p>
      <w:pPr>
        <w:pStyle w:val="ListBullet"/>
        <w:widowControl/>
        <w:spacing w:after="70" w:line="259" w:lineRule="auto"/>
        <w:ind w:left="340" w:hanging="142"/>
      </w:pPr>
      <w:r>
        <w:t>número estimado de pacientes por dia, vítimas críticas e necessidade de internação;</w:t>
      </w:r>
    </w:p>
    <w:p>
      <w:pPr>
        <w:pStyle w:val="ListBullet"/>
        <w:widowControl/>
        <w:spacing w:after="70" w:line="259" w:lineRule="auto"/>
        <w:ind w:left="340" w:hanging="142"/>
      </w:pPr>
      <w:r>
        <w:t>capacidade residual e tempo de recuperação da rede local;</w:t>
      </w:r>
    </w:p>
    <w:p>
      <w:pPr>
        <w:pStyle w:val="ListBullet"/>
        <w:widowControl/>
        <w:spacing w:after="70" w:line="259" w:lineRule="auto"/>
        <w:ind w:left="340" w:hanging="142"/>
      </w:pPr>
      <w:r>
        <w:t>necessidade de cirurgia, cuidados intensivos, isolamento, pediatria ou obstetrícia;</w:t>
      </w:r>
    </w:p>
    <w:p>
      <w:pPr>
        <w:pStyle w:val="ListBullet"/>
        <w:widowControl/>
        <w:spacing w:after="70" w:line="259" w:lineRule="auto"/>
        <w:ind w:left="340" w:hanging="142"/>
      </w:pPr>
      <w:r>
        <w:t>duração projetada da operação e possibilidade de reabastecimento;</w:t>
      </w:r>
    </w:p>
    <w:p>
      <w:pPr>
        <w:pStyle w:val="ListBullet"/>
        <w:widowControl/>
        <w:spacing w:after="70" w:line="259" w:lineRule="auto"/>
        <w:ind w:left="340" w:hanging="142"/>
      </w:pPr>
      <w:r>
        <w:t>distância, condição dos acessos, segurança e riscos do sítio;</w:t>
      </w:r>
    </w:p>
    <w:p>
      <w:pPr>
        <w:pStyle w:val="ListBullet"/>
        <w:widowControl/>
        <w:spacing w:after="70" w:line="259" w:lineRule="auto"/>
        <w:ind w:left="340" w:hanging="142"/>
      </w:pPr>
      <w:r>
        <w:t>disponibilidade de energia, água, saneamento, comunicações e destino de resíduos;</w:t>
      </w:r>
    </w:p>
    <w:p>
      <w:pPr>
        <w:pStyle w:val="ListBullet"/>
        <w:widowControl/>
        <w:spacing w:after="70" w:line="259" w:lineRule="auto"/>
        <w:ind w:left="340" w:hanging="142"/>
      </w:pPr>
      <w:r>
        <w:t>necessidade de evacuação, regulação e integração com hospitais de referência.</w:t>
      </w:r>
    </w:p>
    <w:p>
      <w:pPr>
        <w:pStyle w:val="Heading2"/>
        <w:keepNext/>
        <w:pageBreakBefore w:val="0"/>
        <w:widowControl/>
      </w:pPr>
      <w:r>
        <w:t>5.3 Método de dimensionamento</w:t>
      </w:r>
    </w:p>
    <w:p>
      <w:pPr>
        <w:widowControl/>
      </w:pPr>
      <w:r>
        <w:t>Os quantitativos deverão ser validados com base em cenários históricos estaduais, capacidade instalada, vazios assistenciais, tempos de deslocamento, população exposta e análise de risco. Para cada nível, recomenda-se utilizar as seguintes memórias de cálculo: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62"/>
        <w:gridCol w:w="4762"/>
      </w:tblGrid>
      <w:tr>
        <w:trPr>
          <w:tblHeader w:val="true"/>
          <w:cantSplit/>
          <w:tblHeader w:val="true"/>
        </w:trPr>
        <w:tc>
          <w:tcPr>
            <w:tcW w:type="dxa" w:w="1440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4392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Memória de cálculo recomendada</w:t>
            </w:r>
          </w:p>
        </w:tc>
      </w:tr>
      <w:tr>
        <w:trPr>
          <w:cantSplit/>
          <w:cantSplit/>
        </w:trPr>
        <w:tc>
          <w:tcPr>
            <w:tcW w:type="dxa" w:w="14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Atendimento diário</w:t>
            </w:r>
          </w:p>
        </w:tc>
        <w:tc>
          <w:tcPr>
            <w:tcW w:type="dxa" w:w="439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Demanda projetada por 24 h x fator de pico x duração da missão.</w:t>
            </w:r>
          </w:p>
        </w:tc>
      </w:tr>
      <w:tr>
        <w:trPr>
          <w:cantSplit/>
          <w:cantSplit/>
        </w:trPr>
        <w:tc>
          <w:tcPr>
            <w:tcW w:type="dxa" w:w="144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Leitos</w:t>
            </w:r>
          </w:p>
        </w:tc>
        <w:tc>
          <w:tcPr>
            <w:tcW w:type="dxa" w:w="439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Entradas/dia x proporção de internação x permanência média, acrescida de reserva técnica.</w:t>
            </w:r>
          </w:p>
        </w:tc>
      </w:tr>
      <w:tr>
        <w:trPr>
          <w:cantSplit/>
          <w:cantSplit/>
        </w:trPr>
        <w:tc>
          <w:tcPr>
            <w:tcW w:type="dxa" w:w="14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Posições críticas</w:t>
            </w:r>
          </w:p>
        </w:tc>
        <w:tc>
          <w:tcPr>
            <w:tcW w:type="dxa" w:w="439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Chegadas críticas por hora x tempo médio de estabilização x fator de simultaneidade.</w:t>
            </w:r>
          </w:p>
        </w:tc>
      </w:tr>
      <w:tr>
        <w:trPr>
          <w:cantSplit/>
          <w:cantSplit/>
        </w:trPr>
        <w:tc>
          <w:tcPr>
            <w:tcW w:type="dxa" w:w="144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Oxigênio</w:t>
            </w:r>
          </w:p>
        </w:tc>
        <w:tc>
          <w:tcPr>
            <w:tcW w:type="dxa" w:w="439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Número de pacientes por modalidade x fluxo médio x horas de uso x fator de segurança.</w:t>
            </w:r>
          </w:p>
        </w:tc>
      </w:tr>
      <w:tr>
        <w:trPr>
          <w:cantSplit/>
          <w:cantSplit/>
        </w:trPr>
        <w:tc>
          <w:tcPr>
            <w:tcW w:type="dxa" w:w="14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Água</w:t>
            </w:r>
          </w:p>
        </w:tc>
        <w:tc>
          <w:tcPr>
            <w:tcW w:type="dxa" w:w="439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Pacientes + trabalhadores x consumo por pessoa/dia + processos clínicos e limpeza.</w:t>
            </w:r>
          </w:p>
        </w:tc>
      </w:tr>
      <w:tr>
        <w:trPr>
          <w:cantSplit/>
          <w:cantSplit/>
        </w:trPr>
        <w:tc>
          <w:tcPr>
            <w:tcW w:type="dxa" w:w="144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Energia</w:t>
            </w:r>
          </w:p>
        </w:tc>
        <w:tc>
          <w:tcPr>
            <w:tcW w:type="dxa" w:w="439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Somatório de cargas simultâneas x fator de demanda + partida de motores + reserva N+1.</w:t>
            </w:r>
          </w:p>
        </w:tc>
      </w:tr>
      <w:tr>
        <w:trPr>
          <w:cantSplit/>
          <w:cantSplit/>
        </w:trPr>
        <w:tc>
          <w:tcPr>
            <w:tcW w:type="dxa" w:w="14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Medicamentos e insumos</w:t>
            </w:r>
          </w:p>
        </w:tc>
        <w:tc>
          <w:tcPr>
            <w:tcW w:type="dxa" w:w="439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Protocolos assistenciais x casuística estimada x dias de autonomia + estoque de segurança.</w:t>
            </w:r>
          </w:p>
        </w:tc>
      </w:tr>
      <w:tr>
        <w:trPr>
          <w:cantSplit/>
          <w:cantSplit/>
        </w:trPr>
        <w:tc>
          <w:tcPr>
            <w:tcW w:type="dxa" w:w="144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Equipes</w:t>
            </w:r>
          </w:p>
        </w:tc>
        <w:tc>
          <w:tcPr>
            <w:tcW w:type="dxa" w:w="439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Postos de trabalho por turno x cobertura 24/7 x descanso e reserva operacional.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</w:pPr>
      <w:r>
        <w:t>6. Requisitos da contratação</w:t>
      </w:r>
    </w:p>
    <w:p>
      <w:pPr>
        <w:pStyle w:val="Heading2"/>
        <w:keepNext/>
        <w:pageBreakBefore w:val="0"/>
        <w:widowControl/>
      </w:pPr>
      <w:r>
        <w:t>6.1 Requisitos funcionais mínimos</w:t>
      </w:r>
    </w:p>
    <w:p>
      <w:pPr>
        <w:pStyle w:val="ListBullet"/>
        <w:widowControl/>
        <w:spacing w:after="70" w:line="259" w:lineRule="auto"/>
        <w:ind w:left="340" w:hanging="142"/>
      </w:pPr>
      <w:r>
        <w:t>ativação parcial e independente dos módulos, com interfaces padronizadas;</w:t>
      </w:r>
    </w:p>
    <w:p>
      <w:pPr>
        <w:pStyle w:val="ListBullet"/>
        <w:widowControl/>
        <w:spacing w:after="70" w:line="259" w:lineRule="auto"/>
        <w:ind w:left="340" w:hanging="142"/>
      </w:pPr>
      <w:r>
        <w:t>transporte, descarga, instalação, comissionamento, operação, manutenção e desmobilização door-to-field;</w:t>
      </w:r>
    </w:p>
    <w:p>
      <w:pPr>
        <w:pStyle w:val="ListBullet"/>
        <w:widowControl/>
        <w:spacing w:after="70" w:line="259" w:lineRule="auto"/>
        <w:ind w:left="340" w:hanging="142"/>
      </w:pPr>
      <w:r>
        <w:t>layout com fluxos de pacientes, trabalhadores, materiais limpos, resíduos e ambulâncias;</w:t>
      </w:r>
    </w:p>
    <w:p>
      <w:pPr>
        <w:pStyle w:val="ListBullet"/>
        <w:widowControl/>
        <w:spacing w:after="70" w:line="259" w:lineRule="auto"/>
        <w:ind w:left="340" w:hanging="142"/>
      </w:pPr>
      <w:r>
        <w:t>piso rígido, lavável, antiderrapante, acessível, nivelável e compatível com macas e equipamentos;</w:t>
      </w:r>
    </w:p>
    <w:p>
      <w:pPr>
        <w:pStyle w:val="ListBullet"/>
        <w:widowControl/>
        <w:spacing w:after="70" w:line="259" w:lineRule="auto"/>
        <w:ind w:left="340" w:hanging="142"/>
      </w:pPr>
      <w:r>
        <w:t>proteção climática, ancoragem, estanqueidade, isolamento térmico e controle de pragas;</w:t>
      </w:r>
    </w:p>
    <w:p>
      <w:pPr>
        <w:pStyle w:val="ListBullet"/>
        <w:widowControl/>
        <w:spacing w:after="70" w:line="259" w:lineRule="auto"/>
        <w:ind w:left="340" w:hanging="142"/>
      </w:pPr>
      <w:r>
        <w:t>sistemas críticos redundantes, peças sobressalentes e contingência documentada;</w:t>
      </w:r>
    </w:p>
    <w:p>
      <w:pPr>
        <w:pStyle w:val="ListBullet"/>
        <w:widowControl/>
        <w:spacing w:after="70" w:line="259" w:lineRule="auto"/>
        <w:ind w:left="340" w:hanging="142"/>
      </w:pPr>
      <w:r>
        <w:t>capacidade de expansão sem fechamento da unidade;</w:t>
      </w:r>
    </w:p>
    <w:p>
      <w:pPr>
        <w:pStyle w:val="ListBullet"/>
        <w:widowControl/>
        <w:spacing w:after="70" w:line="259" w:lineRule="auto"/>
        <w:ind w:left="340" w:hanging="142"/>
      </w:pPr>
      <w:r>
        <w:t>registro digital de inventário, manutenção, consumo, lote, validade, ocorrências e desempenho.</w:t>
      </w:r>
    </w:p>
    <w:p>
      <w:pPr>
        <w:pStyle w:val="Heading2"/>
        <w:keepNext/>
        <w:pageBreakBefore w:val="0"/>
        <w:widowControl/>
      </w:pPr>
      <w:r>
        <w:t>6.2 Requisitos clínicos e de apoio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62"/>
        <w:gridCol w:w="4762"/>
      </w:tblGrid>
      <w:tr>
        <w:trPr>
          <w:tblHeader w:val="true"/>
          <w:cantSplit/>
          <w:tblHeader w:val="true"/>
        </w:trPr>
        <w:tc>
          <w:tcPr>
            <w:tcW w:type="dxa" w:w="1260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Domínio</w:t>
            </w:r>
          </w:p>
        </w:tc>
        <w:tc>
          <w:tcPr>
            <w:tcW w:type="dxa" w:w="4572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Requisito</w:t>
            </w:r>
          </w:p>
        </w:tc>
      </w:tr>
      <w:tr>
        <w:trPr>
          <w:cantSplit/>
          <w:cantSplit/>
        </w:trPr>
        <w:tc>
          <w:tcPr>
            <w:tcW w:type="dxa" w:w="126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Triagem e recepção</w:t>
            </w:r>
          </w:p>
        </w:tc>
        <w:tc>
          <w:tcPr>
            <w:tcW w:type="dxa" w:w="457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Cadastro, classificação de risco, identificação, espera protegida e fluxos separados quando indicados.</w:t>
            </w:r>
          </w:p>
        </w:tc>
      </w:tr>
      <w:tr>
        <w:trPr>
          <w:cantSplit/>
          <w:cantSplit/>
        </w:trPr>
        <w:tc>
          <w:tcPr>
            <w:tcW w:type="dxa" w:w="126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Emergência</w:t>
            </w:r>
          </w:p>
        </w:tc>
        <w:tc>
          <w:tcPr>
            <w:tcW w:type="dxa" w:w="457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Sala de estabilização com monitorização, ventilação, desfibrilação, aspiração, infusão e procedimentos.</w:t>
            </w:r>
          </w:p>
        </w:tc>
      </w:tr>
      <w:tr>
        <w:trPr>
          <w:cantSplit/>
          <w:cantSplit/>
        </w:trPr>
        <w:tc>
          <w:tcPr>
            <w:tcW w:type="dxa" w:w="126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Internação</w:t>
            </w:r>
          </w:p>
        </w:tc>
        <w:tc>
          <w:tcPr>
            <w:tcW w:type="dxa" w:w="457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Leitos modularizados, privacidade, oxigênio, pontos elétricos e posto de enfermagem.</w:t>
            </w:r>
          </w:p>
        </w:tc>
      </w:tr>
      <w:tr>
        <w:trPr>
          <w:cantSplit/>
          <w:cantSplit/>
        </w:trPr>
        <w:tc>
          <w:tcPr>
            <w:tcW w:type="dxa" w:w="126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Cirurgia</w:t>
            </w:r>
          </w:p>
        </w:tc>
        <w:tc>
          <w:tcPr>
            <w:tcW w:type="dxa" w:w="457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Sala cirúrgica, anestesia, recuperação pós-anestésica, controle ambiental e esterilização.</w:t>
            </w:r>
          </w:p>
        </w:tc>
      </w:tr>
      <w:tr>
        <w:trPr>
          <w:cantSplit/>
          <w:cantSplit/>
        </w:trPr>
        <w:tc>
          <w:tcPr>
            <w:tcW w:type="dxa" w:w="126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Isolamento</w:t>
            </w:r>
          </w:p>
        </w:tc>
        <w:tc>
          <w:tcPr>
            <w:tcW w:type="dxa" w:w="457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Ambientes independentes; quando houver transmissão aérea, pressão negativa, monitorização, alarmes, exaustão/filtragem e contingência.</w:t>
            </w:r>
          </w:p>
        </w:tc>
      </w:tr>
      <w:tr>
        <w:trPr>
          <w:cantSplit/>
          <w:cantSplit/>
        </w:trPr>
        <w:tc>
          <w:tcPr>
            <w:tcW w:type="dxa" w:w="126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Diagnóstico</w:t>
            </w:r>
          </w:p>
        </w:tc>
        <w:tc>
          <w:tcPr>
            <w:tcW w:type="dxa" w:w="457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Laboratório point-of-care, ultrassom portátil, radiografia digital móvel e integração de resultados.</w:t>
            </w:r>
          </w:p>
        </w:tc>
      </w:tr>
      <w:tr>
        <w:trPr>
          <w:cantSplit/>
          <w:cantSplit/>
        </w:trPr>
        <w:tc>
          <w:tcPr>
            <w:tcW w:type="dxa" w:w="126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Farmácia</w:t>
            </w:r>
          </w:p>
        </w:tc>
        <w:tc>
          <w:tcPr>
            <w:tcW w:type="dxa" w:w="457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Armazenamento seguro, cadeia fria, rastreabilidade, dispensação e controle de medicamentos sujeitos a controle especial.</w:t>
            </w:r>
          </w:p>
        </w:tc>
      </w:tr>
      <w:tr>
        <w:trPr>
          <w:cantSplit/>
          <w:cantSplit/>
        </w:trPr>
        <w:tc>
          <w:tcPr>
            <w:tcW w:type="dxa" w:w="126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WASH</w:t>
            </w:r>
          </w:p>
        </w:tc>
        <w:tc>
          <w:tcPr>
            <w:tcW w:type="dxa" w:w="457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Água segura, reservação, distribuição, lavatórios, sanitários, chuveiros, drenagem, efluentes e controle de qualidade.</w:t>
            </w:r>
          </w:p>
        </w:tc>
      </w:tr>
      <w:tr>
        <w:trPr>
          <w:cantSplit/>
          <w:cantSplit/>
        </w:trPr>
        <w:tc>
          <w:tcPr>
            <w:tcW w:type="dxa" w:w="126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Resíduos</w:t>
            </w:r>
          </w:p>
        </w:tc>
        <w:tc>
          <w:tcPr>
            <w:tcW w:type="dxa" w:w="457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PGRSS operacional, segregação, acondicionamento, abrigo, transporte, tratamento/destinação e contingência.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6.3 Energia, gases e climatização</w:t>
      </w:r>
    </w:p>
    <w:p>
      <w:pPr>
        <w:pStyle w:val="ListBullet"/>
        <w:widowControl/>
        <w:spacing w:after="70" w:line="259" w:lineRule="auto"/>
        <w:ind w:left="340" w:hanging="142"/>
      </w:pPr>
      <w:r>
        <w:t>arquitetura N+1 para cargas críticas, com rede quando disponível, geradores, transferência e UPS/baterias;</w:t>
      </w:r>
    </w:p>
    <w:p>
      <w:pPr>
        <w:pStyle w:val="ListBullet"/>
        <w:widowControl/>
        <w:spacing w:after="70" w:line="259" w:lineRule="auto"/>
        <w:ind w:left="340" w:hanging="142"/>
      </w:pPr>
      <w:r>
        <w:t>autonomia inicial mínima de 72 horas, incluído combustível, e plano de reabastecimento contínuo;</w:t>
      </w:r>
    </w:p>
    <w:p>
      <w:pPr>
        <w:pStyle w:val="ListBullet"/>
        <w:keepLines/>
        <w:widowControl/>
        <w:spacing w:after="70" w:line="259" w:lineRule="auto" w:before="120"/>
        <w:ind w:left="340" w:hanging="142"/>
      </w:pPr>
      <w:r>
        <w:t>aterramento, proteção contra surtos, seletividade, monitoramento de carga e diagramas atualizados;</w:t>
      </w:r>
    </w:p>
    <w:p>
      <w:pPr>
        <w:pStyle w:val="ListBullet"/>
        <w:widowControl/>
        <w:spacing w:after="70" w:line="259" w:lineRule="auto"/>
        <w:ind w:left="340" w:hanging="142"/>
      </w:pPr>
      <w:r>
        <w:t>oxigênio medicinal, aspiração/vácuo e, quando requerido, ar comprimido medicinal, com fonte principal e reserva;</w:t>
      </w:r>
    </w:p>
    <w:p>
      <w:pPr>
        <w:pStyle w:val="ListBullet"/>
        <w:widowControl/>
        <w:spacing w:after="70" w:line="259" w:lineRule="auto"/>
        <w:ind w:left="340" w:hanging="142"/>
      </w:pPr>
      <w:r>
        <w:t>cálculos de consumo e capacidade para pico assistencial, com alarmes e plano de contingência;</w:t>
      </w:r>
    </w:p>
    <w:p>
      <w:pPr>
        <w:pStyle w:val="ListBullet"/>
        <w:widowControl/>
        <w:spacing w:after="70" w:line="259" w:lineRule="auto"/>
        <w:ind w:left="340" w:hanging="142"/>
      </w:pPr>
      <w:r>
        <w:t>HVAC dimensionado para o clima de Mato Grosso e para as cargas internas, com controle diferenciado em áreas críticas.</w:t>
      </w:r>
    </w:p>
    <w:p>
      <w:pPr>
        <w:pStyle w:val="Heading2"/>
        <w:keepNext/>
        <w:pageBreakBefore w:val="0"/>
        <w:widowControl/>
      </w:pPr>
      <w:r>
        <w:t>6.4 Requisitos de qualidade e comprovação</w:t>
      </w:r>
    </w:p>
    <w:p>
      <w:pPr>
        <w:pStyle w:val="ListBullet"/>
        <w:widowControl/>
        <w:spacing w:after="70" w:line="259" w:lineRule="auto"/>
        <w:ind w:left="340" w:hanging="142"/>
      </w:pPr>
      <w:r>
        <w:t>registro e regularização dos produtos e equipamentos perante autoridades competentes, quando aplicável;</w:t>
      </w:r>
    </w:p>
    <w:p>
      <w:pPr>
        <w:pStyle w:val="ListBullet"/>
        <w:widowControl/>
        <w:spacing w:after="70" w:line="259" w:lineRule="auto"/>
        <w:ind w:left="340" w:hanging="142"/>
      </w:pPr>
      <w:r>
        <w:t>responsabilidade técnica e Anotações/Registros de Responsabilidade Técnica pertinentes;</w:t>
      </w:r>
    </w:p>
    <w:p>
      <w:pPr>
        <w:pStyle w:val="ListBullet"/>
        <w:widowControl/>
        <w:spacing w:after="70" w:line="259" w:lineRule="auto"/>
        <w:ind w:left="340" w:hanging="142"/>
      </w:pPr>
      <w:r>
        <w:t>laudos, certificados ou ensaios de desempenho emitidos por entidades competentes ou acreditadas;</w:t>
      </w:r>
    </w:p>
    <w:p>
      <w:pPr>
        <w:pStyle w:val="ListBullet"/>
        <w:widowControl/>
        <w:spacing w:after="70" w:line="259" w:lineRule="auto"/>
        <w:ind w:left="340" w:hanging="142"/>
      </w:pPr>
      <w:r>
        <w:t>calibração rastreável de equipamentos e instrumentos;</w:t>
      </w:r>
    </w:p>
    <w:p>
      <w:pPr>
        <w:pStyle w:val="ListBullet"/>
        <w:widowControl/>
        <w:spacing w:after="70" w:line="259" w:lineRule="auto"/>
        <w:ind w:left="340" w:hanging="142"/>
      </w:pPr>
      <w:r>
        <w:t>manuais em português, plano de manutenção, lista de sobressalentes e treinamento;</w:t>
      </w:r>
    </w:p>
    <w:p>
      <w:pPr>
        <w:pStyle w:val="ListBullet"/>
        <w:widowControl/>
        <w:spacing w:after="70" w:line="259" w:lineRule="auto"/>
        <w:ind w:left="340" w:hanging="142"/>
      </w:pPr>
      <w:r>
        <w:t>FAT, SAT, prova de conceito e testes de aceitação integrados;</w:t>
      </w:r>
    </w:p>
    <w:p>
      <w:pPr>
        <w:pStyle w:val="ListBullet"/>
        <w:widowControl/>
        <w:spacing w:after="70" w:line="259" w:lineRule="auto"/>
        <w:ind w:left="340" w:hanging="142"/>
      </w:pPr>
      <w:r>
        <w:t>não direcionamento a marca, admitindo solução equivalente que comprove desempenho.</w:t>
      </w:r>
    </w:p>
    <w:p>
      <w:pPr>
        <w:pStyle w:val="Heading1"/>
        <w:keepNext/>
        <w:pageBreakBefore w:val="0"/>
        <w:widowControl/>
      </w:pPr>
      <w:r>
        <w:t>7. Levantamento de mercado e análise de alternativas</w:t>
      </w:r>
    </w:p>
    <w:p>
      <w:pPr>
        <w:widowControl/>
      </w:pPr>
      <w:r>
        <w:t>O levantamento de mercado deverá consultar fabricantes, integradores, operadores hospitalares, empresas de logística, engenharia clínica, telecomunicações e prestadores assistenciais. Recomenda-se consulta pública ou Request for Information - RFI antes do Termo de Referência, utilizando como referência metodológica a Consulta Pública FNSUS nº 04/2026.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  <w:tblHeader w:val="true"/>
          <w:tblHeader w:val="true"/>
        </w:trPr>
        <w:tc>
          <w:tcPr>
            <w:tcW w:type="dxa" w:w="1984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Alternativa</w:t>
            </w:r>
          </w:p>
        </w:tc>
        <w:tc>
          <w:tcPr>
            <w:tcW w:type="dxa" w:w="2551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Vantagens</w:t>
            </w:r>
          </w:p>
        </w:tc>
        <w:tc>
          <w:tcPr>
            <w:tcW w:type="dxa" w:w="3402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Limitações/riscos</w:t>
            </w:r>
          </w:p>
        </w:tc>
        <w:tc>
          <w:tcPr>
            <w:tcW w:type="dxa" w:w="1701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Avaliação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Aquisição integral pelo Estado</w:t>
            </w:r>
          </w:p>
        </w:tc>
        <w:tc>
          <w:tcPr>
            <w:tcW w:type="dxa" w:w="2551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Patrimônio próprio e disponibilidade exclusiva.</w:t>
            </w:r>
          </w:p>
        </w:tc>
        <w:tc>
          <w:tcPr>
            <w:tcW w:type="dxa" w:w="3402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Alto investimento inicial; armazenamento, obsolescência, manutenção, pessoal e baixa utilização.</w:t>
            </w:r>
          </w:p>
        </w:tc>
        <w:tc>
          <w:tcPr>
            <w:tcW w:type="dxa" w:w="1701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Manter como comparador de custo total do ciclo de vida.</w:t>
            </w:r>
          </w:p>
        </w:tc>
      </w:tr>
      <w:tr>
        <w:trPr>
          <w:cantSplit/>
          <w:cantSplit/>
        </w:trPr>
        <w:tc>
          <w:tcPr>
            <w:tcW w:type="dxa" w:w="1984"/>
            <w:shd w:fill="F3F7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Locação somente após o evento</w:t>
            </w:r>
          </w:p>
        </w:tc>
        <w:tc>
          <w:tcPr>
            <w:tcW w:type="dxa" w:w="2551"/>
            <w:shd w:fill="F3F7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Sem mensalidade de prontidão.</w:t>
            </w:r>
          </w:p>
        </w:tc>
        <w:tc>
          <w:tcPr>
            <w:tcW w:type="dxa" w:w="3402"/>
            <w:shd w:fill="F3F7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Disponibilidade incerta, preço emergencial, prazos longos e solução não testada previamente.</w:t>
            </w:r>
          </w:p>
        </w:tc>
        <w:tc>
          <w:tcPr>
            <w:tcW w:type="dxa" w:w="1701"/>
            <w:shd w:fill="F3F7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Não recomendada como estratégia principal.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Serviço integrado de prontidão e acionamento</w:t>
            </w:r>
          </w:p>
        </w:tc>
        <w:tc>
          <w:tcPr>
            <w:tcW w:type="dxa" w:w="2551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Disponibilidade contratada, manutenção contínua, SLA, modularidade e previsibilidade.</w:t>
            </w:r>
          </w:p>
        </w:tc>
        <w:tc>
          <w:tcPr>
            <w:tcW w:type="dxa" w:w="3402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Exige modelagem cuidadosa, fiscalização e prova de capacidade.</w:t>
            </w:r>
          </w:p>
        </w:tc>
        <w:tc>
          <w:tcPr>
            <w:tcW w:type="dxa" w:w="1701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Alternativa preferencial.</w:t>
            </w:r>
          </w:p>
        </w:tc>
      </w:tr>
      <w:tr>
        <w:trPr>
          <w:cantSplit/>
          <w:cantSplit/>
        </w:trPr>
        <w:tc>
          <w:tcPr>
            <w:tcW w:type="dxa" w:w="1984"/>
            <w:shd w:fill="F3F7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Contratos separados por sistema</w:t>
            </w:r>
          </w:p>
        </w:tc>
        <w:tc>
          <w:tcPr>
            <w:tcW w:type="dxa" w:w="2551"/>
            <w:shd w:fill="F3F7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Maior concorrência por especialidade.</w:t>
            </w:r>
          </w:p>
        </w:tc>
        <w:tc>
          <w:tcPr>
            <w:tcW w:type="dxa" w:w="3402"/>
            <w:shd w:fill="F3F7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Alto risco de interface, comando fragmentado e testes integrados complexos.</w:t>
            </w:r>
          </w:p>
        </w:tc>
        <w:tc>
          <w:tcPr>
            <w:tcW w:type="dxa" w:w="1701"/>
            <w:shd w:fill="F3F7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Usar apenas em lotes funcionalmente integráveis.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Cooperação sem contratação</w:t>
            </w:r>
          </w:p>
        </w:tc>
        <w:tc>
          <w:tcPr>
            <w:tcW w:type="dxa" w:w="2551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Menor custo fixo direto.</w:t>
            </w:r>
          </w:p>
        </w:tc>
        <w:tc>
          <w:tcPr>
            <w:tcW w:type="dxa" w:w="3402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Sem garantia de capacidade, prazo ou exclusividade.</w:t>
            </w:r>
          </w:p>
        </w:tc>
        <w:tc>
          <w:tcPr>
            <w:tcW w:type="dxa" w:w="1701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color w:val="243443"/>
                <w:sz w:val="18"/>
              </w:rPr>
              <w:t>Complementar, nunca substitutiva.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Locação estrutural sem integração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Reduz aquisição patrimonial e permite contratar a estrutura física.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Mantém sob a SES interfaces de logística, energia, TI, equipamentos e comissionamento; risco de dessincronização.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Comparador; não recomendada isoladamente.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Expansão exclusiva da rede fixa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Amplia capacidade permanente e fortalece a regionalização.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Não atende perda súbita de unidades, isolamento territorial ou picos transitórios; longo prazo de implantação.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Complementar e necessária, mas não substitutiva.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7.1 Recomendação da alternativa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E8F3EE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Alternativa mais vantajosa para aprofundamento</w:t>
            </w:r>
          </w:p>
          <w:p>
            <w:pPr>
              <w:spacing w:after="0" w:line="259" w:lineRule="auto"/>
            </w:pPr>
            <w:r>
              <w:rPr>
                <w:color w:val="243443"/>
                <w:sz w:val="18"/>
              </w:rPr>
              <w:t>Serviço continuado de prontidão e resposta, com infraestrutura e logística integradas, capacidade N3 como referência de planejamento e módulos ou itens precificados separadamente. A decisão final dependerá da comparação do custo total entre aquisição e serviço, da capacidade do mercado e da aderência ao contrato hospitalar no qual a obrigação poderá ser inserida.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</w:pPr>
      <w:r>
        <w:t>8. Solução recomendada</w:t>
      </w:r>
    </w:p>
    <w:p>
      <w:pPr>
        <w:widowControl/>
      </w:pPr>
      <w:r>
        <w:t>A solução será composta por núcleo físico e tecnológico modular, armazenado e mantido em prontidão, com cadeia logística dedicada, equipe de montagem e suporte, sistemas clínicos e utilidades, suprimentos iniciais e possibilidade de ativação de equipes assistenciais. A contratada integradora responderá pelo desempenho conjunto e pela compatibilidade dos subsistemas sob sua responsabilidade.</w:t>
      </w:r>
    </w:p>
    <w:p>
      <w:pPr>
        <w:pStyle w:val="Heading2"/>
        <w:keepNext/>
        <w:pageBreakBefore w:val="0"/>
        <w:widowControl/>
      </w:pPr>
      <w:r>
        <w:t>8.1 Descrição do objeto sugerida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DCEAF5"/>
            <w:tcBorders>
              <w:top w:val="single" w:sz="10" w:space="0" w:color="0B3A66"/>
              <w:left w:val="single" w:sz="10" w:space="0" w:color="0B3A66"/>
              <w:bottom w:val="single" w:sz="10" w:space="0" w:color="0B3A66"/>
              <w:right w:val="single" w:sz="10" w:space="0" w:color="0B3A66"/>
              <w:insideH w:val="single" w:sz="10" w:space="0" w:color="0B3A66"/>
              <w:insideV w:val="single" w:sz="10" w:space="0" w:color="0B3A66"/>
            </w:tcBorders>
          </w:tcPr>
          <w:p>
            <w:pPr>
              <w:spacing w:after="80"/>
            </w:pPr>
            <w:r>
              <w:rPr>
                <w:b/>
                <w:color w:val="0B3A66"/>
                <w:sz w:val="21"/>
              </w:rPr>
              <w:t>Redação-base</w:t>
            </w:r>
          </w:p>
          <w:p>
            <w:pPr>
              <w:spacing w:after="0" w:line="259" w:lineRule="auto"/>
            </w:pPr>
            <w:r>
              <w:rPr>
                <w:color w:val="243443"/>
                <w:sz w:val="18"/>
              </w:rPr>
              <w:t>Contratação de solução integrada, modular, escalável e mobilizável para disponibilidade, transporte, implantação, comissionamento, operação, manutenção e desmobilização de Unidade Hospitalar Modular de Resposta a Emergências - UHMR, compreendendo infraestrutura temporária, equipamentos médico-hospitalares, mobiliário, energia, climatização, gases medicinais, água e saneamento, telecomunicações, tecnologia da informação, conectividade satelital, insumos, apoio logístico e operacional e, quando acionado, equipes profissionais, destinada ao atendimento de emergências em saúde pública, desastres, incidentes com múltiplas vítimas, interrupção de serviços e desassistência.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8.2 Limites de escopo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62"/>
        <w:gridCol w:w="4762"/>
      </w:tblGrid>
      <w:tr>
        <w:trPr>
          <w:tblHeader w:val="true"/>
          <w:cantSplit/>
          <w:tblHeader w:val="true"/>
        </w:trPr>
        <w:tc>
          <w:tcPr>
            <w:tcW w:type="dxa" w:w="2916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Incluído</w:t>
            </w:r>
          </w:p>
        </w:tc>
        <w:tc>
          <w:tcPr>
            <w:tcW w:type="dxa" w:w="2916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 definir/contratação correlata</w:t>
            </w:r>
          </w:p>
        </w:tc>
      </w:tr>
      <w:tr>
        <w:trPr>
          <w:cantSplit/>
          <w:cantSplit/>
        </w:trPr>
        <w:tc>
          <w:tcPr>
            <w:tcW w:type="dxa" w:w="291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Prontidão, armazenagem, inventário, manutenção e testes.</w:t>
            </w:r>
          </w:p>
        </w:tc>
        <w:tc>
          <w:tcPr>
            <w:tcW w:type="dxa" w:w="291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Segurança pública externa e controle territorial do perímetro.</w:t>
            </w:r>
          </w:p>
        </w:tc>
      </w:tr>
      <w:tr>
        <w:trPr>
          <w:cantSplit/>
          <w:cantSplit/>
        </w:trPr>
        <w:tc>
          <w:tcPr>
            <w:tcW w:type="dxa" w:w="291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Transporte, montagem, comissionamento e desmontagem.</w:t>
            </w:r>
          </w:p>
        </w:tc>
        <w:tc>
          <w:tcPr>
            <w:tcW w:type="dxa" w:w="291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Obras permanentes e recuperação definitiva do estabelecimento afetado.</w:t>
            </w:r>
          </w:p>
        </w:tc>
      </w:tr>
      <w:tr>
        <w:trPr>
          <w:cantSplit/>
          <w:cantSplit/>
        </w:trPr>
        <w:tc>
          <w:tcPr>
            <w:tcW w:type="dxa" w:w="291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Utilidades, conectividade, equipamentos e suporte técnico.</w:t>
            </w:r>
          </w:p>
        </w:tc>
        <w:tc>
          <w:tcPr>
            <w:tcW w:type="dxa" w:w="291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Remoção aeromédica e transporte sanitário além do perímetro, salvo módulo específico.</w:t>
            </w:r>
          </w:p>
        </w:tc>
      </w:tr>
      <w:tr>
        <w:trPr>
          <w:cantSplit/>
          <w:cantSplit/>
        </w:trPr>
        <w:tc>
          <w:tcPr>
            <w:tcW w:type="dxa" w:w="291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Consumíveis iniciais e reposição conforme pacote contratado.</w:t>
            </w:r>
          </w:p>
        </w:tc>
        <w:tc>
          <w:tcPr>
            <w:tcW w:type="dxa" w:w="291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Fornecimento de sangue e hemocomponentes, conforme hemorrede e protocolos.</w:t>
            </w:r>
          </w:p>
        </w:tc>
      </w:tr>
      <w:tr>
        <w:trPr>
          <w:cantSplit/>
          <w:cantSplit/>
        </w:trPr>
        <w:tc>
          <w:tcPr>
            <w:tcW w:type="dxa" w:w="291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Equipe operacional e, se acionado, módulo assistencial.</w:t>
            </w:r>
          </w:p>
        </w:tc>
        <w:tc>
          <w:tcPr>
            <w:tcW w:type="dxa" w:w="291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Atribuições indelegáveis de autoridade sanitária, regulação e comando estadual.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</w:pPr>
      <w:r>
        <w:t>9. Arquitetura modular e níveis de ativação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  <w:tblHeader w:val="true"/>
        </w:trPr>
        <w:tc>
          <w:tcPr>
            <w:tcW w:type="dxa" w:w="936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Nível</w:t>
            </w:r>
          </w:p>
        </w:tc>
        <w:tc>
          <w:tcPr>
            <w:tcW w:type="dxa" w:w="1620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Situação de uso</w:t>
            </w:r>
          </w:p>
        </w:tc>
        <w:tc>
          <w:tcPr>
            <w:tcW w:type="dxa" w:w="2340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Capacidade indicativa</w:t>
            </w:r>
          </w:p>
        </w:tc>
        <w:tc>
          <w:tcPr>
            <w:tcW w:type="dxa" w:w="936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Meta de implantação*</w:t>
            </w:r>
          </w:p>
        </w:tc>
      </w:tr>
      <w:tr>
        <w:trPr>
          <w:cantSplit/>
          <w:cantSplit/>
        </w:trPr>
        <w:tc>
          <w:tcPr>
            <w:tcW w:type="dxa" w:w="93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N0 - Prontidão</w:t>
            </w:r>
          </w:p>
        </w:tc>
        <w:tc>
          <w:tcPr>
            <w:tcW w:type="dxa" w:w="162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Sem missão ativa.</w:t>
            </w:r>
          </w:p>
        </w:tc>
        <w:tc>
          <w:tcPr>
            <w:tcW w:type="dxa" w:w="23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Armazenagem, manutenção, estoque, testes e exercícios.</w:t>
            </w:r>
          </w:p>
        </w:tc>
        <w:tc>
          <w:tcPr>
            <w:tcW w:type="dxa" w:w="93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Permanente</w:t>
            </w:r>
          </w:p>
        </w:tc>
      </w:tr>
      <w:tr>
        <w:trPr>
          <w:cantSplit/>
          <w:cantSplit/>
        </w:trPr>
        <w:tc>
          <w:tcPr>
            <w:tcW w:type="dxa" w:w="93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N1 - Resposta rápida</w:t>
            </w:r>
          </w:p>
        </w:tc>
        <w:tc>
          <w:tcPr>
            <w:tcW w:type="dxa" w:w="162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Evento localizado, múltiplas vítimas ou interrupção parcial.</w:t>
            </w:r>
          </w:p>
        </w:tc>
        <w:tc>
          <w:tcPr>
            <w:tcW w:type="dxa" w:w="234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Triagem; 2-4 posições críticas; 6-12 observação; procedimentos; POC.</w:t>
            </w:r>
          </w:p>
        </w:tc>
        <w:tc>
          <w:tcPr>
            <w:tcW w:type="dxa" w:w="93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6-12 h</w:t>
            </w:r>
          </w:p>
        </w:tc>
      </w:tr>
      <w:tr>
        <w:trPr>
          <w:cantSplit/>
          <w:cantSplit/>
        </w:trPr>
        <w:tc>
          <w:tcPr>
            <w:tcW w:type="dxa" w:w="93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N2 - Assistência ampliada</w:t>
            </w:r>
          </w:p>
        </w:tc>
        <w:tc>
          <w:tcPr>
            <w:tcW w:type="dxa" w:w="162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Sobrecarga municipal/regional ou missão de alguns dias.</w:t>
            </w:r>
          </w:p>
        </w:tc>
        <w:tc>
          <w:tcPr>
            <w:tcW w:type="dxa" w:w="23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t>Referência: 12-20 leitos/observação, 4 críticos, diagnóstico e farmácia, selecionáveis conforme missão.</w:t>
            </w:r>
            <w:r>
              <w:rPr>
                <w:rFonts w:ascii="Aptos" w:hAnsi="Aptos"/>
                <w:b w:val="0"/>
                <w:color w:val="243443"/>
                <w:sz w:val="15"/>
              </w:rPr>
            </w:r>
          </w:p>
        </w:tc>
        <w:tc>
          <w:tcPr>
            <w:tcW w:type="dxa" w:w="93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Até 18 h</w:t>
            </w:r>
          </w:p>
        </w:tc>
      </w:tr>
      <w:tr>
        <w:trPr>
          <w:cantSplit/>
          <w:cantSplit/>
        </w:trPr>
        <w:tc>
          <w:tcPr>
            <w:tcW w:type="dxa" w:w="93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N3 - Hospital modular</w:t>
            </w:r>
          </w:p>
        </w:tc>
        <w:tc>
          <w:tcPr>
            <w:tcW w:type="dxa" w:w="162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Perda hospitalar, desastre regional ou epidemia.</w:t>
            </w:r>
          </w:p>
        </w:tc>
        <w:tc>
          <w:tcPr>
            <w:tcW w:type="dxa" w:w="234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Mín. 20 leitos, expansível a 30; 4 críticos; 1 centro cirúrgico; isolamento; CME; imagem.</w:t>
            </w:r>
          </w:p>
        </w:tc>
        <w:tc>
          <w:tcPr>
            <w:tcW w:type="dxa" w:w="93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Até 24 h</w:t>
            </w:r>
          </w:p>
        </w:tc>
      </w:tr>
      <w:tr>
        <w:trPr>
          <w:cantSplit/>
          <w:cantSplit/>
        </w:trPr>
        <w:tc>
          <w:tcPr>
            <w:tcW w:type="dxa" w:w="93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N4 - Hospital expandido</w:t>
            </w:r>
          </w:p>
        </w:tc>
        <w:tc>
          <w:tcPr>
            <w:tcW w:type="dxa" w:w="162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Catástrofe ou substituição prolongada.</w:t>
            </w:r>
          </w:p>
        </w:tc>
        <w:tc>
          <w:tcPr>
            <w:tcW w:type="dxa" w:w="23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40-100 leitos; UTI modular; 2º centro cirúrgico; especialidades e apoio ampliado.</w:t>
            </w:r>
          </w:p>
        </w:tc>
        <w:tc>
          <w:tcPr>
            <w:tcW w:type="dxa" w:w="93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36-48 h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* Metas contadas conforme marcos contratuais definidos no item 13 e sujeitas à validação por consulta ao mercado. O prazo de transporte deve ser medido separadamente do prazo de montagem.</w:t>
      </w:r>
    </w:p>
    <w:p>
      <w:pPr>
        <w:pStyle w:val="Heading2"/>
        <w:keepNext/>
        <w:pageBreakBefore w:val="0"/>
        <w:widowControl/>
      </w:pPr>
      <w:r>
        <w:t>9.1 Princípios de configuração</w:t>
      </w:r>
    </w:p>
    <w:p>
      <w:pPr>
        <w:pStyle w:val="ListBullet"/>
        <w:widowControl/>
        <w:spacing w:after="70" w:line="259" w:lineRule="auto"/>
        <w:ind w:left="340" w:hanging="142"/>
      </w:pPr>
      <w:r>
        <w:t>os níveis são referenciais e permitem módulos isolados ou combinados, sem ativação cumulativa obrigatória;</w:t>
      </w:r>
    </w:p>
    <w:p>
      <w:pPr>
        <w:pStyle w:val="ListBullet"/>
        <w:widowControl/>
        <w:spacing w:after="70" w:line="259" w:lineRule="auto"/>
        <w:ind w:left="340" w:hanging="142"/>
      </w:pPr>
      <w:r>
        <w:t>a ampliação não pode exigir interrupção dos módulos já operacionais;</w:t>
      </w:r>
    </w:p>
    <w:p>
      <w:pPr>
        <w:pStyle w:val="ListBullet"/>
        <w:widowControl/>
        <w:spacing w:after="70" w:line="259" w:lineRule="auto"/>
        <w:ind w:left="340" w:hanging="142"/>
      </w:pPr>
      <w:r>
        <w:t>leitos críticos devem ser contabilizados separadamente dos leitos de enfermaria;</w:t>
      </w:r>
    </w:p>
    <w:p>
      <w:pPr>
        <w:pStyle w:val="ListBullet"/>
        <w:widowControl/>
        <w:spacing w:after="70" w:line="259" w:lineRule="auto"/>
        <w:ind w:left="340" w:hanging="142"/>
      </w:pPr>
      <w:r>
        <w:t>o N3 deve manter compatibilidade funcional com EMT Tipo 2, sem exigir automaticamente certificação OMS da licitante;</w:t>
      </w:r>
    </w:p>
    <w:p>
      <w:pPr>
        <w:pStyle w:val="ListBullet"/>
        <w:widowControl/>
        <w:spacing w:after="70" w:line="259" w:lineRule="auto"/>
        <w:ind w:left="340" w:hanging="142"/>
      </w:pPr>
      <w:r>
        <w:t>o N4 deve ser tratado como expansão opcional, evitando custo fixo desproporcional;</w:t>
      </w:r>
    </w:p>
    <w:p>
      <w:pPr>
        <w:pStyle w:val="ListBullet"/>
        <w:widowControl/>
        <w:spacing w:after="70" w:line="259" w:lineRule="auto"/>
        <w:ind w:left="340" w:hanging="142"/>
      </w:pPr>
      <w:r>
        <w:t>o layout final deve ser aprovado após Site Assessment e incluir rotas de ambulância, evacuação e segurança.</w:t>
      </w:r>
    </w:p>
    <w:p>
      <w:pPr>
        <w:pStyle w:val="Heading1"/>
        <w:keepNext/>
        <w:pageBreakBefore w:val="0"/>
        <w:widowControl/>
      </w:pPr>
      <w:r>
        <w:t>10. Ciclo operacional e logística</w:t>
      </w:r>
    </w:p>
    <w:p>
      <w:pPr>
        <w:pStyle w:val="Heading2"/>
        <w:keepNext/>
        <w:pageBreakBefore w:val="0"/>
        <w:widowControl/>
      </w:pPr>
      <w:r>
        <w:t>10.1 Prontidão</w:t>
      </w:r>
    </w:p>
    <w:p>
      <w:pPr>
        <w:widowControl/>
      </w:pPr>
      <w:r>
        <w:t>Durante N0, a contratada deverá manter a solução completa, identificada, rastreável, testada e disponível, com equipe de acionamento, planos atualizados, estoque dentro da validade e registros auditáveis. A SES-MT poderá inspecionar o local de armazenagem e solicitar testes sem aviso prévio, dentro de regras definidas.</w:t>
      </w:r>
    </w:p>
    <w:p>
      <w:pPr>
        <w:pStyle w:val="Heading2"/>
        <w:keepNext/>
        <w:pageBreakBefore w:val="0"/>
        <w:widowControl/>
      </w:pPr>
      <w:r>
        <w:t>10.2 Acionamento e reconhecimento</w:t>
      </w:r>
    </w:p>
    <w:p>
      <w:pPr>
        <w:widowControl/>
        <w:spacing w:after="60" w:line="259" w:lineRule="auto"/>
        <w:ind w:left="340" w:hanging="340"/>
      </w:pPr>
      <w:r>
        <w:rPr>
          <w:b/>
        </w:rPr>
        <w:t xml:space="preserve">1. </w:t>
      </w:r>
      <w:r>
        <w:t>Emissão da Ordem de Acionamento e definição preliminar do nível.</w:t>
      </w:r>
    </w:p>
    <w:p>
      <w:pPr>
        <w:widowControl/>
        <w:spacing w:after="60" w:line="259" w:lineRule="auto"/>
        <w:ind w:left="340" w:hanging="340"/>
      </w:pPr>
      <w:r>
        <w:rPr>
          <w:b/>
        </w:rPr>
        <w:t xml:space="preserve">2. </w:t>
      </w:r>
      <w:r>
        <w:t>Confirmação, ativação do ponto focal e reunião inicial.</w:t>
      </w:r>
    </w:p>
    <w:p>
      <w:pPr>
        <w:widowControl/>
        <w:spacing w:after="60" w:line="259" w:lineRule="auto"/>
        <w:ind w:left="340" w:hanging="340"/>
      </w:pPr>
      <w:r>
        <w:rPr>
          <w:b/>
        </w:rPr>
        <w:t xml:space="preserve">3. </w:t>
      </w:r>
      <w:r>
        <w:t>Avaliação remota e/ou presencial do sítio, acessos, ameaças e utilidades.</w:t>
      </w:r>
    </w:p>
    <w:p>
      <w:pPr>
        <w:widowControl/>
        <w:spacing w:after="60" w:line="259" w:lineRule="auto"/>
        <w:ind w:left="340" w:hanging="340"/>
      </w:pPr>
      <w:r>
        <w:rPr>
          <w:b/>
        </w:rPr>
        <w:t xml:space="preserve">4. </w:t>
      </w:r>
      <w:r>
        <w:t>Plano de Mobilização com rota, cargas, equipe, cronograma, necessidades e riscos.</w:t>
      </w:r>
    </w:p>
    <w:p>
      <w:pPr>
        <w:widowControl/>
        <w:spacing w:after="60" w:line="259" w:lineRule="auto"/>
        <w:ind w:left="340" w:hanging="340"/>
      </w:pPr>
      <w:r>
        <w:rPr>
          <w:b/>
        </w:rPr>
        <w:t xml:space="preserve">5. </w:t>
      </w:r>
      <w:r>
        <w:t>Liberação do sítio pela Administração e início do deslocamento.</w:t>
      </w:r>
    </w:p>
    <w:p>
      <w:pPr>
        <w:widowControl/>
        <w:spacing w:after="60" w:line="259" w:lineRule="auto"/>
        <w:ind w:left="340" w:hanging="340"/>
      </w:pPr>
      <w:r>
        <w:rPr>
          <w:b/>
        </w:rPr>
        <w:t xml:space="preserve">6. </w:t>
      </w:r>
      <w:r>
        <w:t>Montagem, integração, testes, comissionamento e Termo de Liberação Operacional.</w:t>
      </w:r>
    </w:p>
    <w:p>
      <w:pPr>
        <w:widowControl/>
        <w:spacing w:after="60" w:line="259" w:lineRule="auto"/>
        <w:ind w:left="340" w:hanging="340"/>
      </w:pPr>
      <w:r>
        <w:rPr>
          <w:b/>
        </w:rPr>
        <w:t xml:space="preserve">7. </w:t>
      </w:r>
      <w:r>
        <w:t>Operação, expansão/redução e reabastecimento.</w:t>
      </w:r>
    </w:p>
    <w:p>
      <w:pPr>
        <w:widowControl/>
        <w:spacing w:after="60" w:line="259" w:lineRule="auto"/>
        <w:ind w:left="340" w:hanging="340"/>
      </w:pPr>
      <w:r>
        <w:rPr>
          <w:b/>
        </w:rPr>
        <w:t xml:space="preserve">8. </w:t>
      </w:r>
      <w:r>
        <w:t>Desmobilização, descontaminação, inventário, reposição e relatório pós-ação.</w:t>
      </w:r>
    </w:p>
    <w:p>
      <w:pPr>
        <w:pStyle w:val="Heading2"/>
        <w:keepNext/>
        <w:pageBreakBefore w:val="0"/>
        <w:widowControl/>
      </w:pPr>
      <w:r>
        <w:t>10.3 Site Assessment mínimo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62"/>
        <w:gridCol w:w="4762"/>
      </w:tblGrid>
      <w:tr>
        <w:trPr>
          <w:tblHeader w:val="true"/>
          <w:cantSplit/>
          <w:tblHeader w:val="true"/>
        </w:trPr>
        <w:tc>
          <w:tcPr>
            <w:tcW w:type="dxa" w:w="1260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Domínio</w:t>
            </w:r>
          </w:p>
        </w:tc>
        <w:tc>
          <w:tcPr>
            <w:tcW w:type="dxa" w:w="4572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Verificações</w:t>
            </w:r>
          </w:p>
        </w:tc>
      </w:tr>
      <w:tr>
        <w:trPr>
          <w:cantSplit/>
          <w:cantSplit/>
        </w:trPr>
        <w:tc>
          <w:tcPr>
            <w:tcW w:type="dxa" w:w="126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Terreno e ameaças</w:t>
            </w:r>
          </w:p>
        </w:tc>
        <w:tc>
          <w:tcPr>
            <w:tcW w:type="dxa" w:w="457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Coordenadas, área útil, declividade, drenagem, inundação, vento, incêndio, estruturas próximas e segurança.</w:t>
            </w:r>
          </w:p>
        </w:tc>
      </w:tr>
      <w:tr>
        <w:trPr>
          <w:cantSplit/>
          <w:cantSplit/>
        </w:trPr>
        <w:tc>
          <w:tcPr>
            <w:tcW w:type="dxa" w:w="126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Acesso e fluxo</w:t>
            </w:r>
          </w:p>
        </w:tc>
        <w:tc>
          <w:tcPr>
            <w:tcW w:type="dxa" w:w="457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Rodovias, pontes, restrições de peso/altura, área de manobra, ambulâncias, pedestres, evacuação e pouso quando aplicável.</w:t>
            </w:r>
          </w:p>
        </w:tc>
      </w:tr>
      <w:tr>
        <w:trPr>
          <w:cantSplit/>
          <w:cantSplit/>
        </w:trPr>
        <w:tc>
          <w:tcPr>
            <w:tcW w:type="dxa" w:w="126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Utilidades</w:t>
            </w:r>
          </w:p>
        </w:tc>
        <w:tc>
          <w:tcPr>
            <w:tcW w:type="dxa" w:w="457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Energia, água, esgoto, resíduos, combustível, iluminação e pontos de conexão.</w:t>
            </w:r>
          </w:p>
        </w:tc>
      </w:tr>
      <w:tr>
        <w:trPr>
          <w:cantSplit/>
          <w:cantSplit/>
        </w:trPr>
        <w:tc>
          <w:tcPr>
            <w:tcW w:type="dxa" w:w="126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Rede assistencial</w:t>
            </w:r>
          </w:p>
        </w:tc>
        <w:tc>
          <w:tcPr>
            <w:tcW w:type="dxa" w:w="457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Unidades de referência, regulação, SAMU, laboratório, hemorrede, farmácia e transporte sanitário.</w:t>
            </w:r>
          </w:p>
        </w:tc>
      </w:tr>
      <w:tr>
        <w:trPr>
          <w:cantSplit/>
          <w:cantSplit/>
        </w:trPr>
        <w:tc>
          <w:tcPr>
            <w:tcW w:type="dxa" w:w="126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Comunicações</w:t>
            </w:r>
          </w:p>
        </w:tc>
        <w:tc>
          <w:tcPr>
            <w:tcW w:type="dxa" w:w="457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Cobertura móvel, visada/instalação satelital, rádio, interferências e segurança da informação.</w:t>
            </w:r>
          </w:p>
        </w:tc>
      </w:tr>
      <w:tr>
        <w:trPr>
          <w:cantSplit/>
          <w:cantSplit/>
        </w:trPr>
        <w:tc>
          <w:tcPr>
            <w:tcW w:type="dxa" w:w="126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Licenciamento</w:t>
            </w:r>
          </w:p>
        </w:tc>
        <w:tc>
          <w:tcPr>
            <w:tcW w:type="dxa" w:w="457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Autorizações locais, vigilância sanitária, incêndio, radiologia, meio ambiente e ocupação do sítio.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10.4 Transporte e rastreabilidade</w:t>
      </w:r>
    </w:p>
    <w:p>
      <w:pPr>
        <w:pStyle w:val="ListBullet"/>
        <w:widowControl/>
        <w:spacing w:after="70" w:line="259" w:lineRule="auto"/>
        <w:ind w:left="340" w:hanging="142"/>
      </w:pPr>
      <w:r>
        <w:t>embalagens e cases resistentes, identificados por módulo, caixa, peso, volume, conteúdo e prioridade de descarga;</w:t>
      </w:r>
    </w:p>
    <w:p>
      <w:pPr>
        <w:pStyle w:val="ListBullet"/>
        <w:widowControl/>
        <w:spacing w:after="70" w:line="259" w:lineRule="auto"/>
        <w:ind w:left="340" w:hanging="142"/>
      </w:pPr>
      <w:r>
        <w:t>QR Code ou RFID, manifesto eletrônico de carga e cadeia de custódia;</w:t>
      </w:r>
    </w:p>
    <w:p>
      <w:pPr>
        <w:pStyle w:val="ListBullet"/>
        <w:widowControl/>
        <w:spacing w:after="70" w:line="259" w:lineRule="auto"/>
        <w:ind w:left="340" w:hanging="142"/>
      </w:pPr>
      <w:r>
        <w:t>plano rodoviário para todas as regiões de Mato Grosso, com rotas alternativas;</w:t>
      </w:r>
    </w:p>
    <w:p>
      <w:pPr>
        <w:pStyle w:val="ListBullet"/>
        <w:keepLines/>
        <w:widowControl/>
        <w:spacing w:after="70" w:line="259" w:lineRule="auto" w:before="120"/>
        <w:ind w:left="340" w:hanging="142"/>
      </w:pPr>
      <w:r>
        <w:t>meios próprios ou contratos firmes para veículos, empilhadeiras, guindastes e apoio local;</w:t>
      </w:r>
    </w:p>
    <w:p>
      <w:pPr>
        <w:pStyle w:val="ListBullet"/>
        <w:widowControl/>
        <w:spacing w:after="70" w:line="259" w:lineRule="auto"/>
        <w:ind w:left="340" w:hanging="142"/>
      </w:pPr>
      <w:r>
        <w:t>compatibilidade com aerotransporte civil como requisito desejável; paletização militar apenas se justificada.</w:t>
      </w:r>
    </w:p>
    <w:p>
      <w:pPr>
        <w:pStyle w:val="Heading2"/>
        <w:keepNext/>
        <w:pageBreakBefore w:val="0"/>
        <w:widowControl/>
      </w:pPr>
      <w:r>
        <w:t>10.5 Desmobilização</w:t>
      </w:r>
    </w:p>
    <w:p>
      <w:pPr>
        <w:widowControl/>
      </w:pPr>
      <w:r>
        <w:t>A desmobilização dependerá de autorização da SES-MT e de plano que assegure suspensão ordenada de admissões, transferência de pacientes, encerramento de registros, inventário, descontaminação, resíduos, desmontagem, transporte, manutenção pós-missão, reposição e retorno à prontidão. Em até 15 dias úteis, a contratada deverá apresentar Relatório Pós-Ação, salvo prazo menor definido pela gravidade do evento.</w:t>
      </w:r>
    </w:p>
    <w:p>
      <w:pPr>
        <w:pStyle w:val="Heading1"/>
        <w:keepNext/>
        <w:pageBreakBefore w:val="0"/>
        <w:widowControl/>
      </w:pPr>
      <w:r>
        <w:t>11. Comunicações, tecnologia e proteção de dados</w:t>
      </w:r>
    </w:p>
    <w:p>
      <w:pPr>
        <w:pStyle w:val="Heading2"/>
        <w:keepNext/>
        <w:pageBreakBefore w:val="0"/>
        <w:widowControl/>
      </w:pPr>
      <w:r>
        <w:t>11.1 Arquitetura de conectividade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62"/>
        <w:gridCol w:w="4762"/>
      </w:tblGrid>
      <w:tr>
        <w:trPr>
          <w:tblHeader w:val="true"/>
          <w:cantSplit/>
          <w:tblHeader w:val="true"/>
        </w:trPr>
        <w:tc>
          <w:tcPr>
            <w:tcW w:type="dxa" w:w="1260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4572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Requisito mínimo</w:t>
            </w:r>
          </w:p>
        </w:tc>
      </w:tr>
      <w:tr>
        <w:trPr>
          <w:cantSplit/>
          <w:cantSplit/>
        </w:trPr>
        <w:tc>
          <w:tcPr>
            <w:tcW w:type="dxa" w:w="126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Satélite</w:t>
            </w:r>
          </w:p>
        </w:tc>
        <w:tc>
          <w:tcPr>
            <w:tcW w:type="dxa" w:w="457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Terminal de rápida instalação, plano de dados compatível com operação clínica, energia protegida e redundância de equipamentos críticos.</w:t>
            </w:r>
          </w:p>
        </w:tc>
      </w:tr>
      <w:tr>
        <w:trPr>
          <w:cantSplit/>
          <w:cantSplit/>
        </w:trPr>
        <w:tc>
          <w:tcPr>
            <w:tcW w:type="dxa" w:w="126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Rede móvel</w:t>
            </w:r>
          </w:p>
        </w:tc>
        <w:tc>
          <w:tcPr>
            <w:tcW w:type="dxa" w:w="457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Roteador multi-SIM com pelo menos duas operadoras quando houver cobertura e failover automático.</w:t>
            </w:r>
          </w:p>
        </w:tc>
      </w:tr>
      <w:tr>
        <w:trPr>
          <w:cantSplit/>
          <w:cantSplit/>
        </w:trPr>
        <w:tc>
          <w:tcPr>
            <w:tcW w:type="dxa" w:w="126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Rádio</w:t>
            </w:r>
          </w:p>
        </w:tc>
        <w:tc>
          <w:tcPr>
            <w:tcW w:type="dxa" w:w="457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Comunicação operacional interna e interoperabilidade planejada com SAMU, Defesa Civil, segurança e logística.</w:t>
            </w:r>
          </w:p>
        </w:tc>
      </w:tr>
      <w:tr>
        <w:trPr>
          <w:cantSplit/>
          <w:cantSplit/>
        </w:trPr>
        <w:tc>
          <w:tcPr>
            <w:tcW w:type="dxa" w:w="126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Rede local</w:t>
            </w:r>
          </w:p>
        </w:tc>
        <w:tc>
          <w:tcPr>
            <w:tcW w:type="dxa" w:w="457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Wi-Fi corporativo e cabeado; segmentação clínica, administrativa, dispositivos e convidados; firewall e VPN.</w:t>
            </w:r>
          </w:p>
        </w:tc>
      </w:tr>
      <w:tr>
        <w:trPr>
          <w:cantSplit/>
          <w:cantSplit/>
        </w:trPr>
        <w:tc>
          <w:tcPr>
            <w:tcW w:type="dxa" w:w="126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Telefonia/telemedicina</w:t>
            </w:r>
          </w:p>
        </w:tc>
        <w:tc>
          <w:tcPr>
            <w:tcW w:type="dxa" w:w="457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Telefonia IP, videoconferência e recursos para teleconsultoria e apoio diagnóstico.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11.2 Sistemas de informação</w:t>
      </w:r>
    </w:p>
    <w:p>
      <w:pPr>
        <w:pStyle w:val="ListBullet"/>
        <w:widowControl/>
        <w:spacing w:after="70" w:line="259" w:lineRule="auto"/>
        <w:ind w:left="340" w:hanging="142"/>
      </w:pPr>
      <w:r>
        <w:t>registro de atendimento e prontuário com modo offline e sincronização controlada;</w:t>
      </w:r>
    </w:p>
    <w:p>
      <w:pPr>
        <w:pStyle w:val="ListBullet"/>
        <w:widowControl/>
        <w:spacing w:after="70" w:line="259" w:lineRule="auto"/>
        <w:ind w:left="340" w:hanging="142"/>
      </w:pPr>
      <w:r>
        <w:t>identificação do paciente, classificação de risco, prescrição, administração, exames, alta e transferência;</w:t>
      </w:r>
    </w:p>
    <w:p>
      <w:pPr>
        <w:pStyle w:val="ListBullet"/>
        <w:widowControl/>
        <w:spacing w:after="70" w:line="259" w:lineRule="auto"/>
        <w:ind w:left="340" w:hanging="142"/>
      </w:pPr>
      <w:r>
        <w:t>integração com regulação, vigilância, CNES e sistemas definidos pela SES-MT;</w:t>
      </w:r>
    </w:p>
    <w:p>
      <w:pPr>
        <w:pStyle w:val="ListBullet"/>
        <w:widowControl/>
        <w:spacing w:after="70" w:line="259" w:lineRule="auto"/>
        <w:ind w:left="340" w:hanging="142"/>
      </w:pPr>
      <w:r>
        <w:t>painel operacional de leitos, filas, estoque, consumo, equipe, energia, água, gases e incidentes;</w:t>
      </w:r>
    </w:p>
    <w:p>
      <w:pPr>
        <w:pStyle w:val="ListBullet"/>
        <w:widowControl/>
        <w:spacing w:after="70" w:line="259" w:lineRule="auto"/>
        <w:ind w:left="340" w:hanging="142"/>
      </w:pPr>
      <w:r>
        <w:t>exportação de dados em formatos abertos e entrega integral à SES-MT ao fim da missão;</w:t>
      </w:r>
    </w:p>
    <w:p>
      <w:pPr>
        <w:pStyle w:val="ListBullet"/>
        <w:widowControl/>
        <w:spacing w:after="70" w:line="259" w:lineRule="auto"/>
        <w:ind w:left="340" w:hanging="142"/>
      </w:pPr>
      <w:r>
        <w:t>trilhas de auditoria, perfis de acesso, autenticação forte, criptografia, backup e resposta a incidentes;</w:t>
      </w:r>
    </w:p>
    <w:p>
      <w:pPr>
        <w:pStyle w:val="ListBullet"/>
        <w:widowControl/>
        <w:spacing w:after="70" w:line="259" w:lineRule="auto"/>
        <w:ind w:left="340" w:hanging="142"/>
      </w:pPr>
      <w:r>
        <w:t>proibição de uso secundário dos dados pela contratada sem base legal e autorização expressa.</w:t>
      </w:r>
    </w:p>
    <w:p>
      <w:pPr>
        <w:pStyle w:val="Heading2"/>
        <w:keepNext/>
        <w:pageBreakBefore w:val="0"/>
        <w:widowControl/>
        <w:spacing w:before="280"/>
      </w:pPr>
      <w:r>
        <w:t>11.3 Continuidade digital</w:t>
      </w:r>
    </w:p>
    <w:p>
      <w:pPr>
        <w:widowControl/>
      </w:pPr>
      <w:r>
        <w:t>O Termo de Referência deverá definir RTO e RPO dos sistemas, procedimentos manuais de contingência, tempo máximo de indisponibilidade, capacidade offline, rotina de backups e testes de restauração. A comunicação principal ou redundante deverá possuir disponibilidade mensal compatível com missão crítica, com exclusões objetivas e evidências de medição.</w:t>
      </w:r>
    </w:p>
    <w:p>
      <w:pPr>
        <w:pStyle w:val="Heading1"/>
        <w:keepNext/>
        <w:pageBreakBefore w:val="0"/>
        <w:widowControl/>
      </w:pPr>
      <w:r>
        <w:t>12. Equipes e organização do trabalho</w:t>
      </w:r>
    </w:p>
    <w:p>
      <w:pPr>
        <w:widowControl/>
      </w:pPr>
      <w:r>
        <w:t>A composição exata das equipes dependerá do perfil assistencial e das normas profissionais vigentes. Recomenda-se separar o núcleo operacional permanente das equipes clínicas acionáveis, permitindo ao Estado mobilizar profissionais próprios, contratar módulo assistencial ou combinar ambos.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62"/>
        <w:gridCol w:w="4762"/>
      </w:tblGrid>
      <w:tr>
        <w:trPr>
          <w:tblHeader w:val="true"/>
          <w:cantSplit/>
          <w:tblHeader w:val="true"/>
        </w:trPr>
        <w:tc>
          <w:tcPr>
            <w:tcW w:type="dxa" w:w="1260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Núcleo</w:t>
            </w:r>
          </w:p>
        </w:tc>
        <w:tc>
          <w:tcPr>
            <w:tcW w:type="dxa" w:w="4572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Perfis indicativos</w:t>
            </w:r>
          </w:p>
        </w:tc>
      </w:tr>
      <w:tr>
        <w:trPr>
          <w:cantSplit/>
          <w:cantSplit/>
        </w:trPr>
        <w:tc>
          <w:tcPr>
            <w:tcW w:type="dxa" w:w="126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Comando</w:t>
            </w:r>
          </w:p>
        </w:tc>
        <w:tc>
          <w:tcPr>
            <w:tcW w:type="dxa" w:w="457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Coordenador da missão; direção clínica; coordenação de enfermagem; operações/logística; administração; segurança; ligação com SES/COES.</w:t>
            </w:r>
          </w:p>
        </w:tc>
      </w:tr>
      <w:tr>
        <w:trPr>
          <w:cantSplit/>
          <w:cantSplit/>
        </w:trPr>
        <w:tc>
          <w:tcPr>
            <w:tcW w:type="dxa" w:w="126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Assistencial</w:t>
            </w:r>
          </w:p>
        </w:tc>
        <w:tc>
          <w:tcPr>
            <w:tcW w:type="dxa" w:w="457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Emergencistas/clínicos; cirurgião; anestesiologista; pediatra; intensivista quando aplicável; enfermeiros; técnicos; fisioterapeuta; farmacêutico; psicólogo; assistente social.</w:t>
            </w:r>
          </w:p>
        </w:tc>
      </w:tr>
      <w:tr>
        <w:trPr>
          <w:cantSplit/>
          <w:cantSplit/>
        </w:trPr>
        <w:tc>
          <w:tcPr>
            <w:tcW w:type="dxa" w:w="126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Diagnóstico</w:t>
            </w:r>
          </w:p>
        </w:tc>
        <w:tc>
          <w:tcPr>
            <w:tcW w:type="dxa" w:w="457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Profissionais de laboratório, radiologia e ultrassonografia, conforme escopo.</w:t>
            </w:r>
          </w:p>
        </w:tc>
      </w:tr>
      <w:tr>
        <w:trPr>
          <w:cantSplit/>
          <w:cantSplit/>
        </w:trPr>
        <w:tc>
          <w:tcPr>
            <w:tcW w:type="dxa" w:w="126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Técnico-operacional</w:t>
            </w:r>
          </w:p>
        </w:tc>
        <w:tc>
          <w:tcPr>
            <w:tcW w:type="dxa" w:w="457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Engenharia clínica; elétrica; mecânica; HVAC; gases; TI; telecom; WASH; logística; limpeza; alimentação; segurança patrimonial.</w:t>
            </w:r>
          </w:p>
        </w:tc>
      </w:tr>
      <w:tr>
        <w:trPr>
          <w:cantSplit/>
          <w:cantSplit/>
        </w:trPr>
        <w:tc>
          <w:tcPr>
            <w:tcW w:type="dxa" w:w="126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Reserva</w:t>
            </w:r>
          </w:p>
        </w:tc>
        <w:tc>
          <w:tcPr>
            <w:tcW w:type="dxa" w:w="457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Profissionais e operadores para substituição, descanso, afastamentos e expansão.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12.1 Regras de dimensionamento</w:t>
      </w:r>
    </w:p>
    <w:p>
      <w:pPr>
        <w:pStyle w:val="ListBullet"/>
        <w:widowControl/>
        <w:spacing w:after="70" w:line="259" w:lineRule="auto"/>
        <w:ind w:left="340" w:hanging="142"/>
      </w:pPr>
      <w:r>
        <w:t>matriz por posto de trabalho, turno, nível e capacidade assistencial;</w:t>
      </w:r>
    </w:p>
    <w:p>
      <w:pPr>
        <w:pStyle w:val="ListBullet"/>
        <w:widowControl/>
        <w:spacing w:after="70" w:line="259" w:lineRule="auto"/>
        <w:ind w:left="340" w:hanging="142"/>
      </w:pPr>
      <w:r>
        <w:t>cobertura 24/7 com limites de jornada, descanso, alojamento e alimentação;</w:t>
      </w:r>
    </w:p>
    <w:p>
      <w:pPr>
        <w:pStyle w:val="ListBullet"/>
        <w:widowControl/>
        <w:spacing w:after="70" w:line="259" w:lineRule="auto"/>
        <w:ind w:left="340" w:hanging="142"/>
      </w:pPr>
      <w:r>
        <w:t>credenciamento, registro profissional, vacinação, saúde ocupacional e treinamento;</w:t>
      </w:r>
    </w:p>
    <w:p>
      <w:pPr>
        <w:pStyle w:val="ListBullet"/>
        <w:widowControl/>
        <w:spacing w:after="70" w:line="259" w:lineRule="auto"/>
        <w:ind w:left="340" w:hanging="142"/>
      </w:pPr>
      <w:r>
        <w:t>competências para emergência, trauma, controle de infecção, segurança e trabalho em campo;</w:t>
      </w:r>
    </w:p>
    <w:p>
      <w:pPr>
        <w:pStyle w:val="ListBullet"/>
        <w:widowControl/>
        <w:spacing w:after="70" w:line="259" w:lineRule="auto"/>
        <w:ind w:left="340" w:hanging="142"/>
      </w:pPr>
      <w:r>
        <w:t>integração ao comando da missão e protocolos da SES-MT;</w:t>
      </w:r>
    </w:p>
    <w:p>
      <w:pPr>
        <w:pStyle w:val="ListBullet"/>
        <w:widowControl/>
        <w:spacing w:after="70" w:line="259" w:lineRule="auto"/>
        <w:ind w:left="340" w:hanging="142"/>
      </w:pPr>
      <w:r>
        <w:t>responsabilidade clínica da SES-MT preservada nos termos definidos pela autoridade sanitária.</w:t>
      </w:r>
    </w:p>
    <w:p>
      <w:pPr>
        <w:pStyle w:val="Heading1"/>
        <w:keepNext/>
        <w:pageBreakBefore w:val="0"/>
        <w:widowControl/>
      </w:pPr>
      <w:r>
        <w:t>13. Modelo de execução e níveis de serviço</w:t>
      </w:r>
    </w:p>
    <w:p>
      <w:pPr>
        <w:pStyle w:val="Heading2"/>
        <w:keepNext/>
        <w:pageBreakBefore w:val="0"/>
        <w:widowControl/>
      </w:pPr>
      <w:r>
        <w:t>13.1 Marcos do acionamento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75"/>
        <w:gridCol w:w="3175"/>
        <w:gridCol w:w="3175"/>
      </w:tblGrid>
      <w:tr>
        <w:trPr>
          <w:tblHeader w:val="true"/>
          <w:cantSplit/>
          <w:tblHeader w:val="true"/>
        </w:trPr>
        <w:tc>
          <w:tcPr>
            <w:tcW w:type="dxa" w:w="1584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Marco</w:t>
            </w:r>
          </w:p>
        </w:tc>
        <w:tc>
          <w:tcPr>
            <w:tcW w:type="dxa" w:w="1440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Prazo indicativo</w:t>
            </w:r>
          </w:p>
        </w:tc>
        <w:tc>
          <w:tcPr>
            <w:tcW w:type="dxa" w:w="2808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Evidência</w:t>
            </w:r>
          </w:p>
        </w:tc>
      </w:tr>
      <w:tr>
        <w:trPr>
          <w:cantSplit/>
          <w:cantSplit/>
        </w:trPr>
        <w:tc>
          <w:tcPr>
            <w:tcW w:type="dxa" w:w="1584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T0 - Ordem de Acionamento</w:t>
            </w:r>
          </w:p>
        </w:tc>
        <w:tc>
          <w:tcPr>
            <w:tcW w:type="dxa" w:w="14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Imediato</w:t>
            </w:r>
          </w:p>
        </w:tc>
        <w:tc>
          <w:tcPr>
            <w:tcW w:type="dxa" w:w="280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Documento assinado/registro no sistema.</w:t>
            </w:r>
          </w:p>
        </w:tc>
      </w:tr>
      <w:tr>
        <w:trPr>
          <w:cantSplit/>
          <w:cantSplit/>
        </w:trPr>
        <w:tc>
          <w:tcPr>
            <w:tcW w:type="dxa" w:w="1584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Confirmação de recebimento</w:t>
            </w:r>
          </w:p>
        </w:tc>
        <w:tc>
          <w:tcPr>
            <w:tcW w:type="dxa" w:w="144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Até 15 min</w:t>
            </w:r>
          </w:p>
        </w:tc>
        <w:tc>
          <w:tcPr>
            <w:tcW w:type="dxa" w:w="2808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Protocolo e identificação do ponto focal.</w:t>
            </w:r>
          </w:p>
        </w:tc>
      </w:tr>
      <w:tr>
        <w:trPr>
          <w:cantSplit/>
          <w:cantSplit/>
        </w:trPr>
        <w:tc>
          <w:tcPr>
            <w:tcW w:type="dxa" w:w="1584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Contato operacional</w:t>
            </w:r>
          </w:p>
        </w:tc>
        <w:tc>
          <w:tcPr>
            <w:tcW w:type="dxa" w:w="14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Até 30 min</w:t>
            </w:r>
          </w:p>
        </w:tc>
        <w:tc>
          <w:tcPr>
            <w:tcW w:type="dxa" w:w="280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Registro da conferência inicial.</w:t>
            </w:r>
          </w:p>
        </w:tc>
      </w:tr>
      <w:tr>
        <w:trPr>
          <w:cantSplit/>
          <w:cantSplit/>
        </w:trPr>
        <w:tc>
          <w:tcPr>
            <w:tcW w:type="dxa" w:w="1584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Plano de Mobilização</w:t>
            </w:r>
          </w:p>
        </w:tc>
        <w:tc>
          <w:tcPr>
            <w:tcW w:type="dxa" w:w="144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Até 2 h</w:t>
            </w:r>
          </w:p>
        </w:tc>
        <w:tc>
          <w:tcPr>
            <w:tcW w:type="dxa" w:w="2808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Plano com cargas, equipe, rota, cronograma e riscos.</w:t>
            </w:r>
          </w:p>
        </w:tc>
      </w:tr>
      <w:tr>
        <w:trPr>
          <w:cantSplit/>
          <w:cantSplit/>
        </w:trPr>
        <w:tc>
          <w:tcPr>
            <w:tcW w:type="dxa" w:w="1584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Primeiros recursos em deslocamento</w:t>
            </w:r>
          </w:p>
        </w:tc>
        <w:tc>
          <w:tcPr>
            <w:tcW w:type="dxa" w:w="14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Até 6 h</w:t>
            </w:r>
          </w:p>
        </w:tc>
        <w:tc>
          <w:tcPr>
            <w:tcW w:type="dxa" w:w="280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Telemetria, manifesto e comprovante de saída.</w:t>
            </w:r>
          </w:p>
        </w:tc>
      </w:tr>
      <w:tr>
        <w:trPr>
          <w:cantSplit/>
          <w:cantSplit/>
        </w:trPr>
        <w:tc>
          <w:tcPr>
            <w:tcW w:type="dxa" w:w="1584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N1 operacional</w:t>
            </w:r>
          </w:p>
        </w:tc>
        <w:tc>
          <w:tcPr>
            <w:tcW w:type="dxa" w:w="144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6-12 h após chegada/liberação</w:t>
            </w:r>
          </w:p>
        </w:tc>
        <w:tc>
          <w:tcPr>
            <w:tcW w:type="dxa" w:w="2808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Termo de Liberação Operacional parcial.</w:t>
            </w:r>
          </w:p>
        </w:tc>
      </w:tr>
      <w:tr>
        <w:trPr>
          <w:cantSplit/>
          <w:cantSplit/>
        </w:trPr>
        <w:tc>
          <w:tcPr>
            <w:tcW w:type="dxa" w:w="1584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N3 operacional</w:t>
            </w:r>
          </w:p>
        </w:tc>
        <w:tc>
          <w:tcPr>
            <w:tcW w:type="dxa" w:w="14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Até 24 h após chegada/liberação</w:t>
            </w:r>
          </w:p>
        </w:tc>
        <w:tc>
          <w:tcPr>
            <w:tcW w:type="dxa" w:w="280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Termo de Liberação Operacional completo.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DCEAF5"/>
            <w:tcBorders>
              <w:top w:val="single" w:sz="10" w:space="0" w:color="0B3A66"/>
              <w:left w:val="single" w:sz="10" w:space="0" w:color="0B3A66"/>
              <w:bottom w:val="single" w:sz="10" w:space="0" w:color="0B3A66"/>
              <w:right w:val="single" w:sz="10" w:space="0" w:color="0B3A66"/>
              <w:insideH w:val="single" w:sz="10" w:space="0" w:color="0B3A66"/>
              <w:insideV w:val="single" w:sz="10" w:space="0" w:color="0B3A66"/>
            </w:tcBorders>
          </w:tcPr>
          <w:p>
            <w:pPr>
              <w:spacing w:after="80"/>
            </w:pPr>
            <w:r>
              <w:rPr>
                <w:b/>
                <w:color w:val="0B3A66"/>
                <w:sz w:val="21"/>
              </w:rPr>
              <w:t>Regra de medição do prazo</w:t>
            </w:r>
          </w:p>
          <w:p>
            <w:pPr>
              <w:spacing w:after="0" w:line="259" w:lineRule="auto"/>
            </w:pPr>
            <w:r>
              <w:rPr>
                <w:color w:val="243443"/>
                <w:sz w:val="18"/>
              </w:rPr>
              <w:t>O contrato deverá manter quatro relógios separados: mobilização, viagem, montagem e comissionamento. Impedimentos atribuíveis à Administração ou a eventos extraordinários somente suspenderão o relógio afetado, mediante registro contemporâneo e validação do fiscal.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13.2 Indicadores contratuais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75"/>
        <w:gridCol w:w="3175"/>
        <w:gridCol w:w="3175"/>
      </w:tblGrid>
      <w:tr>
        <w:trPr>
          <w:tblHeader w:val="true"/>
          <w:cantSplit/>
          <w:tblHeader w:val="true"/>
        </w:trPr>
        <w:tc>
          <w:tcPr>
            <w:tcW w:type="dxa" w:w="1800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188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Meta inicial</w:t>
            </w:r>
          </w:p>
        </w:tc>
        <w:tc>
          <w:tcPr>
            <w:tcW w:type="dxa" w:w="2844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Medição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Disponibilidade em prontidão</w:t>
            </w:r>
          </w:p>
        </w:tc>
        <w:tc>
          <w:tcPr>
            <w:tcW w:type="dxa" w:w="118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≥ 99%</w:t>
            </w:r>
          </w:p>
        </w:tc>
        <w:tc>
          <w:tcPr>
            <w:tcW w:type="dxa" w:w="2844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Checklist mensal e auditorias.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Confirmação do acionamento</w:t>
            </w:r>
          </w:p>
        </w:tc>
        <w:tc>
          <w:tcPr>
            <w:tcW w:type="dxa" w:w="1188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≤ 15 min</w:t>
            </w:r>
          </w:p>
        </w:tc>
        <w:tc>
          <w:tcPr>
            <w:tcW w:type="dxa" w:w="2844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Registro automático.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Plano de Mobilização</w:t>
            </w:r>
          </w:p>
        </w:tc>
        <w:tc>
          <w:tcPr>
            <w:tcW w:type="dxa" w:w="118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≤ 2 h</w:t>
            </w:r>
          </w:p>
        </w:tc>
        <w:tc>
          <w:tcPr>
            <w:tcW w:type="dxa" w:w="2844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Protocolo de entrega.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Equipamentos críticos funcionais</w:t>
            </w:r>
          </w:p>
        </w:tc>
        <w:tc>
          <w:tcPr>
            <w:tcW w:type="dxa" w:w="1188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100%</w:t>
            </w:r>
          </w:p>
        </w:tc>
        <w:tc>
          <w:tcPr>
            <w:tcW w:type="dxa" w:w="2844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Teste e inventário.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Insumos dentro da validade</w:t>
            </w:r>
          </w:p>
        </w:tc>
        <w:tc>
          <w:tcPr>
            <w:tcW w:type="dxa" w:w="118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100%</w:t>
            </w:r>
          </w:p>
        </w:tc>
        <w:tc>
          <w:tcPr>
            <w:tcW w:type="dxa" w:w="2844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Rastreabilidade por lote/validade.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Energia de cargas críticas</w:t>
            </w:r>
          </w:p>
        </w:tc>
        <w:tc>
          <w:tcPr>
            <w:tcW w:type="dxa" w:w="1188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≥ 99,9% na missão</w:t>
            </w:r>
          </w:p>
        </w:tc>
        <w:tc>
          <w:tcPr>
            <w:tcW w:type="dxa" w:w="2844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Telemetria e diário operacional.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Comunicação principal ou redundante</w:t>
            </w:r>
          </w:p>
        </w:tc>
        <w:tc>
          <w:tcPr>
            <w:tcW w:type="dxa" w:w="118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≥ 99% na missão</w:t>
            </w:r>
          </w:p>
        </w:tc>
        <w:tc>
          <w:tcPr>
            <w:tcW w:type="dxa" w:w="2844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Logs dos enlaces.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Rastreabilidade patrimonial</w:t>
            </w:r>
          </w:p>
        </w:tc>
        <w:tc>
          <w:tcPr>
            <w:tcW w:type="dxa" w:w="1188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100%</w:t>
            </w:r>
          </w:p>
        </w:tc>
        <w:tc>
          <w:tcPr>
            <w:tcW w:type="dxa" w:w="2844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Inventário eletrônico.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Não conformidade crítica sem resposta</w:t>
            </w:r>
          </w:p>
        </w:tc>
        <w:tc>
          <w:tcPr>
            <w:tcW w:type="dxa" w:w="118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0</w:t>
            </w:r>
          </w:p>
        </w:tc>
        <w:tc>
          <w:tcPr>
            <w:tcW w:type="dxa" w:w="2844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Registro e plano de ação.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13.3 Testes e aceitação</w:t>
      </w:r>
    </w:p>
    <w:p>
      <w:pPr>
        <w:pStyle w:val="ListBullet"/>
        <w:widowControl/>
        <w:spacing w:after="70" w:line="259" w:lineRule="auto"/>
        <w:ind w:left="340" w:hanging="142"/>
      </w:pPr>
      <w:r>
        <w:t>FAT para subsistemas críticos e integração antes da entrega inicial;</w:t>
      </w:r>
    </w:p>
    <w:p>
      <w:pPr>
        <w:pStyle w:val="ListBullet"/>
        <w:widowControl/>
        <w:spacing w:after="70" w:line="259" w:lineRule="auto"/>
        <w:ind w:left="340" w:hanging="142"/>
      </w:pPr>
      <w:r>
        <w:t>SAT no local de aceitação, com montagem e operação completas;</w:t>
      </w:r>
    </w:p>
    <w:p>
      <w:pPr>
        <w:pStyle w:val="ListBullet"/>
        <w:widowControl/>
        <w:spacing w:after="70" w:line="259" w:lineRule="auto"/>
        <w:ind w:left="340" w:hanging="142"/>
      </w:pPr>
      <w:r>
        <w:t>prova de conceito do licitante provisoriamente vencedor, se juridicamente adotada e prevista no edital;</w:t>
      </w:r>
    </w:p>
    <w:p>
      <w:pPr>
        <w:pStyle w:val="ListBullet"/>
        <w:widowControl/>
        <w:spacing w:after="70" w:line="259" w:lineRule="auto"/>
        <w:ind w:left="340" w:hanging="142"/>
      </w:pPr>
      <w:r>
        <w:t>teste de energia principal, geradores, transferência, UPS, aterramento e cargas;</w:t>
      </w:r>
    </w:p>
    <w:p>
      <w:pPr>
        <w:pStyle w:val="ListBullet"/>
        <w:widowControl/>
        <w:spacing w:after="70" w:line="259" w:lineRule="auto"/>
        <w:ind w:left="340" w:hanging="142"/>
      </w:pPr>
      <w:r>
        <w:t>teste de climatização, pressão negativa, trocas de ar, alarmes e filtros;</w:t>
      </w:r>
    </w:p>
    <w:p>
      <w:pPr>
        <w:pStyle w:val="ListBullet"/>
        <w:widowControl/>
        <w:spacing w:after="70" w:line="259" w:lineRule="auto"/>
        <w:ind w:left="340" w:hanging="142"/>
      </w:pPr>
      <w:r>
        <w:t>teste de gases medicinais, água, efluentes, equipamentos, satélite, rede, rádio e sistemas;</w:t>
      </w:r>
    </w:p>
    <w:p>
      <w:pPr>
        <w:pStyle w:val="ListBullet"/>
        <w:widowControl/>
        <w:spacing w:after="70" w:line="259" w:lineRule="auto"/>
        <w:ind w:left="340" w:hanging="142"/>
      </w:pPr>
      <w:r>
        <w:t>simulação assistencial e de falha dos sistemas críticos;</w:t>
      </w:r>
    </w:p>
    <w:p>
      <w:pPr>
        <w:pStyle w:val="ListBullet"/>
        <w:widowControl/>
        <w:spacing w:after="70" w:line="259" w:lineRule="auto"/>
        <w:ind w:left="340" w:hanging="142"/>
      </w:pPr>
      <w:r>
        <w:t>exercício completo anual e exercícios parciais periódicos.</w:t>
      </w:r>
    </w:p>
    <w:p>
      <w:pPr>
        <w:pStyle w:val="Heading1"/>
        <w:keepNext/>
        <w:pageBreakBefore w:val="0"/>
        <w:widowControl/>
      </w:pPr>
      <w:r>
        <w:t>14. Estimativas de quantidades</w:t>
      </w:r>
    </w:p>
    <w:p>
      <w:pPr>
        <w:widowControl/>
      </w:pPr>
      <w:r>
        <w:t>As quantidades abaixo constituem envelope inicial para pesquisa de mercado e deverão ser confirmadas pela equipe de planejamento. A contratação deve prever capacidade de referência N3, com módulos independentes, fornecimentos isolados e opções de expansão N4.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75"/>
        <w:gridCol w:w="3175"/>
        <w:gridCol w:w="3175"/>
      </w:tblGrid>
      <w:tr>
        <w:trPr>
          <w:tblHeader w:val="true"/>
          <w:cantSplit/>
          <w:tblHeader w:val="true"/>
        </w:trPr>
        <w:tc>
          <w:tcPr>
            <w:tcW w:type="dxa" w:w="1800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Item de capacidade</w:t>
            </w:r>
          </w:p>
        </w:tc>
        <w:tc>
          <w:tcPr>
            <w:tcW w:type="dxa" w:w="1440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Quantidade de referência</w:t>
            </w:r>
          </w:p>
        </w:tc>
        <w:tc>
          <w:tcPr>
            <w:tcW w:type="dxa" w:w="2592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Observação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Conjunto UHMR N3</w:t>
            </w:r>
          </w:p>
        </w:tc>
        <w:tc>
          <w:tcPr>
            <w:tcW w:type="dxa" w:w="14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1 conjunto</w:t>
            </w:r>
          </w:p>
        </w:tc>
        <w:tc>
          <w:tcPr>
            <w:tcW w:type="dxa" w:w="259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Núcleo de 20 leitos, expansível a 30, mais quatro posições críticas e uma sala cirúrgica.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Configuração N1</w:t>
            </w:r>
          </w:p>
        </w:tc>
        <w:tc>
          <w:tcPr>
            <w:tcW w:type="dxa" w:w="144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1 subconjunto acionável</w:t>
            </w:r>
          </w:p>
        </w:tc>
        <w:tc>
          <w:tcPr>
            <w:tcW w:type="dxa" w:w="259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Deve operar independentemente do restante.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Configuração N2</w:t>
            </w:r>
          </w:p>
        </w:tc>
        <w:tc>
          <w:tcPr>
            <w:tcW w:type="dxa" w:w="14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1 expansão acionável</w:t>
            </w:r>
          </w:p>
        </w:tc>
        <w:tc>
          <w:tcPr>
            <w:tcW w:type="dxa" w:w="259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Acrescenta leitos, diagnóstico e apoio.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Expansão N4</w:t>
            </w:r>
          </w:p>
        </w:tc>
        <w:tc>
          <w:tcPr>
            <w:tcW w:type="dxa" w:w="144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Opção de 20 a 70 leitos adicionais</w:t>
            </w:r>
          </w:p>
        </w:tc>
        <w:tc>
          <w:tcPr>
            <w:tcW w:type="dxa" w:w="259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Contratação por módulos e diária, conforme evento.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Isolamento respiratório</w:t>
            </w:r>
          </w:p>
        </w:tc>
        <w:tc>
          <w:tcPr>
            <w:tcW w:type="dxa" w:w="14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Mínimo 2 leitos independentes</w:t>
            </w:r>
          </w:p>
        </w:tc>
        <w:tc>
          <w:tcPr>
            <w:tcW w:type="dxa" w:w="259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Pressão negativa quando indicada.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Conectividade satelital</w:t>
            </w:r>
          </w:p>
        </w:tc>
        <w:tc>
          <w:tcPr>
            <w:tcW w:type="dxa" w:w="144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2 terminais ou solução equivalente</w:t>
            </w:r>
          </w:p>
        </w:tc>
        <w:tc>
          <w:tcPr>
            <w:tcW w:type="dxa" w:w="259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Principal e reserva/uso distribuído.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Geradores</w:t>
            </w:r>
          </w:p>
        </w:tc>
        <w:tc>
          <w:tcPr>
            <w:tcW w:type="dxa" w:w="14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Arquitetura N+1</w:t>
            </w:r>
          </w:p>
        </w:tc>
        <w:tc>
          <w:tcPr>
            <w:tcW w:type="dxa" w:w="259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Dimensionados por estudo de carga, não por potência arbitrária.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Autonomia inicial</w:t>
            </w:r>
          </w:p>
        </w:tc>
        <w:tc>
          <w:tcPr>
            <w:tcW w:type="dxa" w:w="144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72 horas</w:t>
            </w:r>
          </w:p>
        </w:tc>
        <w:tc>
          <w:tcPr>
            <w:tcW w:type="dxa" w:w="259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Inclui água, combustível, gases, insumos e consumíveis críticos.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Exercício completo</w:t>
            </w:r>
          </w:p>
        </w:tc>
        <w:tc>
          <w:tcPr>
            <w:tcW w:type="dxa" w:w="14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1 por ano</w:t>
            </w:r>
          </w:p>
        </w:tc>
        <w:tc>
          <w:tcPr>
            <w:tcW w:type="dxa" w:w="259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Montagem, comissionamento e simulação.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Exercícios parciais</w:t>
            </w:r>
          </w:p>
        </w:tc>
        <w:tc>
          <w:tcPr>
            <w:tcW w:type="dxa" w:w="144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Mínimo 2 por ano</w:t>
            </w:r>
          </w:p>
        </w:tc>
        <w:tc>
          <w:tcPr>
            <w:tcW w:type="dxa" w:w="259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Comunicações, energia, inventário e módulos prioritários.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14.1 Estimativa de acionamentos para precificação</w:t>
      </w:r>
    </w:p>
    <w:p>
      <w:pPr>
        <w:widowControl/>
      </w:pPr>
      <w:r>
        <w:t>Para tornar comparáveis as propostas, a planilha de pesquisa de preços deverá adotar um cenário de consumo estimado sem gerar obrigação de acionamento. Sugestão para simulação econômica: 12 meses de prontidão; um exercício completo anual; duas mobilizações N1 por ano; uma mobilização N2 a cada dois anos; uma mobilização N3 a cada três anos; e N4 apenas como opção. Esses volumes são parâmetros de comparação e devem ser revistos com dados históricos e análise de risco.</w:t>
      </w:r>
    </w:p>
    <w:p>
      <w:pPr>
        <w:pStyle w:val="Heading1"/>
        <w:keepNext/>
        <w:pageBreakBefore w:val="0"/>
        <w:widowControl/>
      </w:pPr>
      <w:r>
        <w:t>15. Parcelamento e estratégia de contratação</w:t>
      </w:r>
    </w:p>
    <w:p>
      <w:pPr>
        <w:widowControl/>
      </w:pPr>
      <w:r>
        <w:t>O parcelamento deve ser avaliado à luz da competitividade, especialização do mercado e risco de interface. A fragmentação indiscriminada pode comprometer o comissionamento e dificultar a atribuição de responsabilidade quando sistemas críticos falharem em conjunto.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62"/>
        <w:gridCol w:w="4762"/>
      </w:tblGrid>
      <w:tr>
        <w:trPr>
          <w:tblHeader w:val="true"/>
          <w:cantSplit/>
          <w:tblHeader w:val="true"/>
        </w:trPr>
        <w:tc>
          <w:tcPr>
            <w:tcW w:type="dxa" w:w="1800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Bloco funcional</w:t>
            </w:r>
          </w:p>
        </w:tc>
        <w:tc>
          <w:tcPr>
            <w:tcW w:type="dxa" w:w="4031999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Estratégia sugerida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Infraestrutura, utilidades, equipamentos, TI e logística</w:t>
            </w:r>
          </w:p>
        </w:tc>
        <w:tc>
          <w:tcPr>
            <w:tcW w:type="dxa" w:w="4031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Lote integrado ou responsabilidade de um integrador líder, com subcontratações qualificadas e responsabilidade única pelo desempenho.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Equipes assistenciais</w:t>
            </w:r>
          </w:p>
        </w:tc>
        <w:tc>
          <w:tcPr>
            <w:tcW w:type="dxa" w:w="4031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Módulo/lote separável ou obrigação específica do contrato hospitalar, após validação jurídica e de dimensionamento.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Medicamentos e consumíveis</w:t>
            </w:r>
          </w:p>
        </w:tc>
        <w:tc>
          <w:tcPr>
            <w:tcW w:type="dxa" w:w="4031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t>Kits por perfil e período, ou por item isolado; admitir fornecimento pela SES-MT quando vantajoso, com interface e reposição claramente definidas.</w:t>
            </w:r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Transporte especial/aéreo</w:t>
            </w:r>
          </w:p>
        </w:tc>
        <w:tc>
          <w:tcPr>
            <w:tcW w:type="dxa" w:w="4031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Item sob demanda, sem exigir capacidade militar como requisito de habilitação.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15.1 Consórcios e subcontratação</w:t>
      </w:r>
    </w:p>
    <w:p>
      <w:pPr>
        <w:widowControl/>
      </w:pPr>
      <w:r>
        <w:t>A participação em consórcio deve ser considerada caso o levantamento de mercado demonstre concentração de capacidades em empresas distintas. A subcontratação poderá ser admitida para especialidades, sem afastar a responsabilidade integral da contratada líder, vedada a subcontratação total do objeto. Requisitos técnicos devem ser proporcionais às parcelas de maior relevância e valor significativo.</w:t>
      </w:r>
    </w:p>
    <w:p>
      <w:pPr>
        <w:pStyle w:val="Heading1"/>
        <w:keepNext/>
        <w:pageBreakBefore w:val="0"/>
        <w:widowControl/>
      </w:pPr>
      <w:r>
        <w:t>16. Resultados pretendidos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62"/>
        <w:gridCol w:w="4762"/>
      </w:tblGrid>
      <w:tr>
        <w:trPr>
          <w:tblHeader w:val="true"/>
          <w:cantSplit/>
          <w:tblHeader w:val="true"/>
        </w:trPr>
        <w:tc>
          <w:tcPr>
            <w:tcW w:type="dxa" w:w="1800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4031999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Indicador de sucesso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Redução do tempo de resposta</w:t>
            </w:r>
          </w:p>
        </w:tc>
        <w:tc>
          <w:tcPr>
            <w:tcW w:type="dxa" w:w="4031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Capacidade N1 e N3 instalada nos prazos definidos.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Continuidade assistencial</w:t>
            </w:r>
          </w:p>
        </w:tc>
        <w:tc>
          <w:tcPr>
            <w:tcW w:type="dxa" w:w="4031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Operação segura mesmo com falha de uma fonte crítica.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Adequação da capacidade ao evento</w:t>
            </w:r>
          </w:p>
        </w:tc>
        <w:tc>
          <w:tcPr>
            <w:tcW w:type="dxa" w:w="4031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Ativação e desativação modular sem interrupção.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Previsibilidade financeira</w:t>
            </w:r>
          </w:p>
        </w:tc>
        <w:tc>
          <w:tcPr>
            <w:tcW w:type="dxa" w:w="4031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Preços unitários por prontidão, acionamento, diária e expansão.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Qualidade e segurança</w:t>
            </w:r>
          </w:p>
        </w:tc>
        <w:tc>
          <w:tcPr>
            <w:tcW w:type="dxa" w:w="4031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Testes de aceitação aprovados e ausência de não conformidade crítica aberta.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Rastreabilidade</w:t>
            </w:r>
          </w:p>
        </w:tc>
        <w:tc>
          <w:tcPr>
            <w:tcW w:type="dxa" w:w="4031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Inventário, consumo, validade, manutenção e incidentes registrados.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Integração ao SUS</w:t>
            </w:r>
          </w:p>
        </w:tc>
        <w:tc>
          <w:tcPr>
            <w:tcW w:type="dxa" w:w="4031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Fluxos pactuados com regulação, vigilância, SAMU, rede hospitalar e laboratório.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Aprendizado institucional</w:t>
            </w:r>
          </w:p>
        </w:tc>
        <w:tc>
          <w:tcPr>
            <w:tcW w:type="dxa" w:w="4031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Exercícios, AAR e planos de melhoria concluídos.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</w:pPr>
      <w:r>
        <w:t>17. Modelo econômico e pesquisa de preços</w:t>
      </w:r>
    </w:p>
    <w:p>
      <w:pPr>
        <w:widowControl/>
      </w:pPr>
      <w:r>
        <w:t>A estimativa do valor da contratação somente poderá ser concluída após pesquisa de mercado, consulta a fornecedores e definição do envelope de quantidades. O processo deve registrar preços unitários, memórias de cálculo, fontes, data-base, tributos, mobilização, distâncias, pessoal, manutenção e custo do ciclo de vida.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62"/>
        <w:gridCol w:w="4762"/>
      </w:tblGrid>
      <w:tr>
        <w:trPr>
          <w:tblHeader w:val="true"/>
          <w:cantSplit/>
          <w:tblHeader w:val="true"/>
        </w:trPr>
        <w:tc>
          <w:tcPr>
            <w:tcW w:type="dxa" w:w="2916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 de preço</w:t>
            </w:r>
          </w:p>
        </w:tc>
        <w:tc>
          <w:tcPr>
            <w:tcW w:type="dxa" w:w="2916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Unidade de medição</w:t>
            </w:r>
          </w:p>
        </w:tc>
      </w:tr>
      <w:tr>
        <w:trPr>
          <w:cantSplit/>
          <w:cantSplit/>
        </w:trPr>
        <w:tc>
          <w:tcPr>
            <w:tcW w:type="dxa" w:w="291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A. Prontidão</w:t>
            </w:r>
          </w:p>
        </w:tc>
        <w:tc>
          <w:tcPr>
            <w:tcW w:type="dxa" w:w="291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R$/mês</w:t>
            </w:r>
          </w:p>
        </w:tc>
      </w:tr>
      <w:tr>
        <w:trPr>
          <w:cantSplit/>
          <w:cantSplit/>
        </w:trPr>
        <w:tc>
          <w:tcPr>
            <w:tcW w:type="dxa" w:w="291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B. Mobilização</w:t>
            </w:r>
          </w:p>
        </w:tc>
        <w:tc>
          <w:tcPr>
            <w:tcW w:type="dxa" w:w="291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t>R$/acionamento por configuração</w:t>
            </w:r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291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C. Transporte</w:t>
            </w:r>
          </w:p>
        </w:tc>
        <w:tc>
          <w:tcPr>
            <w:tcW w:type="dxa" w:w="291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R$/faixa de distância, km ou região</w:t>
            </w:r>
          </w:p>
        </w:tc>
      </w:tr>
      <w:tr>
        <w:trPr>
          <w:cantSplit/>
          <w:cantSplit/>
        </w:trPr>
        <w:tc>
          <w:tcPr>
            <w:tcW w:type="dxa" w:w="291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D. Instalação e comissionamento</w:t>
            </w:r>
          </w:p>
        </w:tc>
        <w:tc>
          <w:tcPr>
            <w:tcW w:type="dxa" w:w="291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R$/nível</w:t>
            </w:r>
          </w:p>
        </w:tc>
      </w:tr>
      <w:tr>
        <w:trPr>
          <w:cantSplit/>
          <w:cantSplit/>
        </w:trPr>
        <w:tc>
          <w:tcPr>
            <w:tcW w:type="dxa" w:w="291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E. Operação</w:t>
            </w:r>
          </w:p>
        </w:tc>
        <w:tc>
          <w:tcPr>
            <w:tcW w:type="dxa" w:w="291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t>R$/dia por módulo acionado</w:t>
            </w:r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291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F. Equipe assistencial</w:t>
            </w:r>
          </w:p>
        </w:tc>
        <w:tc>
          <w:tcPr>
            <w:tcW w:type="dxa" w:w="291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t>R$/pacote de 24 h por configuração</w:t>
            </w:r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291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G. Consumíveis</w:t>
            </w:r>
          </w:p>
        </w:tc>
        <w:tc>
          <w:tcPr>
            <w:tcW w:type="dxa" w:w="291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R$/kit/dia ou por perfil</w:t>
            </w:r>
          </w:p>
        </w:tc>
      </w:tr>
      <w:tr>
        <w:trPr>
          <w:cantSplit/>
          <w:cantSplit/>
        </w:trPr>
        <w:tc>
          <w:tcPr>
            <w:tcW w:type="dxa" w:w="291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H. Módulo de expansão</w:t>
            </w:r>
          </w:p>
        </w:tc>
        <w:tc>
          <w:tcPr>
            <w:tcW w:type="dxa" w:w="291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R$/módulo/dia</w:t>
            </w:r>
          </w:p>
        </w:tc>
      </w:tr>
      <w:tr>
        <w:trPr>
          <w:cantSplit/>
          <w:cantSplit/>
        </w:trPr>
        <w:tc>
          <w:tcPr>
            <w:tcW w:type="dxa" w:w="291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I. Desmobilização</w:t>
            </w:r>
          </w:p>
        </w:tc>
        <w:tc>
          <w:tcPr>
            <w:tcW w:type="dxa" w:w="291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R$/evento</w:t>
            </w:r>
          </w:p>
        </w:tc>
      </w:tr>
      <w:tr>
        <w:trPr>
          <w:cantSplit/>
          <w:cantSplit/>
        </w:trPr>
        <w:tc>
          <w:tcPr>
            <w:tcW w:type="dxa" w:w="291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J. Treinamento/exercício</w:t>
            </w:r>
          </w:p>
        </w:tc>
        <w:tc>
          <w:tcPr>
            <w:tcW w:type="dxa" w:w="291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R$/evento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17.1 Comparação de custo total</w:t>
      </w:r>
    </w:p>
    <w:p>
      <w:pPr>
        <w:widowControl/>
      </w:pPr>
      <w:r>
        <w:t>A análise deverá comparar, em horizonte plurianual, pelo menos: aquisição integral; serviço de prontidão; e locação episódica. Incluir aquisição/locação, depreciação, armazenamento, seguro, manutenção, calibração, licenças, conectividade, atualização tecnológica, equipe de prontidão, exercícios, mobilizações, consumíveis, descarte e valor residual.</w:t>
      </w:r>
    </w:p>
    <w:p>
      <w:pPr>
        <w:pStyle w:val="Heading1"/>
        <w:keepNext/>
        <w:pageBreakBefore w:val="0"/>
        <w:widowControl/>
      </w:pPr>
      <w:r>
        <w:t>18. Providências prévias à contratação</w:t>
      </w:r>
    </w:p>
    <w:p>
      <w:pPr>
        <w:widowControl/>
        <w:spacing w:after="60" w:line="259" w:lineRule="auto"/>
        <w:ind w:left="340" w:hanging="340"/>
      </w:pPr>
      <w:r>
        <w:rPr>
          <w:b/>
        </w:rPr>
        <w:t xml:space="preserve">1. </w:t>
      </w:r>
      <w:r>
        <w:t>Designar formalmente equipe multidisciplinar de planejamento.</w:t>
      </w:r>
    </w:p>
    <w:p>
      <w:pPr>
        <w:widowControl/>
        <w:spacing w:after="60" w:line="259" w:lineRule="auto"/>
        <w:ind w:left="340" w:hanging="340"/>
      </w:pPr>
      <w:r>
        <w:rPr>
          <w:b/>
        </w:rPr>
        <w:t xml:space="preserve">2. </w:t>
      </w:r>
      <w:r>
        <w:t>Definir unidade requisitante, gestor do futuro contrato e fonte orçamentária.</w:t>
      </w:r>
    </w:p>
    <w:p>
      <w:pPr>
        <w:widowControl/>
        <w:spacing w:after="60" w:line="259" w:lineRule="auto"/>
        <w:ind w:left="340" w:hanging="340"/>
      </w:pPr>
      <w:r>
        <w:rPr>
          <w:b/>
        </w:rPr>
        <w:t xml:space="preserve">3. </w:t>
      </w:r>
      <w:r>
        <w:t>Validar cenários e dimensionamento com atenção hospitalar, urgência e emergência, regulação, vigilância, engenharia, STI, assistência farmacêutica, LACEN e áreas administrativas.</w:t>
      </w:r>
    </w:p>
    <w:p>
      <w:pPr>
        <w:widowControl/>
        <w:spacing w:after="60" w:line="259" w:lineRule="auto"/>
        <w:ind w:left="340" w:hanging="340"/>
      </w:pPr>
      <w:r>
        <w:t>4. Extrair, padronizar e validar as séries do CIEVS-MT, CNES, IndicaSUS/Monitora Hospitalar, SISREG, S2iD/Defesa Civil, SIH/SUS, SIA/SUS, SINAN, SIVEP-Gripe e GAL, com dicionário, data de corte e nota metodológica.</w:t>
      </w:r>
    </w:p>
    <w:p>
      <w:pPr>
        <w:widowControl/>
        <w:spacing w:after="60" w:line="259" w:lineRule="auto"/>
        <w:ind w:left="340" w:hanging="340"/>
      </w:pPr>
      <w:r>
        <w:rPr>
          <w:b/>
        </w:rPr>
        <w:t xml:space="preserve">5. </w:t>
      </w:r>
      <w:r>
        <w:t>Promover RFI/consulta pública e visitas técnicas a soluções existentes.</w:t>
      </w:r>
    </w:p>
    <w:p>
      <w:pPr>
        <w:widowControl/>
        <w:spacing w:after="60" w:line="259" w:lineRule="auto"/>
        <w:ind w:left="340" w:hanging="340"/>
      </w:pPr>
      <w:r>
        <w:rPr>
          <w:b/>
        </w:rPr>
        <w:t xml:space="preserve">6. </w:t>
      </w:r>
      <w:r>
        <w:t>Comparar aquisição, locação e serviço pelo custo total do ciclo de vida.</w:t>
      </w:r>
    </w:p>
    <w:p>
      <w:pPr>
        <w:widowControl/>
        <w:spacing w:after="60" w:line="259" w:lineRule="auto"/>
        <w:ind w:left="340" w:hanging="340"/>
      </w:pPr>
      <w:r>
        <w:rPr>
          <w:b/>
        </w:rPr>
        <w:t xml:space="preserve">7. </w:t>
      </w:r>
      <w:r>
        <w:t>Definir parcelamento, participação em consórcio, subcontratação e qualificação técnica.</w:t>
      </w:r>
    </w:p>
    <w:p>
      <w:pPr>
        <w:widowControl/>
        <w:spacing w:after="60" w:line="259" w:lineRule="auto"/>
        <w:ind w:left="340" w:hanging="340"/>
      </w:pPr>
      <w:r>
        <w:rPr>
          <w:b/>
        </w:rPr>
        <w:t xml:space="preserve">8. </w:t>
      </w:r>
      <w:r>
        <w:t>Elaborar matriz de riscos, orçamento estimado, Termo de Referência, minuta contratual e anexos.</w:t>
      </w:r>
    </w:p>
    <w:p>
      <w:pPr>
        <w:widowControl/>
        <w:spacing w:after="60" w:line="259" w:lineRule="auto"/>
        <w:ind w:left="340" w:hanging="340"/>
      </w:pPr>
      <w:r>
        <w:rPr>
          <w:b/>
        </w:rPr>
        <w:t xml:space="preserve">9. </w:t>
      </w:r>
      <w:r>
        <w:t>Submeter os documentos à vigilância sanitária, controle de infecção, engenharia, segurança do trabalho, proteção de dados, aquisições e assessoria jurídica.</w:t>
      </w:r>
    </w:p>
    <w:p>
      <w:pPr>
        <w:keepLines/>
        <w:widowControl/>
        <w:spacing w:after="60" w:line="259" w:lineRule="auto" w:before="120"/>
        <w:ind w:left="340" w:hanging="340"/>
      </w:pPr>
      <w:r>
        <w:rPr>
          <w:b/>
        </w:rPr>
        <w:t xml:space="preserve">10. </w:t>
      </w:r>
      <w:r>
        <w:t>Planejar governança, treinamento, fiscalização, sistemas de registro e exercícios antes do início da vigência.</w:t>
      </w:r>
    </w:p>
    <w:p>
      <w:pPr>
        <w:widowControl/>
      </w:pPr>
      <w:r>
        <w:t>11. Mapear e avaliar previamente sítios de instalação nas 16 sedes regionais e em municípios de maior risco, registrando área útil, acesso de cargas, drenagem, segurança, energia, água, esgoto, comunicações e possibilidade de expansão.</w:t>
      </w:r>
    </w:p>
    <w:p>
      <w:pPr>
        <w:pStyle w:val="Heading2"/>
        <w:keepNext/>
        <w:pageBreakBefore w:val="0"/>
        <w:widowControl/>
      </w:pPr>
      <w:r>
        <w:t>18.1 Equipe mínima de planejamento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62"/>
        <w:gridCol w:w="4762"/>
      </w:tblGrid>
      <w:tr>
        <w:trPr>
          <w:tblHeader w:val="true"/>
          <w:cantSplit/>
          <w:tblHeader w:val="true"/>
        </w:trPr>
        <w:tc>
          <w:tcPr>
            <w:tcW w:type="dxa" w:w="1800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4031999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Contribuição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Unidade demandante/gestão hospitalar</w:t>
            </w:r>
          </w:p>
        </w:tc>
        <w:tc>
          <w:tcPr>
            <w:tcW w:type="dxa" w:w="4031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Escopo assistencial, integração ao contrato hospitalar e resultados.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Urgência, emergência e regulação</w:t>
            </w:r>
          </w:p>
        </w:tc>
        <w:tc>
          <w:tcPr>
            <w:tcW w:type="dxa" w:w="4031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Fluxos, referência, remoção e dimensionamento.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Vigilância/CIEVS/COES</w:t>
            </w:r>
          </w:p>
        </w:tc>
        <w:tc>
          <w:tcPr>
            <w:tcW w:type="dxa" w:w="4031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Cenários, níveis de ativação, comando e vigilância em emergências.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Engenharia e manutenção</w:t>
            </w:r>
          </w:p>
        </w:tc>
        <w:tc>
          <w:tcPr>
            <w:tcW w:type="dxa" w:w="4031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Estrutura, energia, HVAC, gases, WASH, incêndio e testes.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STI e proteção de dados</w:t>
            </w:r>
          </w:p>
        </w:tc>
        <w:tc>
          <w:tcPr>
            <w:tcW w:type="dxa" w:w="4031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Conectividade, sistemas, cibersegurança, LGPD e interoperabilidade.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Vigilância sanitária/CCIH</w:t>
            </w:r>
          </w:p>
        </w:tc>
        <w:tc>
          <w:tcPr>
            <w:tcW w:type="dxa" w:w="4031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Requisitos sanitários, isolamento, fluxos, limpeza e resíduos.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Assistência farmacêutica/LACEN</w:t>
            </w:r>
          </w:p>
        </w:tc>
        <w:tc>
          <w:tcPr>
            <w:tcW w:type="dxa" w:w="4031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Medicamentos, cadeia fria, diagnóstico, POC e suprimentos.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Aquisições/orçamento/jurídico</w:t>
            </w:r>
          </w:p>
        </w:tc>
        <w:tc>
          <w:tcPr>
            <w:tcW w:type="dxa" w:w="4031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Modelo econômico, licitação, riscos, garantias e minuta.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</w:pPr>
      <w:r>
        <w:t>19. Contratações correlatas e interdependentes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62"/>
        <w:gridCol w:w="4762"/>
      </w:tblGrid>
      <w:tr>
        <w:trPr>
          <w:tblHeader w:val="true"/>
          <w:cantSplit/>
          <w:tblHeader w:val="true"/>
        </w:trPr>
        <w:tc>
          <w:tcPr>
            <w:tcW w:type="dxa" w:w="1800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Dependência</w:t>
            </w:r>
          </w:p>
        </w:tc>
        <w:tc>
          <w:tcPr>
            <w:tcW w:type="dxa" w:w="4031999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Tratamento recomendado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Contrato da unidade hospitalar</w:t>
            </w:r>
          </w:p>
        </w:tc>
        <w:tc>
          <w:tcPr>
            <w:tcW w:type="dxa" w:w="4031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Definir se a UHMR será obrigação do mesmo contratado ou contratação autônoma; evitar dupla remuneração.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SAMU e transporte sanitário</w:t>
            </w:r>
          </w:p>
        </w:tc>
        <w:tc>
          <w:tcPr>
            <w:tcW w:type="dxa" w:w="4031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Pactuar ambulâncias, remoções, comunicação e prioridade.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Regulação</w:t>
            </w:r>
          </w:p>
        </w:tc>
        <w:tc>
          <w:tcPr>
            <w:tcW w:type="dxa" w:w="4031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Integrar acesso, leitos, transferências e referência.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Hemorrede</w:t>
            </w:r>
          </w:p>
        </w:tc>
        <w:tc>
          <w:tcPr>
            <w:tcW w:type="dxa" w:w="4031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Definir fornecimento, transporte, cadeia fria e responsabilidade transfusional.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Resíduos e efluentes</w:t>
            </w:r>
          </w:p>
        </w:tc>
        <w:tc>
          <w:tcPr>
            <w:tcW w:type="dxa" w:w="4031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Confirmar capacidade local e contingência contratada.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Combustível</w:t>
            </w:r>
          </w:p>
        </w:tc>
        <w:tc>
          <w:tcPr>
            <w:tcW w:type="dxa" w:w="4031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Definir inclusão no preço, estoque, segurança e reabastecimento.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Segurança e perímetro</w:t>
            </w:r>
          </w:p>
        </w:tc>
        <w:tc>
          <w:tcPr>
            <w:tcW w:type="dxa" w:w="4031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Articular forças estaduais/municipais e segurança patrimonial interna.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Telecomunicações</w:t>
            </w:r>
          </w:p>
        </w:tc>
        <w:tc>
          <w:tcPr>
            <w:tcW w:type="dxa" w:w="4031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Licenças, frequências, planos de dados e interoperabilidade.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Licenças sanitárias e locais</w:t>
            </w:r>
          </w:p>
        </w:tc>
        <w:tc>
          <w:tcPr>
            <w:tcW w:type="dxa" w:w="4031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Matriz de responsabilidades e rito acelerado para emergência.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</w:pPr>
      <w:r>
        <w:t>20. Sustentabilidade e impactos ambientais</w:t>
      </w:r>
    </w:p>
    <w:p>
      <w:pPr>
        <w:pStyle w:val="ListBullet"/>
        <w:widowControl/>
        <w:spacing w:after="70" w:line="259" w:lineRule="auto"/>
        <w:ind w:left="340" w:hanging="142"/>
      </w:pPr>
      <w:r>
        <w:t>equipamentos energeticamente eficientes e monitoramento de consumo;</w:t>
      </w:r>
    </w:p>
    <w:p>
      <w:pPr>
        <w:pStyle w:val="ListBullet"/>
        <w:widowControl/>
        <w:spacing w:after="70" w:line="259" w:lineRule="auto"/>
        <w:ind w:left="340" w:hanging="142"/>
      </w:pPr>
      <w:r>
        <w:t>geradores com controle de emissões, ruído, contenção de combustível e manutenção;</w:t>
      </w:r>
    </w:p>
    <w:p>
      <w:pPr>
        <w:pStyle w:val="ListBullet"/>
        <w:widowControl/>
        <w:spacing w:after="70" w:line="259" w:lineRule="auto"/>
        <w:ind w:left="340" w:hanging="142"/>
      </w:pPr>
      <w:r>
        <w:t>redução de descartáveis quando clinicamente segura e sem comprometer o controle de infecção;</w:t>
      </w:r>
    </w:p>
    <w:p>
      <w:pPr>
        <w:pStyle w:val="ListBullet"/>
        <w:widowControl/>
        <w:spacing w:after="70" w:line="259" w:lineRule="auto"/>
        <w:ind w:left="340" w:hanging="142"/>
      </w:pPr>
      <w:r>
        <w:t>segregação e destinação de resíduos conforme PGRSS e licenças;</w:t>
      </w:r>
    </w:p>
    <w:p>
      <w:pPr>
        <w:pStyle w:val="ListBullet"/>
        <w:widowControl/>
        <w:spacing w:after="70" w:line="259" w:lineRule="auto"/>
        <w:ind w:left="340" w:hanging="142"/>
      </w:pPr>
      <w:r>
        <w:t>uso racional de água, detecção de vazamentos e solução adequada de efluentes;</w:t>
      </w:r>
    </w:p>
    <w:p>
      <w:pPr>
        <w:pStyle w:val="ListBullet"/>
        <w:widowControl/>
        <w:spacing w:after="70" w:line="259" w:lineRule="auto"/>
        <w:ind w:left="340" w:hanging="142"/>
      </w:pPr>
      <w:r>
        <w:t>embalagens reutilizáveis, inventário de químicos e logística reversa quando aplicável;</w:t>
      </w:r>
    </w:p>
    <w:p>
      <w:pPr>
        <w:pStyle w:val="ListBullet"/>
        <w:widowControl/>
        <w:spacing w:after="70" w:line="259" w:lineRule="auto"/>
        <w:ind w:left="340" w:hanging="142"/>
      </w:pPr>
      <w:r>
        <w:t>recuperação do sítio após desmobilização e registro de passivos ambientais;</w:t>
      </w:r>
    </w:p>
    <w:p>
      <w:pPr>
        <w:pStyle w:val="ListBullet"/>
        <w:widowControl/>
        <w:spacing w:after="70" w:line="259" w:lineRule="auto"/>
        <w:ind w:left="340" w:hanging="142"/>
      </w:pPr>
      <w:r>
        <w:t>critérios sociais e trabalhistas, acessibilidade e condições dignas para pacientes e equipes.</w:t>
      </w:r>
    </w:p>
    <w:p>
      <w:pPr>
        <w:pStyle w:val="Heading1"/>
        <w:keepNext/>
        <w:pageBreakBefore w:val="0"/>
        <w:widowControl/>
      </w:pPr>
      <w:r>
        <w:t>21. Riscos preliminares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  <w:tblHeader w:val="true"/>
        </w:trPr>
        <w:tc>
          <w:tcPr>
            <w:tcW w:type="dxa" w:w="1475999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612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Prob.</w:t>
            </w:r>
          </w:p>
        </w:tc>
        <w:tc>
          <w:tcPr>
            <w:tcW w:type="dxa" w:w="648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3096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Tratamento/alocação inicial</w:t>
            </w:r>
          </w:p>
        </w:tc>
      </w:tr>
      <w:tr>
        <w:trPr>
          <w:cantSplit/>
          <w:cantSplit/>
        </w:trPr>
        <w:tc>
          <w:tcPr>
            <w:tcW w:type="dxa" w:w="1475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Atraso na mobilização</w:t>
            </w:r>
          </w:p>
        </w:tc>
        <w:tc>
          <w:tcPr>
            <w:tcW w:type="dxa" w:w="61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Média</w:t>
            </w:r>
          </w:p>
        </w:tc>
        <w:tc>
          <w:tcPr>
            <w:tcW w:type="dxa" w:w="64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Alto</w:t>
            </w:r>
          </w:p>
        </w:tc>
        <w:tc>
          <w:tcPr>
            <w:tcW w:type="dxa" w:w="309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SLA, rastreamento, rotas alternativas, penalidade; contratada.</w:t>
            </w:r>
          </w:p>
        </w:tc>
      </w:tr>
      <w:tr>
        <w:trPr>
          <w:cantSplit/>
          <w:cantSplit/>
        </w:trPr>
        <w:tc>
          <w:tcPr>
            <w:tcW w:type="dxa" w:w="1475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Sítio inadequado ou não liberado</w:t>
            </w:r>
          </w:p>
        </w:tc>
        <w:tc>
          <w:tcPr>
            <w:tcW w:type="dxa" w:w="61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Média</w:t>
            </w:r>
          </w:p>
        </w:tc>
        <w:tc>
          <w:tcPr>
            <w:tcW w:type="dxa" w:w="648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Alto</w:t>
            </w:r>
          </w:p>
        </w:tc>
        <w:tc>
          <w:tcPr>
            <w:tcW w:type="dxa" w:w="309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Site Assessment e locais pré-mapeados; Administração/compartilhado.</w:t>
            </w:r>
          </w:p>
        </w:tc>
      </w:tr>
      <w:tr>
        <w:trPr>
          <w:cantSplit/>
          <w:cantSplit/>
        </w:trPr>
        <w:tc>
          <w:tcPr>
            <w:tcW w:type="dxa" w:w="1475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Falha de energia ou combustível</w:t>
            </w:r>
          </w:p>
        </w:tc>
        <w:tc>
          <w:tcPr>
            <w:tcW w:type="dxa" w:w="61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Média</w:t>
            </w:r>
          </w:p>
        </w:tc>
        <w:tc>
          <w:tcPr>
            <w:tcW w:type="dxa" w:w="64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Crítico</w:t>
            </w:r>
          </w:p>
        </w:tc>
        <w:tc>
          <w:tcPr>
            <w:tcW w:type="dxa" w:w="309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N+1, UPS, telemetria e estoque; contratada conforme escopo.</w:t>
            </w:r>
          </w:p>
        </w:tc>
      </w:tr>
      <w:tr>
        <w:trPr>
          <w:cantSplit/>
          <w:cantSplit/>
        </w:trPr>
        <w:tc>
          <w:tcPr>
            <w:tcW w:type="dxa" w:w="1475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Falha de gases medicinais</w:t>
            </w:r>
          </w:p>
        </w:tc>
        <w:tc>
          <w:tcPr>
            <w:tcW w:type="dxa" w:w="61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Baixa</w:t>
            </w:r>
          </w:p>
        </w:tc>
        <w:tc>
          <w:tcPr>
            <w:tcW w:type="dxa" w:w="648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Crítico</w:t>
            </w:r>
          </w:p>
        </w:tc>
        <w:tc>
          <w:tcPr>
            <w:tcW w:type="dxa" w:w="309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Fonte reserva, cálculo de consumo, alarmes e reposição; contratada.</w:t>
            </w:r>
          </w:p>
        </w:tc>
      </w:tr>
      <w:tr>
        <w:trPr>
          <w:cantSplit/>
          <w:cantSplit/>
        </w:trPr>
        <w:tc>
          <w:tcPr>
            <w:tcW w:type="dxa" w:w="1475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Incompatibilidade entre subsistemas</w:t>
            </w:r>
          </w:p>
        </w:tc>
        <w:tc>
          <w:tcPr>
            <w:tcW w:type="dxa" w:w="61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Média</w:t>
            </w:r>
          </w:p>
        </w:tc>
        <w:tc>
          <w:tcPr>
            <w:tcW w:type="dxa" w:w="64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Crítico</w:t>
            </w:r>
          </w:p>
        </w:tc>
        <w:tc>
          <w:tcPr>
            <w:tcW w:type="dxa" w:w="309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Integrador único, FAT/SAT e prova de conceito; contratada.</w:t>
            </w:r>
          </w:p>
        </w:tc>
      </w:tr>
      <w:tr>
        <w:trPr>
          <w:cantSplit/>
          <w:cantSplit/>
        </w:trPr>
        <w:tc>
          <w:tcPr>
            <w:tcW w:type="dxa" w:w="1475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Falta de profissionais</w:t>
            </w:r>
          </w:p>
        </w:tc>
        <w:tc>
          <w:tcPr>
            <w:tcW w:type="dxa" w:w="61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Média</w:t>
            </w:r>
          </w:p>
        </w:tc>
        <w:tc>
          <w:tcPr>
            <w:tcW w:type="dxa" w:w="648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Crítico</w:t>
            </w:r>
          </w:p>
        </w:tc>
        <w:tc>
          <w:tcPr>
            <w:tcW w:type="dxa" w:w="309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Reserva, escala e substituição; responsável pelo módulo assistencial.</w:t>
            </w:r>
          </w:p>
        </w:tc>
      </w:tr>
      <w:tr>
        <w:trPr>
          <w:cantSplit/>
          <w:cantSplit/>
        </w:trPr>
        <w:tc>
          <w:tcPr>
            <w:tcW w:type="dxa" w:w="1475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Ruptura de estoque/validade</w:t>
            </w:r>
          </w:p>
        </w:tc>
        <w:tc>
          <w:tcPr>
            <w:tcW w:type="dxa" w:w="61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Média</w:t>
            </w:r>
          </w:p>
        </w:tc>
        <w:tc>
          <w:tcPr>
            <w:tcW w:type="dxa" w:w="64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Alto</w:t>
            </w:r>
          </w:p>
        </w:tc>
        <w:tc>
          <w:tcPr>
            <w:tcW w:type="dxa" w:w="309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FEFO, rastreabilidade, kits e estoque de segurança; contratada/SES conforme matriz.</w:t>
            </w:r>
          </w:p>
        </w:tc>
      </w:tr>
      <w:tr>
        <w:trPr>
          <w:cantSplit/>
          <w:cantSplit/>
        </w:trPr>
        <w:tc>
          <w:tcPr>
            <w:tcW w:type="dxa" w:w="1475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Indisponibilidade de comunicação</w:t>
            </w:r>
          </w:p>
        </w:tc>
        <w:tc>
          <w:tcPr>
            <w:tcW w:type="dxa" w:w="61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Alta</w:t>
            </w:r>
          </w:p>
        </w:tc>
        <w:tc>
          <w:tcPr>
            <w:tcW w:type="dxa" w:w="648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Alto</w:t>
            </w:r>
          </w:p>
        </w:tc>
        <w:tc>
          <w:tcPr>
            <w:tcW w:type="dxa" w:w="309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Satélite + móvel + rádio; contratada.</w:t>
            </w:r>
          </w:p>
        </w:tc>
      </w:tr>
      <w:tr>
        <w:trPr>
          <w:cantSplit/>
          <w:cantSplit/>
        </w:trPr>
        <w:tc>
          <w:tcPr>
            <w:tcW w:type="dxa" w:w="1475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Evento acima do envelope de projeto</w:t>
            </w:r>
          </w:p>
        </w:tc>
        <w:tc>
          <w:tcPr>
            <w:tcW w:type="dxa" w:w="61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Baixa</w:t>
            </w:r>
          </w:p>
        </w:tc>
        <w:tc>
          <w:tcPr>
            <w:tcW w:type="dxa" w:w="64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Crítico</w:t>
            </w:r>
          </w:p>
        </w:tc>
        <w:tc>
          <w:tcPr>
            <w:tcW w:type="dxa" w:w="309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Limites declarados, evacuação e matriz contratual; compartilhado.</w:t>
            </w:r>
          </w:p>
        </w:tc>
      </w:tr>
      <w:tr>
        <w:trPr>
          <w:cantSplit/>
          <w:cantSplit/>
        </w:trPr>
        <w:tc>
          <w:tcPr>
            <w:tcW w:type="dxa" w:w="1475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Incidente de dados</w:t>
            </w:r>
          </w:p>
        </w:tc>
        <w:tc>
          <w:tcPr>
            <w:tcW w:type="dxa" w:w="61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Média</w:t>
            </w:r>
          </w:p>
        </w:tc>
        <w:tc>
          <w:tcPr>
            <w:tcW w:type="dxa" w:w="648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Alto</w:t>
            </w:r>
          </w:p>
        </w:tc>
        <w:tc>
          <w:tcPr>
            <w:tcW w:type="dxa" w:w="309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Segurança, logs, criptografia e resposta; alocação conforme causa.</w:t>
            </w:r>
          </w:p>
        </w:tc>
      </w:tr>
      <w:tr>
        <w:trPr>
          <w:cantSplit/>
          <w:cantSplit/>
        </w:trPr>
        <w:tc>
          <w:tcPr>
            <w:tcW w:type="dxa" w:w="1475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Restrição competitiva</w:t>
            </w:r>
          </w:p>
        </w:tc>
        <w:tc>
          <w:tcPr>
            <w:tcW w:type="dxa" w:w="61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Média</w:t>
            </w:r>
          </w:p>
        </w:tc>
        <w:tc>
          <w:tcPr>
            <w:tcW w:type="dxa" w:w="64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Alto</w:t>
            </w:r>
          </w:p>
        </w:tc>
        <w:tc>
          <w:tcPr>
            <w:tcW w:type="dxa" w:w="309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RFI, requisitos funcionais, equivalência e qualificação proporcional; Administração.</w:t>
            </w:r>
          </w:p>
        </w:tc>
      </w:tr>
      <w:tr>
        <w:trPr>
          <w:cantSplit/>
          <w:cantSplit/>
        </w:trPr>
        <w:tc>
          <w:tcPr>
            <w:tcW w:type="dxa" w:w="1475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Custo fixo desproporcional</w:t>
            </w:r>
          </w:p>
        </w:tc>
        <w:tc>
          <w:tcPr>
            <w:tcW w:type="dxa" w:w="61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Média</w:t>
            </w:r>
          </w:p>
        </w:tc>
        <w:tc>
          <w:tcPr>
            <w:tcW w:type="dxa" w:w="648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Alto</w:t>
            </w:r>
          </w:p>
        </w:tc>
        <w:tc>
          <w:tcPr>
            <w:tcW w:type="dxa" w:w="309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Modelo por prontidão + acionamento e expansão opcional; Administração.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A matriz definitiva deverá atribuir proprietário, causa, consequência, controles preventivos, plano de contingência, gatilhos, evidências e impacto econômico, vinculando riscos às cláusulas contratuais e ao equilíbrio econômico-financeiro.</w:t>
      </w:r>
    </w:p>
    <w:p>
      <w:pPr>
        <w:pStyle w:val="Heading1"/>
        <w:keepNext/>
        <w:pageBreakBefore w:val="0"/>
        <w:widowControl/>
      </w:pPr>
      <w:r>
        <w:t>22. Governança, fiscalização e medição</w:t>
      </w:r>
    </w:p>
    <w:p>
      <w:pPr>
        <w:pStyle w:val="Heading2"/>
        <w:keepNext/>
        <w:pageBreakBefore w:val="0"/>
        <w:widowControl/>
      </w:pPr>
      <w:r>
        <w:t>22.1 Governança da missão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62"/>
        <w:gridCol w:w="4762"/>
      </w:tblGrid>
      <w:tr>
        <w:trPr>
          <w:tblHeader w:val="true"/>
          <w:cantSplit/>
          <w:tblHeader w:val="true"/>
        </w:trPr>
        <w:tc>
          <w:tcPr>
            <w:tcW w:type="dxa" w:w="1800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Nível</w:t>
            </w:r>
          </w:p>
        </w:tc>
        <w:tc>
          <w:tcPr>
            <w:tcW w:type="dxa" w:w="4031999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Responsabilidade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Estratégico - SES/COE/COES</w:t>
            </w:r>
          </w:p>
        </w:tc>
        <w:tc>
          <w:tcPr>
            <w:tcW w:type="dxa" w:w="4031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Definir missão, nível, prioridades, articulação interinstitucional, comunicação pública e encerramento.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Coordenação da missão</w:t>
            </w:r>
          </w:p>
        </w:tc>
        <w:tc>
          <w:tcPr>
            <w:tcW w:type="dxa" w:w="4031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Comando unificado, ligação com território, segurança, regulação e acompanhamento dos resultados.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Direção clínica</w:t>
            </w:r>
          </w:p>
        </w:tc>
        <w:tc>
          <w:tcPr>
            <w:tcW w:type="dxa" w:w="4031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Protocolos assistenciais, segurança do paciente, escalas, referência e qualidade clínica.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Operações e logística</w:t>
            </w:r>
          </w:p>
        </w:tc>
        <w:tc>
          <w:tcPr>
            <w:tcW w:type="dxa" w:w="4031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Infraestrutura, utilidades, estoque, transporte, manutenção e continuidade.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Vigilância e informação</w:t>
            </w:r>
          </w:p>
        </w:tc>
        <w:tc>
          <w:tcPr>
            <w:tcW w:type="dxa" w:w="4031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Notificação, análise, situação epidemiológica, dados, indicadores e comunicação de risco.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22.2 Fiscalização contratual</w:t>
      </w:r>
    </w:p>
    <w:p>
      <w:pPr>
        <w:pStyle w:val="ListBullet"/>
        <w:widowControl/>
        <w:spacing w:after="70" w:line="259" w:lineRule="auto"/>
        <w:ind w:left="340" w:hanging="142"/>
      </w:pPr>
      <w:r>
        <w:t>gestor do contrato e fiscais técnico, administrativo e setoriais formalmente designados;</w:t>
      </w:r>
    </w:p>
    <w:p>
      <w:pPr>
        <w:pStyle w:val="ListBullet"/>
        <w:widowControl/>
        <w:spacing w:after="70" w:line="259" w:lineRule="auto"/>
        <w:ind w:left="340" w:hanging="142"/>
      </w:pPr>
      <w:r>
        <w:t>painel com SLA, disponibilidade, chamados, inventário, manutenção, consumo e não conformidades;</w:t>
      </w:r>
    </w:p>
    <w:p>
      <w:pPr>
        <w:pStyle w:val="ListBullet"/>
        <w:widowControl/>
        <w:spacing w:after="70" w:line="259" w:lineRule="auto"/>
        <w:ind w:left="340" w:hanging="142"/>
      </w:pPr>
      <w:r>
        <w:t>boletim diário durante missão e relatório mensal na prontidão;</w:t>
      </w:r>
    </w:p>
    <w:p>
      <w:pPr>
        <w:pStyle w:val="ListBullet"/>
        <w:widowControl/>
        <w:spacing w:after="70" w:line="259" w:lineRule="auto"/>
        <w:ind w:left="340" w:hanging="142"/>
      </w:pPr>
      <w:r>
        <w:t>medição vinculada a entregas e resultados, com glosas objetivas e direito de contraditório;</w:t>
      </w:r>
    </w:p>
    <w:p>
      <w:pPr>
        <w:pStyle w:val="ListBullet"/>
        <w:widowControl/>
        <w:spacing w:after="70" w:line="259" w:lineRule="auto"/>
        <w:ind w:left="340" w:hanging="142"/>
      </w:pPr>
      <w:r>
        <w:t>reuniões de desempenho, auditorias, inspeções, exercícios e planos de melhoria;</w:t>
      </w:r>
    </w:p>
    <w:p>
      <w:pPr>
        <w:pStyle w:val="ListBullet"/>
        <w:widowControl/>
        <w:spacing w:after="70" w:line="259" w:lineRule="auto"/>
        <w:ind w:left="340" w:hanging="142"/>
      </w:pPr>
      <w:r>
        <w:t>registro de decisões, mudanças de escopo e eventos de risco.</w:t>
      </w:r>
    </w:p>
    <w:p>
      <w:pPr>
        <w:pStyle w:val="Heading1"/>
        <w:keepNext/>
        <w:pageBreakBefore w:val="0"/>
        <w:widowControl/>
      </w:pPr>
      <w:r>
        <w:t>23. Conclusão de viabilidade</w:t>
      </w:r>
    </w:p>
    <w:p>
      <w:pPr>
        <w:widowControl/>
      </w:pPr>
      <w:r>
        <w:t>A contratação é tecnicamente necessária e potencialmente viável, pois responde a risco relevante de interrupção ou insuficiência temporária da rede e pode reduzir o tempo de expansão assistencial em emergências. A arquitetura modular por níveis permite compatibilizar capacidade e custo, enquanto o modelo de prontidão e acionamento evita depender exclusivamente de contratações emergenciais posteriores ao evento.</w:t>
      </w:r>
    </w:p>
    <w:p>
      <w:pPr>
        <w:widowControl/>
      </w:pPr>
      <w:r>
        <w:t>A viabilidade definitiva fica condicionada à confirmação da demanda, consulta ao mercado, comparação entre aquisição e serviço pelo custo total do ciclo de vida, pesquisa de preços, validação sanitária e de engenharia, definição do tratamento das equipes assistenciais, disponibilidade orçamentária e análise jurídica. Recomenda-se prosseguir para RFI/consulta pública e elaboração do Termo de Referência com anexos técnicos.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E8F3EE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  <w:insideH w:val="single" w:sz="10" w:space="0" w:color="2E7D32"/>
              <w:insideV w:val="single" w:sz="10" w:space="0" w:color="2E7D32"/>
            </w:tcBorders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Declaração preliminar</w:t>
            </w:r>
          </w:p>
          <w:p>
            <w:pPr>
              <w:spacing w:after="0" w:line="259" w:lineRule="auto"/>
            </w:pPr>
            <w:r>
              <w:rPr>
                <w:color w:val="243443"/>
                <w:sz w:val="18"/>
              </w:rPr>
              <w:t>Com base nas informações disponíveis, a solução é considerada viável para prosseguimento do planejamento, com recomendação do modelo híbrido de capacidade integrada, modular e acionável. Esta conclusão não autoriza a contratação antes do cumprimento das etapas preparatórias.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</w:pPr>
      <w:r>
        <w:t>24. Deliberações necessárias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75"/>
        <w:gridCol w:w="3175"/>
        <w:gridCol w:w="3175"/>
      </w:tblGrid>
      <w:tr>
        <w:trPr>
          <w:tblHeader w:val="true"/>
          <w:cantSplit/>
          <w:tblHeader w:val="true"/>
        </w:trPr>
        <w:tc>
          <w:tcPr>
            <w:tcW w:type="dxa" w:w="1800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Decisão</w:t>
            </w:r>
          </w:p>
        </w:tc>
        <w:tc>
          <w:tcPr>
            <w:tcW w:type="dxa" w:w="2592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Opções a validar</w:t>
            </w:r>
          </w:p>
        </w:tc>
        <w:tc>
          <w:tcPr>
            <w:tcW w:type="dxa" w:w="1440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Área responsável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Inserção no contrato hospitalar ou contratação autônoma</w:t>
            </w:r>
          </w:p>
        </w:tc>
        <w:tc>
          <w:tcPr>
            <w:tcW w:type="dxa" w:w="259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Obrigação do operador hospitalar / licitação específica / modelo combinado.</w:t>
            </w:r>
          </w:p>
        </w:tc>
        <w:tc>
          <w:tcPr>
            <w:tcW w:type="dxa" w:w="14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Gestão hospitalar, aquisições e jurídico.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Base logística</w:t>
            </w:r>
          </w:p>
        </w:tc>
        <w:tc>
          <w:tcPr>
            <w:tcW w:type="dxa" w:w="259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Na unidade contratada / região metropolitana / base regional.</w:t>
            </w:r>
          </w:p>
        </w:tc>
        <w:tc>
          <w:tcPr>
            <w:tcW w:type="dxa" w:w="144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Logística e gestão.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Equipe assistencial</w:t>
            </w:r>
          </w:p>
        </w:tc>
        <w:tc>
          <w:tcPr>
            <w:tcW w:type="dxa" w:w="259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SES / contratada / módulo híbrido.</w:t>
            </w:r>
          </w:p>
        </w:tc>
        <w:tc>
          <w:tcPr>
            <w:tcW w:type="dxa" w:w="14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Atenção hospitalar, RH e jurídico.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Capacidade N3</w:t>
            </w:r>
          </w:p>
        </w:tc>
        <w:tc>
          <w:tcPr>
            <w:tcW w:type="dxa" w:w="259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20, 24 ou 30 leitos, preservando mínimo EMT Tipo 2.</w:t>
            </w:r>
          </w:p>
        </w:tc>
        <w:tc>
          <w:tcPr>
            <w:tcW w:type="dxa" w:w="144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Área assistencial.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Expansão N4</w:t>
            </w:r>
          </w:p>
        </w:tc>
        <w:tc>
          <w:tcPr>
            <w:tcW w:type="dxa" w:w="259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40, 60 ou 100 leitos máximos.</w:t>
            </w:r>
          </w:p>
        </w:tc>
        <w:tc>
          <w:tcPr>
            <w:tcW w:type="dxa" w:w="14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Planejamento e orçamento.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Autonomia</w:t>
            </w:r>
          </w:p>
        </w:tc>
        <w:tc>
          <w:tcPr>
            <w:tcW w:type="dxa" w:w="259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72 h inicial e estratégia de 7-14 dias.</w:t>
            </w:r>
          </w:p>
        </w:tc>
        <w:tc>
          <w:tcPr>
            <w:tcW w:type="dxa" w:w="144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Logística e engenharia.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Prazo de implantação</w:t>
            </w:r>
          </w:p>
        </w:tc>
        <w:tc>
          <w:tcPr>
            <w:tcW w:type="dxa" w:w="259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t>Metas por configuração após consulta ao mercado.</w:t>
            </w:r>
            <w:r>
              <w:rPr>
                <w:rFonts w:ascii="Aptos" w:hAnsi="Aptos"/>
                <w:b w:val="0"/>
                <w:color w:val="243443"/>
                <w:sz w:val="14"/>
              </w:rPr>
            </w:r>
          </w:p>
        </w:tc>
        <w:tc>
          <w:tcPr>
            <w:tcW w:type="dxa" w:w="14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Equipe de planejamento.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Modelo de contratação</w:t>
            </w:r>
          </w:p>
        </w:tc>
        <w:tc>
          <w:tcPr>
            <w:tcW w:type="dxa" w:w="259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Pregão/concorrência, SRP quando cabível, vigência e garantias.</w:t>
            </w:r>
          </w:p>
        </w:tc>
        <w:tc>
          <w:tcPr>
            <w:tcW w:type="dxa" w:w="144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Aquisições e jurídico.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Prova de conceito</w:t>
            </w:r>
          </w:p>
        </w:tc>
        <w:tc>
          <w:tcPr>
            <w:tcW w:type="dxa" w:w="259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Escopo, local, custos, fase e critérios eliminatórios.</w:t>
            </w:r>
          </w:p>
        </w:tc>
        <w:tc>
          <w:tcPr>
            <w:tcW w:type="dxa" w:w="144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4"/>
              </w:rPr>
              <w:t>Equipe técnica e aquisições.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keepNext/>
        <w:pageBreakBefore w:val="0"/>
        <w:widowControl/>
      </w:pPr>
      <w:r>
        <w:t>Referências</w:t>
      </w:r>
    </w:p>
    <w:p>
      <w:pPr>
        <w:widowControl/>
        <w:spacing w:after="140"/>
        <w:ind w:left="0" w:firstLine="0"/>
        <w:jc w:val="left"/>
      </w:pPr>
      <w:r>
        <w:rPr>
          <w:sz w:val="18"/>
        </w:rPr>
        <w:t>BRASIL. Lei nº 14.133, de 1º de abril de 2021. Lei de Licitações e Contratos Administrativos. Disponível em: https://www.planalto.gov.br/ccivil_03/_ato2019-2022/2021/lei/l14133.htm. Acesso em: 16 set. 2026.</w:t>
      </w:r>
    </w:p>
    <w:p>
      <w:pPr>
        <w:widowControl/>
        <w:spacing w:after="140"/>
        <w:ind w:left="0" w:firstLine="0"/>
        <w:jc w:val="left"/>
      </w:pPr>
      <w:r>
        <w:rPr>
          <w:sz w:val="18"/>
        </w:rPr>
        <w:t>BRASIL. Lei nº 13.709, de 14 de agosto de 2018. Lei Geral de Proteção de Dados Pessoais. Disponível em: https://www.planalto.gov.br/ccivil_03/_ato2015-2018/2018/lei/l13709.htm. Acesso em: 16 set. 2026.</w:t>
      </w:r>
    </w:p>
    <w:p>
      <w:pPr>
        <w:widowControl/>
        <w:spacing w:after="140"/>
        <w:ind w:left="0" w:firstLine="0"/>
        <w:jc w:val="left"/>
      </w:pPr>
      <w:r>
        <w:rPr>
          <w:sz w:val="18"/>
        </w:rPr>
        <w:t>BRASIL. Ministério da Saúde. Consulta Pública nº 04/2026: coleta de informações para formação de preços e requisitos aplicáveis às Emergency Medical Teams. Publicada em 13 ago. 2026; encerrada em 9 set. 2026. Disponível em: https://www.gov.br/saude/pt-br/acesso-a-informacao/participacao-social/consultas-publicas/2026/coleta-de-informacoes-para-formacao-de-precos-visando-atender-aos-requisitos-tecnicos-e-operacionais-aplicaveis-as-emt. Acesso em: 16 set. 2026.</w:t>
      </w:r>
    </w:p>
    <w:p>
      <w:pPr>
        <w:widowControl/>
        <w:spacing w:after="140"/>
        <w:ind w:left="0" w:firstLine="0"/>
        <w:jc w:val="left"/>
      </w:pPr>
      <w:r>
        <w:rPr>
          <w:sz w:val="18"/>
        </w:rPr>
        <w:t>BRASIL. Agência Nacional de Vigilância Sanitária. RDC nº 50, de 21 de fevereiro de 2002. Regulamento técnico para planejamento, programação, elaboração e avaliação de projetos físicos de estabelecimentos assistenciais de saúde.</w:t>
      </w:r>
    </w:p>
    <w:p>
      <w:pPr>
        <w:widowControl/>
        <w:spacing w:after="140"/>
        <w:ind w:left="0" w:firstLine="0"/>
        <w:jc w:val="left"/>
      </w:pPr>
      <w:r>
        <w:rPr>
          <w:sz w:val="18"/>
        </w:rPr>
        <w:t>BRASIL. Agência Nacional de Vigilância Sanitária. RDC nº 63, de 25 de novembro de 2011. Requisitos de boas práticas de funcionamento para os serviços de saúde.</w:t>
      </w:r>
    </w:p>
    <w:p>
      <w:pPr>
        <w:widowControl/>
        <w:spacing w:after="140"/>
        <w:ind w:left="0" w:firstLine="0"/>
        <w:jc w:val="left"/>
      </w:pPr>
      <w:r>
        <w:rPr>
          <w:sz w:val="18"/>
        </w:rPr>
        <w:t>BRASIL. Agência Nacional de Vigilância Sanitária. RDC nº 36, de 25 de julho de 2013. Ações para a segurança do paciente em serviços de saúde.</w:t>
      </w:r>
    </w:p>
    <w:p>
      <w:pPr>
        <w:widowControl/>
        <w:spacing w:after="140"/>
        <w:ind w:left="0" w:firstLine="0"/>
        <w:jc w:val="left"/>
      </w:pPr>
      <w:r>
        <w:rPr>
          <w:sz w:val="18"/>
        </w:rPr>
        <w:t>BRASIL. Agência Nacional de Vigilância Sanitária. RDC nº 222, de 28 de março de 2018. Boas práticas de gerenciamento dos resíduos de serviços de saúde.</w:t>
      </w:r>
    </w:p>
    <w:p>
      <w:pPr>
        <w:widowControl/>
        <w:spacing w:after="140"/>
        <w:ind w:left="0" w:firstLine="0"/>
        <w:jc w:val="left"/>
      </w:pPr>
      <w:r>
        <w:rPr>
          <w:sz w:val="18"/>
        </w:rPr>
        <w:t>MATO GROSSO. Decreto nº 1.525, de 23 de novembro de 2022. Regulamenta a Lei Federal nº 14.133/2021 no âmbito do Poder Executivo Estadual.</w:t>
      </w:r>
    </w:p>
    <w:p>
      <w:pPr>
        <w:widowControl/>
        <w:spacing w:after="140"/>
        <w:ind w:left="0" w:firstLine="0"/>
        <w:jc w:val="left"/>
      </w:pPr>
      <w:r>
        <w:rPr>
          <w:sz w:val="18"/>
        </w:rPr>
        <w:t>WORLD HEALTH ORGANIZATION. Classification and minimum standards for emergency medical teams. Geneva: WHO, 2021. Disponível em: https://www.who.int/publications/i/item/9789240029330. Acesso em: 16 set. 2026.</w:t>
      </w:r>
    </w:p>
    <w:p>
      <w:pPr>
        <w:widowControl/>
      </w:pPr>
      <w:r>
        <w:br w:type="page"/>
      </w:r>
    </w:p>
    <w:p>
      <w:pPr>
        <w:widowControl/>
        <w:jc w:val="left"/>
      </w:pPr>
      <w:r>
        <w:t>INSTITUTO BRASILEIRO DE GEOGRAFIA E ESTATÍSTICA. Mato Grosso: Cidades e Estados. População estimada em 2026. Disponível em: https://www.ibge.gov.br/cidades-e-estados/mt.html. Acesso em: 16 set. 2026.</w:t>
      </w:r>
    </w:p>
    <w:p>
      <w:pPr>
        <w:widowControl/>
        <w:jc w:val="left"/>
      </w:pPr>
      <w:r>
        <w:t>MATO GROSSO. Secretaria de Estado de Saúde. Resolução CIB/MT Ad Referendum nº 77, de 27 de agosto de 2026. Registra abrangência estadual de 142 municípios distribuídos em 16 Regiões de Saúde. Disponível em: https://www.saude.mt.gov.br/storage/files/vdu25efI9kwG57OCs00SdXC0r59O0u8UlRmKDQxJ.pdf. Acesso em: 16 set. 2026.</w:t>
      </w:r>
    </w:p>
    <w:p>
      <w:pPr>
        <w:widowControl/>
        <w:jc w:val="left"/>
      </w:pPr>
      <w:r>
        <w:t>MATO GROSSO. Corpo de Bombeiros Militar. Relatório Final da Temporada de Incêndios Florestais 2025. Cuiabá: CBMMT, jan. 2026. Disponível em: https://sema.mt.gov.br/site/phocadownload/CEGF/Temporada%20Incndios%20Florestais%20-2025%20Relatrio%20Final.pdf. Acesso em: 16 set. 2026.</w:t>
      </w:r>
    </w:p>
    <w:p>
      <w:pPr>
        <w:widowControl/>
        <w:jc w:val="left"/>
      </w:pPr>
      <w:r>
        <w:t>BRASIL. Centro Nacional de Monitoramento e Alertas de Desastres Naturais. Nota técnica sobre análise das condições de secas e previsões hidrológicas para a região do Pantanal. 7 jun. 2024. Disponível em: https://www.gov.br/cemaden/pt-br/nota-tecnica-sobre-analise-das-condicoes-de-secas-e-previsoes-hidrologicas-para-a-regiao-do-pananal. Acesso em: 16 set. 2026.</w:t>
      </w:r>
    </w:p>
    <w:p>
      <w:pPr>
        <w:widowControl/>
        <w:jc w:val="left"/>
      </w:pPr>
      <w:r>
        <w:t>MATO GROSSO. Secretaria de Estado de Saúde. Perfil dos óbitos por dengue e chikungunya em Mato Grosso em 2025. Dados do SINAN extraídos em 14 fev. 2025. Disponível em: https://www.saude.mt.gov.br/storage/files/GfVSYD5xsAA7vriPLWMGXn0y5kvWaKxQoDIEYFCz.pdf. Acesso em: 16 set. 2026.</w:t>
      </w:r>
    </w:p>
    <w:p>
      <w:pPr>
        <w:pStyle w:val="Heading1"/>
        <w:keepNext/>
        <w:pageBreakBefore w:val="0"/>
        <w:widowControl/>
        <w:ind w:left="0" w:firstLine="0"/>
        <w:jc w:val="left"/>
      </w:pPr>
      <w:r>
        <w:t>ANEXO A - Matriz resumida de módulos por nível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  <w:cantSplit/>
          <w:tblHeader w:val="true"/>
        </w:trPr>
        <w:tc>
          <w:tcPr>
            <w:tcW w:type="dxa" w:w="1800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Módulo</w:t>
            </w:r>
          </w:p>
        </w:tc>
        <w:tc>
          <w:tcPr>
            <w:tcW w:type="dxa" w:w="1007999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N1</w:t>
            </w:r>
          </w:p>
        </w:tc>
        <w:tc>
          <w:tcPr>
            <w:tcW w:type="dxa" w:w="1007999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N2</w:t>
            </w:r>
          </w:p>
        </w:tc>
        <w:tc>
          <w:tcPr>
            <w:tcW w:type="dxa" w:w="1007999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N3</w:t>
            </w:r>
          </w:p>
        </w:tc>
        <w:tc>
          <w:tcPr>
            <w:tcW w:type="dxa" w:w="1007999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N4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Comando, recepção e triagem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Obrig.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Obrig.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Obrig.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Ampliado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Sala de estabilização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2-4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4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4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4-10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Observação/internação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6-12 obs.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12-20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20-30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40-100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Consultórios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1-2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2-4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4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4+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Centro cirúrgico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-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Opcional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1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1-2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Isolamento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Fluxo separado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1-2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2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2+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POC/laboratório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Básico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Ampliado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Completo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Completo+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Imagem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USG opc.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USG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USG + RX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Ampliada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CME/esterilização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Processo local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Apoio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Obrig.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Ampliada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WASH e resíduos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Essencial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Ampliado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Completo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Completo+</w:t>
            </w:r>
          </w:p>
        </w:tc>
      </w:tr>
      <w:tr>
        <w:trPr>
          <w:cantSplit/>
          <w:cantSplit/>
        </w:trPr>
        <w:tc>
          <w:tcPr>
            <w:tcW w:type="dxa" w:w="1800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Energia N+1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Cargas críticas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Obrig.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Obrig.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Obrig.</w:t>
            </w:r>
          </w:p>
        </w:tc>
      </w:tr>
      <w:tr>
        <w:trPr>
          <w:cantSplit/>
          <w:cantSplit/>
        </w:trPr>
        <w:tc>
          <w:tcPr>
            <w:tcW w:type="dxa" w:w="1800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Satélite/móvel/rádio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Obrig.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Obrig.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Obrig.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Obrig.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  <w:ind w:left="0" w:firstLine="0"/>
        <w:jc w:val="left"/>
      </w:pPr>
      <w:r>
        <w:t>ANEXO B - Checklist de liberação operacional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75"/>
        <w:gridCol w:w="3175"/>
        <w:gridCol w:w="3175"/>
      </w:tblGrid>
      <w:tr>
        <w:trPr>
          <w:tblHeader w:val="true"/>
          <w:cantSplit/>
          <w:tblHeader w:val="true"/>
        </w:trPr>
        <w:tc>
          <w:tcPr>
            <w:tcW w:type="dxa" w:w="1296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Domínio</w:t>
            </w:r>
          </w:p>
        </w:tc>
        <w:tc>
          <w:tcPr>
            <w:tcW w:type="dxa" w:w="3528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Critérios mínimos</w:t>
            </w:r>
          </w:p>
        </w:tc>
        <w:tc>
          <w:tcPr>
            <w:tcW w:type="dxa" w:w="1007999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Situação</w:t>
            </w:r>
          </w:p>
        </w:tc>
      </w:tr>
      <w:tr>
        <w:trPr>
          <w:cantSplit/>
          <w:cantSplit/>
        </w:trPr>
        <w:tc>
          <w:tcPr>
            <w:tcW w:type="dxa" w:w="129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Estrutura e fluxo</w:t>
            </w:r>
          </w:p>
        </w:tc>
        <w:tc>
          <w:tcPr>
            <w:tcW w:type="dxa" w:w="352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Ancoragem, piso, acessibilidade, estanqueidade, sinalização, rotas e controle de acesso.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☐ Conforme  ☐ NC  ☐ N/A</w:t>
            </w:r>
          </w:p>
        </w:tc>
      </w:tr>
      <w:tr>
        <w:trPr>
          <w:cantSplit/>
          <w:cantSplit/>
        </w:trPr>
        <w:tc>
          <w:tcPr>
            <w:tcW w:type="dxa" w:w="129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Energia</w:t>
            </w:r>
          </w:p>
        </w:tc>
        <w:tc>
          <w:tcPr>
            <w:tcW w:type="dxa" w:w="3528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Rede, geradores, transferência, UPS, aterramento, proteção, carga e combustível.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☐ Conforme  ☐ NC  ☐ N/A</w:t>
            </w:r>
          </w:p>
        </w:tc>
      </w:tr>
      <w:tr>
        <w:trPr>
          <w:cantSplit/>
          <w:cantSplit/>
        </w:trPr>
        <w:tc>
          <w:tcPr>
            <w:tcW w:type="dxa" w:w="129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Climatização/isolamento</w:t>
            </w:r>
          </w:p>
        </w:tc>
        <w:tc>
          <w:tcPr>
            <w:tcW w:type="dxa" w:w="352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Temperatura, pressão, trocas de ar, fluxo, filtros, alarmes e contingência.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☐ Conforme  ☐ NC  ☐ N/A</w:t>
            </w:r>
          </w:p>
        </w:tc>
      </w:tr>
      <w:tr>
        <w:trPr>
          <w:cantSplit/>
          <w:cantSplit/>
        </w:trPr>
        <w:tc>
          <w:tcPr>
            <w:tcW w:type="dxa" w:w="129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Gases</w:t>
            </w:r>
          </w:p>
        </w:tc>
        <w:tc>
          <w:tcPr>
            <w:tcW w:type="dxa" w:w="3528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Pureza/documentação, pressão, vazamento, alarmes, fontes e reserva.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☐ Conforme  ☐ NC  ☐ N/A</w:t>
            </w:r>
          </w:p>
        </w:tc>
      </w:tr>
      <w:tr>
        <w:trPr>
          <w:cantSplit/>
          <w:cantSplit/>
        </w:trPr>
        <w:tc>
          <w:tcPr>
            <w:tcW w:type="dxa" w:w="129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Água/efluentes</w:t>
            </w:r>
          </w:p>
        </w:tc>
        <w:tc>
          <w:tcPr>
            <w:tcW w:type="dxa" w:w="352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Qualidade, reservação, vazão, drenagem, sanitários e descarte.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☐ Conforme  ☐ NC  ☐ N/A</w:t>
            </w:r>
          </w:p>
        </w:tc>
      </w:tr>
      <w:tr>
        <w:trPr>
          <w:cantSplit/>
          <w:cantSplit/>
        </w:trPr>
        <w:tc>
          <w:tcPr>
            <w:tcW w:type="dxa" w:w="129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Equipamentos</w:t>
            </w:r>
          </w:p>
        </w:tc>
        <w:tc>
          <w:tcPr>
            <w:tcW w:type="dxa" w:w="3528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Inventário, teste funcional, acessórios, calibração, bateria e reserva.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☐ Conforme  ☐ NC  ☐ N/A</w:t>
            </w:r>
          </w:p>
        </w:tc>
      </w:tr>
      <w:tr>
        <w:trPr>
          <w:cantSplit/>
          <w:cantSplit/>
        </w:trPr>
        <w:tc>
          <w:tcPr>
            <w:tcW w:type="dxa" w:w="129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TI/comunicações</w:t>
            </w:r>
          </w:p>
        </w:tc>
        <w:tc>
          <w:tcPr>
            <w:tcW w:type="dxa" w:w="352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Satélite, móvel, rádio, Wi-Fi, VPN, sistemas, impressoras e modo offline.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☐ Conforme  ☐ NC  ☐ N/A</w:t>
            </w:r>
          </w:p>
        </w:tc>
      </w:tr>
      <w:tr>
        <w:trPr>
          <w:cantSplit/>
          <w:cantSplit/>
        </w:trPr>
        <w:tc>
          <w:tcPr>
            <w:tcW w:type="dxa" w:w="129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Farmácia/insumos</w:t>
            </w:r>
          </w:p>
        </w:tc>
        <w:tc>
          <w:tcPr>
            <w:tcW w:type="dxa" w:w="3528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Estoque, lote, validade, cadeia fria, controlados e kits.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☐ Conforme  ☐ NC  ☐ N/A</w:t>
            </w:r>
          </w:p>
        </w:tc>
      </w:tr>
      <w:tr>
        <w:trPr>
          <w:cantSplit/>
          <w:cantSplit/>
        </w:trPr>
        <w:tc>
          <w:tcPr>
            <w:tcW w:type="dxa" w:w="129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Resíduos/limpeza</w:t>
            </w:r>
          </w:p>
        </w:tc>
        <w:tc>
          <w:tcPr>
            <w:tcW w:type="dxa" w:w="352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PGRSS, coletores, abrigo, rota, produtos e equipe.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☐ Conforme  ☐ NC  ☐ N/A</w:t>
            </w:r>
          </w:p>
        </w:tc>
      </w:tr>
      <w:tr>
        <w:trPr>
          <w:cantSplit/>
          <w:cantSplit/>
        </w:trPr>
        <w:tc>
          <w:tcPr>
            <w:tcW w:type="dxa" w:w="129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Pessoas</w:t>
            </w:r>
          </w:p>
        </w:tc>
        <w:tc>
          <w:tcPr>
            <w:tcW w:type="dxa" w:w="3528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Escalas, credenciais, EPI, treinamento, alimentação, descanso e saúde ocupacional.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☐ Conforme  ☐ NC  ☐ N/A</w:t>
            </w:r>
          </w:p>
        </w:tc>
      </w:tr>
      <w:tr>
        <w:trPr>
          <w:cantSplit/>
          <w:cantSplit/>
        </w:trPr>
        <w:tc>
          <w:tcPr>
            <w:tcW w:type="dxa" w:w="1296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Segurança</w:t>
            </w:r>
          </w:p>
        </w:tc>
        <w:tc>
          <w:tcPr>
            <w:tcW w:type="dxa" w:w="352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Incêndio, iluminação, evacuação, perímetro, incidentes e contatos.</w:t>
            </w:r>
          </w:p>
        </w:tc>
        <w:tc>
          <w:tcPr>
            <w:tcW w:type="dxa" w:w="100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☐ Conforme  ☐ NC  ☐ N/A</w:t>
            </w:r>
          </w:p>
        </w:tc>
      </w:tr>
      <w:tr>
        <w:trPr>
          <w:cantSplit/>
          <w:cantSplit/>
        </w:trPr>
        <w:tc>
          <w:tcPr>
            <w:tcW w:type="dxa" w:w="1296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Integração SUS</w:t>
            </w:r>
          </w:p>
        </w:tc>
        <w:tc>
          <w:tcPr>
            <w:tcW w:type="dxa" w:w="3528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Regulação, SAMU, referência, vigilância, laboratório e comunicação pública.</w:t>
            </w:r>
          </w:p>
        </w:tc>
        <w:tc>
          <w:tcPr>
            <w:tcW w:type="dxa" w:w="100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5"/>
              </w:rPr>
              <w:t>☐ Conforme  ☐ NC  ☐ N/A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keepNext/>
        <w:pageBreakBefore w:val="0"/>
        <w:widowControl/>
        <w:ind w:left="0" w:firstLine="0"/>
        <w:jc w:val="left"/>
      </w:pPr>
      <w:r>
        <w:t>ANEXO C - Perguntas mínimas para RFI/consulta ao mercado</w:t>
      </w:r>
    </w:p>
    <w:p>
      <w:pPr>
        <w:widowControl/>
        <w:ind w:left="510" w:hanging="227"/>
      </w:pPr>
      <w:r>
        <w:rPr>
          <w:b/>
        </w:rPr>
        <w:t xml:space="preserve">1. </w:t>
      </w:r>
      <w:r>
        <w:t>Qual tecnologia construtiva, vida útil, número de ciclos de montagem e condições de armazenamento?</w:t>
      </w:r>
    </w:p>
    <w:p>
      <w:pPr>
        <w:widowControl/>
        <w:ind w:left="340" w:hanging="340"/>
      </w:pPr>
      <w:r>
        <w:rPr>
          <w:b/>
        </w:rPr>
        <w:t xml:space="preserve">2. </w:t>
      </w:r>
      <w:r>
        <w:t>Qual peso, volume, número de veículos e sequência de cargas para cada nível?</w:t>
      </w:r>
    </w:p>
    <w:p>
      <w:pPr>
        <w:widowControl/>
        <w:ind w:left="340" w:hanging="340"/>
      </w:pPr>
      <w:r>
        <w:rPr>
          <w:b/>
        </w:rPr>
        <w:t>3. Qual prazo real de mobilização, viagem, montagem e comissionamento, por configuração?</w:t>
      </w:r>
      <w:r/>
    </w:p>
    <w:p>
      <w:pPr>
        <w:widowControl/>
        <w:ind w:left="340" w:hanging="340"/>
      </w:pPr>
      <w:r>
        <w:rPr>
          <w:b/>
        </w:rPr>
        <w:t xml:space="preserve">4. </w:t>
      </w:r>
      <w:r>
        <w:t>Quais requisitos de terreno, equipamentos de movimentação e número de montadores?</w:t>
      </w:r>
    </w:p>
    <w:p>
      <w:pPr>
        <w:widowControl/>
        <w:ind w:left="340" w:hanging="340"/>
      </w:pPr>
      <w:r>
        <w:rPr>
          <w:b/>
        </w:rPr>
        <w:t xml:space="preserve">5. </w:t>
      </w:r>
      <w:r>
        <w:t>Como se comprova resistência a calor, chuva, vento, fogo, UV e cargas de piso?</w:t>
      </w:r>
    </w:p>
    <w:p>
      <w:pPr>
        <w:widowControl/>
        <w:ind w:left="340" w:hanging="340"/>
      </w:pPr>
      <w:r>
        <w:rPr>
          <w:b/>
        </w:rPr>
        <w:t xml:space="preserve">6. </w:t>
      </w:r>
      <w:r>
        <w:t>Como funcionam energia N+1, autonomia, abastecimento, UPS e telemetria?</w:t>
      </w:r>
    </w:p>
    <w:p>
      <w:pPr>
        <w:widowControl/>
        <w:ind w:left="340" w:hanging="340"/>
      </w:pPr>
      <w:r>
        <w:rPr>
          <w:b/>
        </w:rPr>
        <w:t xml:space="preserve">7. </w:t>
      </w:r>
      <w:r>
        <w:t>Qual solução de gases medicinais e qual consumo máximo demonstrado?</w:t>
      </w:r>
    </w:p>
    <w:p>
      <w:pPr>
        <w:widowControl/>
        <w:ind w:left="340" w:hanging="340"/>
      </w:pPr>
      <w:r>
        <w:rPr>
          <w:b/>
        </w:rPr>
        <w:t xml:space="preserve">8. </w:t>
      </w:r>
      <w:r>
        <w:t>Como se comprova pressão negativa, ACH, filtragem, alarmes e contingência?</w:t>
      </w:r>
    </w:p>
    <w:p>
      <w:pPr>
        <w:widowControl/>
        <w:ind w:left="340" w:hanging="340"/>
      </w:pPr>
      <w:r>
        <w:rPr>
          <w:b/>
        </w:rPr>
        <w:t xml:space="preserve">9. </w:t>
      </w:r>
      <w:r>
        <w:t>Qual capacidade de água, efluentes, sanitários, chuveiros e resíduos?</w:t>
      </w:r>
    </w:p>
    <w:p>
      <w:pPr>
        <w:widowControl/>
        <w:ind w:left="340" w:hanging="340"/>
      </w:pPr>
      <w:r>
        <w:rPr>
          <w:b/>
        </w:rPr>
        <w:t xml:space="preserve">10. </w:t>
      </w:r>
      <w:r>
        <w:t>Quais equipamentos, registros, calibrações, sobressalentes e assistência no Brasil?</w:t>
      </w:r>
    </w:p>
    <w:p>
      <w:pPr>
        <w:widowControl/>
        <w:ind w:left="340" w:hanging="340"/>
      </w:pPr>
      <w:r>
        <w:rPr>
          <w:b/>
        </w:rPr>
        <w:t xml:space="preserve">11. </w:t>
      </w:r>
      <w:r>
        <w:t>Como é fornecida a conectividade satelital e quais SLAs e franquias de dados?</w:t>
      </w:r>
    </w:p>
    <w:p>
      <w:pPr>
        <w:widowControl/>
        <w:ind w:left="340" w:hanging="340"/>
      </w:pPr>
      <w:r>
        <w:rPr>
          <w:b/>
        </w:rPr>
        <w:t xml:space="preserve">12. </w:t>
      </w:r>
      <w:r>
        <w:t>A solução opera offline e integra dados por APIs ou formatos abertos?</w:t>
      </w:r>
    </w:p>
    <w:p>
      <w:pPr>
        <w:widowControl/>
        <w:ind w:left="340" w:hanging="340"/>
      </w:pPr>
      <w:r>
        <w:rPr>
          <w:b/>
        </w:rPr>
        <w:t xml:space="preserve">13. </w:t>
      </w:r>
      <w:r>
        <w:t>Quais equipes podem ser fornecidas, em quanto tempo e com qual reserva?</w:t>
      </w:r>
    </w:p>
    <w:p>
      <w:pPr>
        <w:widowControl/>
        <w:ind w:left="340" w:hanging="340"/>
      </w:pPr>
      <w:r>
        <w:rPr>
          <w:b/>
        </w:rPr>
        <w:t xml:space="preserve">14. </w:t>
      </w:r>
      <w:r>
        <w:t>Quais itens podem ser ativados independentemente e como são precificados?</w:t>
      </w:r>
    </w:p>
    <w:p>
      <w:pPr>
        <w:widowControl/>
        <w:ind w:left="340" w:hanging="340"/>
      </w:pPr>
      <w:r>
        <w:rPr>
          <w:b/>
        </w:rPr>
        <w:t xml:space="preserve">15. </w:t>
      </w:r>
      <w:r>
        <w:t>O fornecedor aceita FAT, SAT, prova de conceito e exercícios periódicos?</w:t>
      </w:r>
    </w:p>
    <w:p>
      <w:pPr>
        <w:widowControl/>
        <w:ind w:left="340" w:hanging="340"/>
      </w:pPr>
      <w:r>
        <w:rPr>
          <w:b/>
        </w:rPr>
        <w:t xml:space="preserve">16. </w:t>
      </w:r>
      <w:r>
        <w:t>Quais custos de ciclo de vida, manutenção, atualização, seguro e reposição?</w:t>
      </w:r>
    </w:p>
    <w:p>
      <w:pPr>
        <w:widowControl/>
        <w:ind w:left="340" w:hanging="340"/>
      </w:pPr>
      <w:r>
        <w:rPr>
          <w:b/>
        </w:rPr>
        <w:t xml:space="preserve">17. </w:t>
      </w:r>
      <w:r>
        <w:t>Quais requisitos podem restringir a competição e quais equivalências são tecnicamente viáveis?</w:t>
      </w:r>
    </w:p>
    <w:p>
      <w:pPr>
        <w:widowControl/>
      </w:pPr>
      <w:r>
        <w:br w:type="page"/>
      </w:r>
    </w:p>
    <w:p>
      <w:pPr>
        <w:pStyle w:val="Heading1"/>
        <w:keepNext/>
        <w:pageBreakBefore w:val="0"/>
        <w:widowControl/>
        <w:ind w:left="0" w:firstLine="0"/>
        <w:jc w:val="left"/>
      </w:pPr>
      <w:r>
        <w:t>ANEXO D - Estrutura mínima do Termo de Referência</w:t>
      </w:r>
    </w:p>
    <w:p>
      <w:pPr>
        <w:pStyle w:val="ListBullet"/>
        <w:widowControl/>
        <w:spacing w:after="70" w:line="259" w:lineRule="auto"/>
        <w:ind w:left="340" w:hanging="142"/>
      </w:pPr>
      <w:r>
        <w:t>Objeto e definições; fundamentação e vínculo com o ETP;</w:t>
      </w:r>
    </w:p>
    <w:p>
      <w:pPr>
        <w:pStyle w:val="ListBullet"/>
        <w:widowControl/>
        <w:spacing w:after="70" w:line="259" w:lineRule="auto"/>
        <w:ind w:left="340" w:hanging="142"/>
      </w:pPr>
      <w:r>
        <w:t>matriz N0-N4 e catálogo de módulos;</w:t>
      </w:r>
    </w:p>
    <w:p>
      <w:pPr>
        <w:pStyle w:val="ListBullet"/>
        <w:widowControl/>
        <w:spacing w:after="70" w:line="259" w:lineRule="auto"/>
        <w:ind w:left="340" w:hanging="142"/>
      </w:pPr>
      <w:r>
        <w:t>especificações funcionais e métodos de comprovação;</w:t>
      </w:r>
    </w:p>
    <w:p>
      <w:pPr>
        <w:pStyle w:val="ListBullet"/>
        <w:widowControl/>
        <w:spacing w:after="70" w:line="259" w:lineRule="auto"/>
        <w:ind w:left="340" w:hanging="142"/>
      </w:pPr>
      <w:r>
        <w:t>equipamentos, mobiliário, consumíveis e kits;</w:t>
      </w:r>
    </w:p>
    <w:p>
      <w:pPr>
        <w:pStyle w:val="ListBullet"/>
        <w:widowControl/>
        <w:spacing w:after="70" w:line="259" w:lineRule="auto"/>
        <w:ind w:left="340" w:hanging="142"/>
      </w:pPr>
      <w:r>
        <w:t>matriz de equipes por configuração e turno;</w:t>
      </w:r>
    </w:p>
    <w:p>
      <w:pPr>
        <w:pStyle w:val="ListBullet"/>
        <w:widowControl/>
        <w:spacing w:after="70" w:line="259" w:lineRule="auto"/>
        <w:ind w:left="340" w:hanging="142"/>
      </w:pPr>
      <w:r>
        <w:t>logística, base, transporte, Site Assessment e mobilização;</w:t>
      </w:r>
    </w:p>
    <w:p>
      <w:pPr>
        <w:pStyle w:val="ListBullet"/>
        <w:widowControl/>
        <w:spacing w:after="70" w:line="259" w:lineRule="auto"/>
        <w:ind w:left="340" w:hanging="142"/>
      </w:pPr>
      <w:r>
        <w:t>comissionamento, FAT, SAT e prova de conceito;</w:t>
      </w:r>
    </w:p>
    <w:p>
      <w:pPr>
        <w:pStyle w:val="ListBullet"/>
        <w:widowControl/>
        <w:spacing w:after="70" w:line="259" w:lineRule="auto"/>
        <w:ind w:left="340" w:hanging="142"/>
      </w:pPr>
      <w:r>
        <w:t>prontidão, manutenção, calibração, treinamento e exercícios;</w:t>
      </w:r>
    </w:p>
    <w:p>
      <w:pPr>
        <w:pStyle w:val="ListBullet"/>
        <w:widowControl/>
        <w:spacing w:after="70" w:line="259" w:lineRule="auto"/>
        <w:ind w:left="340" w:hanging="142"/>
      </w:pPr>
      <w:r>
        <w:t>SLA, indicadores, relatórios, medição, glosas e sanções;</w:t>
      </w:r>
    </w:p>
    <w:p>
      <w:pPr>
        <w:pStyle w:val="ListBullet"/>
        <w:widowControl/>
        <w:spacing w:after="70" w:line="259" w:lineRule="auto"/>
        <w:ind w:left="340" w:hanging="142"/>
      </w:pPr>
      <w:r>
        <w:t>modelo econômico e planilha de preços unitários;</w:t>
      </w:r>
    </w:p>
    <w:p>
      <w:pPr>
        <w:pStyle w:val="ListBullet"/>
        <w:widowControl/>
        <w:spacing w:after="70" w:line="259" w:lineRule="auto"/>
        <w:ind w:left="340" w:hanging="142"/>
      </w:pPr>
      <w:r>
        <w:t>qualificação técnica, consórcio e subcontratação;</w:t>
      </w:r>
    </w:p>
    <w:p>
      <w:pPr>
        <w:pStyle w:val="ListBullet"/>
        <w:widowControl/>
        <w:spacing w:after="70" w:line="259" w:lineRule="auto"/>
        <w:ind w:left="340" w:hanging="142"/>
      </w:pPr>
      <w:r>
        <w:t>governança, segurança do paciente, LGPD e cibersegurança;</w:t>
      </w:r>
    </w:p>
    <w:p>
      <w:pPr>
        <w:pStyle w:val="ListBullet"/>
        <w:widowControl/>
        <w:spacing w:after="70" w:line="259" w:lineRule="auto"/>
        <w:ind w:left="340" w:hanging="142"/>
      </w:pPr>
      <w:r>
        <w:t>matriz de riscos, garantias, seguros e continuidade;</w:t>
      </w:r>
    </w:p>
    <w:p>
      <w:pPr>
        <w:pStyle w:val="ListBullet"/>
        <w:widowControl/>
        <w:spacing w:after="70" w:line="259" w:lineRule="auto"/>
        <w:ind w:left="340" w:hanging="142"/>
      </w:pPr>
      <w:r>
        <w:t>desmobilização, descontaminação, AAR e retorno à prontidão.</w:t>
      </w:r>
    </w:p>
    <w:p>
      <w:pPr>
        <w:pStyle w:val="Heading1"/>
        <w:keepNext/>
        <w:pageBreakBefore w:val="0"/>
        <w:widowControl/>
        <w:ind w:left="0" w:firstLine="0"/>
        <w:jc w:val="left"/>
      </w:pPr>
      <w:r>
        <w:t>ANEXO E - Registro de validações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  <w:tblHeader w:val="true"/>
        </w:trPr>
        <w:tc>
          <w:tcPr>
            <w:tcW w:type="dxa" w:w="1512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Área validadora</w:t>
            </w:r>
          </w:p>
        </w:tc>
        <w:tc>
          <w:tcPr>
            <w:tcW w:type="dxa" w:w="1548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Nome/função</w:t>
            </w:r>
          </w:p>
        </w:tc>
        <w:tc>
          <w:tcPr>
            <w:tcW w:type="dxa" w:w="827999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1944000"/>
            <w:shd w:fill="0B3A66"/>
            <w:vAlign w:val="center"/>
            <w:tcBorders>
              <w:top w:val="single" w:sz="5" w:space="0" w:color="0B3A66"/>
              <w:left w:val="single" w:sz="5" w:space="0" w:color="0B3A66"/>
              <w:bottom w:val="single" w:sz="5" w:space="0" w:color="0B3A66"/>
              <w:right w:val="single" w:sz="5" w:space="0" w:color="0B3A66"/>
              <w:insideH w:val="single" w:sz="5" w:space="0" w:color="0B3A66"/>
              <w:insideV w:val="single" w:sz="5" w:space="0" w:color="0B3A6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Parecer/ressalvas</w:t>
            </w:r>
          </w:p>
        </w:tc>
      </w:tr>
      <w:tr>
        <w:trPr>
          <w:cantSplit/>
          <w:cantSplit/>
        </w:trPr>
        <w:tc>
          <w:tcPr>
            <w:tcW w:type="dxa" w:w="151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Unidade requisitante</w:t>
            </w:r>
          </w:p>
        </w:tc>
        <w:tc>
          <w:tcPr>
            <w:tcW w:type="dxa" w:w="154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  <w:tc>
          <w:tcPr>
            <w:tcW w:type="dxa" w:w="82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  <w:tc>
          <w:tcPr>
            <w:tcW w:type="dxa" w:w="1944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151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Atenção hospitalar</w:t>
            </w:r>
          </w:p>
        </w:tc>
        <w:tc>
          <w:tcPr>
            <w:tcW w:type="dxa" w:w="1548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  <w:tc>
          <w:tcPr>
            <w:tcW w:type="dxa" w:w="82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  <w:tc>
          <w:tcPr>
            <w:tcW w:type="dxa" w:w="1944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151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Urgência/regulação</w:t>
            </w:r>
          </w:p>
        </w:tc>
        <w:tc>
          <w:tcPr>
            <w:tcW w:type="dxa" w:w="154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  <w:tc>
          <w:tcPr>
            <w:tcW w:type="dxa" w:w="82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  <w:tc>
          <w:tcPr>
            <w:tcW w:type="dxa" w:w="1944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151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Vigilância/CIEVS</w:t>
            </w:r>
          </w:p>
        </w:tc>
        <w:tc>
          <w:tcPr>
            <w:tcW w:type="dxa" w:w="1548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  <w:tc>
          <w:tcPr>
            <w:tcW w:type="dxa" w:w="82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  <w:tc>
          <w:tcPr>
            <w:tcW w:type="dxa" w:w="1944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151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Engenharia/manutenção</w:t>
            </w:r>
          </w:p>
        </w:tc>
        <w:tc>
          <w:tcPr>
            <w:tcW w:type="dxa" w:w="154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  <w:tc>
          <w:tcPr>
            <w:tcW w:type="dxa" w:w="82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  <w:tc>
          <w:tcPr>
            <w:tcW w:type="dxa" w:w="1944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151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Vigilância sanitária/CCIH</w:t>
            </w:r>
          </w:p>
        </w:tc>
        <w:tc>
          <w:tcPr>
            <w:tcW w:type="dxa" w:w="1548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  <w:tc>
          <w:tcPr>
            <w:tcW w:type="dxa" w:w="82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  <w:tc>
          <w:tcPr>
            <w:tcW w:type="dxa" w:w="1944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151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STI/LGPD</w:t>
            </w:r>
          </w:p>
        </w:tc>
        <w:tc>
          <w:tcPr>
            <w:tcW w:type="dxa" w:w="154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  <w:tc>
          <w:tcPr>
            <w:tcW w:type="dxa" w:w="82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  <w:tc>
          <w:tcPr>
            <w:tcW w:type="dxa" w:w="1944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151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Assistência farmacêutica/LACEN</w:t>
            </w:r>
          </w:p>
        </w:tc>
        <w:tc>
          <w:tcPr>
            <w:tcW w:type="dxa" w:w="1548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  <w:tc>
          <w:tcPr>
            <w:tcW w:type="dxa" w:w="82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  <w:tc>
          <w:tcPr>
            <w:tcW w:type="dxa" w:w="1944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1512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Aquisições/orçamento</w:t>
            </w:r>
          </w:p>
        </w:tc>
        <w:tc>
          <w:tcPr>
            <w:tcW w:type="dxa" w:w="1548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  <w:tc>
          <w:tcPr>
            <w:tcW w:type="dxa" w:w="827999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  <w:tc>
          <w:tcPr>
            <w:tcW w:type="dxa" w:w="1944000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1512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  <w:t>Assessoria jurídica</w:t>
            </w:r>
          </w:p>
        </w:tc>
        <w:tc>
          <w:tcPr>
            <w:tcW w:type="dxa" w:w="1548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  <w:tc>
          <w:tcPr>
            <w:tcW w:type="dxa" w:w="827999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  <w:tc>
          <w:tcPr>
            <w:tcW w:type="dxa" w:w="1944000"/>
            <w:shd w:fill="EEF5FA"/>
            <w:vAlign w:val="cente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243443"/>
                <w:sz w:val="16"/>
              </w:rPr>
            </w:r>
          </w:p>
        </w:tc>
      </w:tr>
    </w:tbl>
    <w:p>
      <w:pPr>
        <w:widowControl/>
        <w:spacing w:after="0"/>
      </w:pPr>
    </w:p>
    <w:p>
      <w:pPr>
        <w:widowControl/>
        <w:spacing w:before="200"/>
      </w:pPr>
    </w:p>
    <w:p>
      <w:pPr>
        <w:widowControl/>
      </w:pPr>
      <w:r>
        <w:br w:type="page"/>
      </w:r>
    </w:p>
    <w:p>
      <w:pPr>
        <w:pStyle w:val="Heading1"/>
        <w:keepNext/>
        <w:pageBreakBefore w:val="0"/>
        <w:widowControl/>
        <w:ind w:left="0" w:firstLine="0"/>
        <w:jc w:val="left"/>
      </w:pPr>
      <w:r>
        <w:t>ANEXO F - Base estadual de evidências</w:t>
      </w:r>
    </w:p>
    <w:p>
      <w:pPr>
        <w:widowControl/>
      </w:pPr>
      <w:r>
        <w:t>Este anexo estabelece o conjunto mínimo de dados necessário para confirmar o dimensionamento, os gatilhos de ativação, a localização logística, a frequência estimada de missões e o cenário de consumo utilizado na pesquisa de preços. As bases deverão ser entregues com dicionário, responsável, data de extração, período de referência, regras de cálculo e indicação de dado preliminar ou consolidado.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6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Base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6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Período e granularidade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6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Conteúdo mínimo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6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Finalidade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CIEVS-MT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2019-2026; evento e município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Sinal, detecção, notificação, verificação, resposta, encerramento, casos, óbitos, duração, recursos e ativação de COE/COES.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Frequência de missões, cenários e tempos de resposta.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CNES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Competência atual + série mensal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Estabelecimentos, leitos existentes/SUS, equipamentos, serviços, profissionais e gestão.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Capacidade instalada e vazios assistenciais.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IndicaSUS/Monitora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24-36 meses; diário ou semanal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Leitos elegíveis, operacionais, ocupados, bloqueados, admissões, altas, óbitos e espera no pronto-socorro.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Picos, capacidade residual e gatilhos N1-N4.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SISREG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24-36 meses; solicitação anonimizada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Origem, destino, prioridade, especialidade, leito, solicitação, autorização, transferência, recusa e cancelamento.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Pressão regional, espera e deslocamento assistencial.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S2iD/Defesa Civil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2015-2026; evento e município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COBRADE, decreto, pessoas afetadas, isolamento, danos, serviços essenciais e unidades de saúde atingidas.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Recorrência territorial e impacto de desastres.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Interrupções hospitalares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2021-2026; ocorrência e CNES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Energia, água, oxigênio, incêndio, alagamento, estrutura, TI, setores, leitos perdidos, transferências e duração.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Substituição parcial de unidades e módulos especializados.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SINAN/SIVEP/GAL/SIM/SIH/SIA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2019-2026; município e semana/mês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Casos, exames, hospitalizações, UTI, óbitos, positividade, tempo laboratorial e produção assistencial.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Perfil clínico, sazonalidade e kits assistenciais.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ARARAS/TITAN/VIGIAR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2019-2026; município e dia/semana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Calor, umidade, chuva, seca, focos, PM2,5, alertas, risco integrado, previsão e população exposta.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Antecipação, pré-posicionamento e acionamento climático.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SAMU/CBMMT/CIOPAER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2021-2026; ocorrência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Múltiplas vítimas, gravidade, tempos, recursos, destinos, transporte aéreo e dificuldades operacionais.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Módulo de trauma e logística de remoção.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Contratos e preços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Últimos 3-5 anos; item/contrato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Estruturas, geradores, gases, satélite, transporte, limpeza, resíduos, equipes, manutenção e mobilização.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Pesquisa de preços e custo total do ciclo de vida.</w:t>
            </w:r>
          </w:p>
        </w:tc>
      </w:tr>
    </w:tbl>
    <w:p>
      <w:pPr>
        <w:pStyle w:val="Heading2"/>
        <w:keepNext/>
        <w:pageBreakBefore w:val="0"/>
        <w:widowControl/>
      </w:pPr>
      <w:r>
        <w:t>F.1 Regras de qualidade e proveniência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62"/>
        <w:gridCol w:w="4762"/>
      </w:tblGrid>
      <w:tr>
        <w:trPr>
          <w:cantSplit/>
          <w:tblHeader w:val="true"/>
          <w:tblHeader w:val="true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6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Regra</w:t>
            </w:r>
          </w:p>
        </w:tc>
        <w:tc>
          <w:tcPr>
            <w:tcW w:type="dxa" w:w="7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6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Aplicação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Identificadores</w:t>
            </w:r>
          </w:p>
        </w:tc>
        <w:tc>
          <w:tcPr>
            <w:tcW w:type="dxa" w:w="7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Código IBGE com sete dígitos; CNES preservado; identificador anonimizado para registros assistenciais.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Temporalidade</w:t>
            </w:r>
          </w:p>
        </w:tc>
        <w:tc>
          <w:tcPr>
            <w:tcW w:type="dxa" w:w="7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Datas no padrão AAAA-MM-DD; data e hora quando necessária; registrar competência e data de corte.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Ausência de dado</w:t>
            </w:r>
          </w:p>
        </w:tc>
        <w:tc>
          <w:tcPr>
            <w:tcW w:type="dxa" w:w="7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Usar N/A ou campo nulo; não converter ausência em zero.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Denominadores</w:t>
            </w:r>
          </w:p>
        </w:tc>
        <w:tc>
          <w:tcPr>
            <w:tcW w:type="dxa" w:w="7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Registrar leitos elegíveis, população, testes realizados e demais denominadores utilizados.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Versionamento</w:t>
            </w:r>
          </w:p>
        </w:tc>
        <w:tc>
          <w:tcPr>
            <w:tcW w:type="dxa" w:w="7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Guardar arquivo original, versão tratada, algoritmo/limiar, responsável e histórico de alterações.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Validação</w:t>
            </w:r>
          </w:p>
        </w:tc>
        <w:tc>
          <w:tcPr>
            <w:tcW w:type="dxa" w:w="7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Triangular fonte documental, sistema oficial e confirmação da área técnica responsável.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Proteção de dados</w:t>
            </w:r>
          </w:p>
        </w:tc>
        <w:tc>
          <w:tcPr>
            <w:tcW w:type="dxa" w:w="7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Remover nome, CPF, CNS, endereço e demais identificadores não necessários; aplicar controle de acesso e LGPD.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Reprodutibilidade</w:t>
            </w:r>
          </w:p>
        </w:tc>
        <w:tc>
          <w:tcPr>
            <w:tcW w:type="dxa" w:w="7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sz w:val="18"/>
              </w:rPr>
              <w:t>Entregar dicionário de dados, fórmula dos indicadores, filtros, exclusões e script ou consulta quando disponível.</w:t>
            </w:r>
          </w:p>
        </w:tc>
      </w:tr>
    </w:tbl>
    <w:p>
      <w:pPr>
        <w:pStyle w:val="Heading2"/>
        <w:keepNext/>
        <w:pageBreakBefore w:val="0"/>
        <w:widowControl/>
      </w:pPr>
      <w:r>
        <w:t>F.2 Regra para atualização do ETP</w:t>
      </w:r>
    </w:p>
    <w:p>
      <w:pPr>
        <w:widowControl/>
      </w:pPr>
      <w:r>
        <w:t>Os dados públicos consolidados integram a justificativa atual. Após a recepção das bases internas, a equipe de planejamento deverá atualizar: a estimativa de acionamentos do item 14.1; os gatilhos de N1 a N4; a matriz regional de tempos rodoviários; a capacidade de leitos; os perfis de kits e equipes; e o cenário de consumo da pesquisa de preços. Toda atualização deverá manter a matriz de proveniência e registrar a aprovação das áreas responsáveis no Anexo E.</w:t>
      </w:r>
    </w:p>
    <w:p>
      <w:pPr>
        <w:pStyle w:val="Heading1"/>
        <w:keepNext/>
        <w:pageBreakBefore w:val="0"/>
        <w:widowControl/>
      </w:pPr>
      <w:r>
        <w:t>Encaminhamento</w:t>
      </w:r>
    </w:p>
    <w:p>
      <w:pPr>
        <w:widowControl/>
      </w:pPr>
      <w:r>
        <w:t>Submeta-se este documento-base à autoridade competente para constituição da equipe de planejamento e autorização do aprofundamento técnico, da consulta ao mercado e da pesquisa de preços.</w:t>
      </w:r>
    </w:p>
    <w:p>
      <w:pPr>
        <w:widowControl/>
        <w:spacing w:after="2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62"/>
        <w:gridCol w:w="4762"/>
      </w:tblGrid>
      <w:tr>
        <w:trPr>
          <w:cantSplit/>
          <w:tblHeader w:val="true"/>
        </w:trPr>
        <w:tc>
          <w:tcPr>
            <w:tcW w:type="dxa" w:w="476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shd w:fill="0B3A6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br/>
              <w:br/>
              <w:t>________________________________________</w:t>
              <w:br/>
              <w:t>Equipe de Planejamento da Contratação</w:t>
            </w:r>
          </w:p>
        </w:tc>
        <w:tc>
          <w:tcPr>
            <w:tcW w:type="dxa" w:w="476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shd w:fill="0B3A6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br/>
              <w:br/>
              <w:t>________________________________________</w:t>
              <w:br/>
              <w:t>Equipe de Planejamento da Contratação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5B6770"/>
                <w:sz w:val="17"/>
              </w:rPr>
              <w:t>Elaboração técnica</w:t>
            </w:r>
          </w:p>
        </w:tc>
        <w:tc>
          <w:tcPr>
            <w:tcW w:type="dxa" w:w="476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5B6770"/>
                <w:sz w:val="17"/>
              </w:rPr>
              <w:t>Aprovação da autoridade competente</w:t>
            </w:r>
          </w:p>
        </w:tc>
      </w:tr>
    </w:tbl>
    <w:p>
      <w:r>
        <w:br w:type="page"/>
      </w:r>
    </w:p>
    <w:p>
      <w:pPr>
        <w:pStyle w:val="Heading1"/>
      </w:pPr>
      <w:r>
        <w:t>Complementação técnica e normativa — revisão 2.1</w:t>
      </w:r>
    </w:p>
    <w:p>
      <w:r>
        <w:t>Integra esta minuta como requisito de revisão. As escolhas propostas dependem de validação institucional; as referências não equivalem a aprovação da contratação.</w:t>
      </w:r>
    </w:p>
    <w:p>
      <w:pPr>
        <w:pStyle w:val="Heading2"/>
      </w:pPr>
      <w:r>
        <w:t>1. Fundamentos e limites de aplicação</w:t>
      </w:r>
    </w:p>
    <w:p>
      <w:r>
        <w:t>A Lei nº 14.133/2021 orienta planejamento (art. 18), estimativa de preços (art. 23), parcelamento de compras e serviços (arts. 40 e 47), cláusulas contratuais (art. 92), fiscalização (art. 117) e recebimento (art. 140). Aplicam-se o Decreto Estadual nº 1.525/2022 e alterações, com conferência da consolidação pela área jurídica. A inclusão no PCA deve observar os atos estaduais pertinentes, inclusive IN nº 002/2025/SEPLAG e sua alteração pela IN nº 003/2026/SEPLAG. A escolha de prontidão remunerada exige motivação própria; nenhuma dessas referências, isoladamente, aprova preço, modalidade, lote único ou contratação direta.</w:t>
      </w:r>
    </w:p>
    <w:p>
      <w:pPr>
        <w:pStyle w:val="Heading2"/>
      </w:pPr>
      <w:r>
        <w:t>2. Necessidade, alternativas e dimensionamento</w:t>
      </w:r>
    </w:p>
    <w:p>
      <w:r>
        <w:t>O ETP deverá comparar capacidade própria, locação com suporte, serviço integrado e aproveitamento de contratos ou capacidade existente, documentando investimento, custo anual, tempo de resposta, logística e risco de indisponibilidade. Para cada cenário, registrar fonte e data dos dados, população exposta, demanda provável e máxima plausível, capacidade operacional residual da rede, lacuna, duração e incerteza. Dimensionar a configuração para a lacuna demonstrada, sem usar capacidade cadastrada como sinônimo de capacidade disponível. Os números de leitos nas versões anteriores são referências de planejamento e não autorizam quantitativos ou preços.</w:t>
      </w:r>
    </w:p>
    <w:p>
      <w:pPr>
        <w:pStyle w:val="Heading2"/>
      </w:pPr>
      <w:r>
        <w:t>3. Catálogo contratual e parcelamento</w:t>
      </w:r>
    </w:p>
    <w:p>
      <w:r>
        <w:t>Antes do edital, cadastrar cada módulo e fornecimento com código, descrição, unidade, capacidade, dependências, preço, teto quantitativo, prazo e forma de aceite. Separar leito disponível de paciente atendido, exame de diária laboratorial e unidade de medicamento de reserva de estoque. A ativação modular não equivale, por si, a parcelamento da licitação. Justificar contratação conjunta ou separada de medicamentos, laboratório, estrutura e operação, avaliando competição, responsabilidade técnica, integração e custo de gestão. Não permitir inclusão de item novo ou ampliação ilimitada por simples OA.</w:t>
      </w:r>
    </w:p>
    <w:p>
      <w:pPr>
        <w:pStyle w:val="Heading2"/>
      </w:pPr>
      <w:r>
        <w:t>4. Prontidão verificável e manutenção</w:t>
      </w:r>
    </w:p>
    <w:p>
      <w:r>
        <w:t>O aceite inicial do N0 exige inventário identificável, localização dos bens, estado de conservação, testes funcionais, plano de manutenção, capacidade de mobilização e responsáveis. Mensalmente, a empresa entregará posição do inventário, intervenções previstas e realizadas, falhas, substituições, reservas e evidência da capacidade garantida. A empresa executa e custeia manutenção preventiva e corretiva ordinária, calibração aplicável, peças e testes, inclusive sem missões, em preços já contratados. Definir contratualmente capacidade reservada, exclusividade ou compartilhamento admitido e resposta a missões simultâneas; não remunerar como exclusiva uma capacidade comprometida com terceiros. A RDC nº 509/2021 sustenta plano, registros e rastreabilidade; terceirizar a gestão não elimina a responsabilidade sanitária do estabelecimento.</w:t>
      </w:r>
    </w:p>
    <w:p>
      <w:pPr>
        <w:pStyle w:val="Heading2"/>
      </w:pPr>
      <w:r>
        <w:t>5. Dossiê de decisão e limites da OA</w:t>
      </w:r>
    </w:p>
    <w:p>
      <w:r>
        <w:t>O dossiê para o Secretário reunirá nota técnica assinada, evento e território, risco e cenários, insuficiência da rede, alternativas examinadas, configuração, dependências, cronograma, custo estimado, saldo contratual e disponibilidade orçamentária, além de recomendação de início, revisão e término. A decisão do Secretário e seus condicionantes serão anexados à OA identificada e datada. A formalização institucional dessa competência integra as providências prévias. A OA executa o objeto contratado e não substitui licitação, empenho, aditivo ou licença quando exigidos. Registrar reavaliações sempre que mudarem demanda, risco, acesso ou capacidade local.</w:t>
      </w:r>
    </w:p>
    <w:p>
      <w:pPr>
        <w:pStyle w:val="Heading2"/>
      </w:pPr>
      <w:r>
        <w:t>6. Laboratório isolado e medicamentos isolados</w:t>
      </w:r>
    </w:p>
    <w:p>
      <w:r>
        <w:t>Laboratório isolado terá escopo de exames, tipo de serviço, responsabilidade técnica, licenciamento aplicável, fluxo de amostras, controle de qualidade, conservação, comunicação de resultados críticos e destinação de resíduos. Adotar como referência regulatória a RDC nº 978/2025 e a alteração RDC nº 986/2025, conferindo o texto consolidado para o enquadramento concreto. Medicamentos isolados terão catálogo validado pela assistência farmacêutica, especificação, quantidade, rastreabilidade de lote, validade mínima justificada, conservação, transporte, registro de temperatura quando aplicável e fluxo de rejeição/recolhimento. A RDC nº 430/2020 e alterações apoia a logística farmacêutica conforme atividade. Não cobrar montagem, diária hospitalar ou desmontagem inexistentes.</w:t>
      </w:r>
    </w:p>
    <w:p>
      <w:pPr>
        <w:pStyle w:val="Heading2"/>
      </w:pPr>
      <w:r>
        <w:t>7. Formação de preços, medição e vedação à duplicidade</w:t>
      </w:r>
    </w:p>
    <w:p>
      <w:r>
        <w:t>A pesquisa de mercado deverá solicitar composição homogênea para N0, dez leitos, laboratório, medicamentos e missão combinada, incluindo distâncias e durações comparáveis. Separar reserva de estoque, aquisição, consumo e reposição; esclarecer titularidade e destino dos saldos. O mapa de custos indicará o que cada preço inclui. Na medição mensal, conciliar OA, boletim de execução, inventário, aceite, nota fiscal e histórico de pagamentos. Suporte compartilhado e manutenção ordinária não geram cobrança duplicada. Para insumos pagos por unidade entregue e aceita, não cobrar novamente reposição da mesma entrega. A continuidade do N0 durante a missão depende das obrigações que permanecem e da segregação de custos.</w:t>
      </w:r>
    </w:p>
    <w:p>
      <w:pPr>
        <w:pStyle w:val="Heading2"/>
      </w:pPr>
      <w:r>
        <w:t>9. Matriz de riscos e continuidade</w:t>
      </w:r>
    </w:p>
    <w:p>
      <w:r>
        <w:t>Atribuir à empresa falha ordinária de equipamento, manutenção vencida, conservação inadequada e perda por vencimento sob sua gestão; prever substituição e recomposição sem preço adicional ordinário. Identificar separadamente acesso bloqueado, sítio inadequado, falha de utilidades locais, demanda simultânea e atraso de licença, com responsável, prevenção, contingência, evidência e consequência contratual. A imputação dependerá da causa documentada e da alocação pactuada. Para assistência, prever referência e transporte seguro de pacientes; para laboratório, rede de apoio; para medicamentos, fornecedor e rota alternativos autorizados. O encerramento exige transferência assistencial, reconciliação de estoques e liberação do sítio.</w:t>
      </w:r>
    </w:p>
    <w:p>
      <w:pPr>
        <w:pStyle w:val="Heading2"/>
      </w:pPr>
      <w:r>
        <w:t>11. Condições para concluir a versão de edital</w:t>
      </w:r>
    </w:p>
    <w:p>
      <w:r>
        <w:t>Permanecem pendentes de decisão institucional: solução e parcelamento, modalidade e critério de julgamento, catálogo e limites, quantitativos sustentados por dados, preços pesquisados, reserva orçamentária, SLAs, matriz de riscos, licenciamento e ato de competência. Menções anteriores a modalidade, técnica e preço, faixas de leitos, prazos ou percentuais são propostas a harmonizar na versão final. Não declarar a contratação aprovada ou pronta para publicação antes dessas validações. As diretrizes OMS para equipes médicas de emergência são referência técnica complementar; N0–N4 é classificação interna do projeto e não representa classificação ou certificação OMS.</w:t>
      </w:r>
    </w:p>
    <w:p>
      <w:pPr>
        <w:pStyle w:val="Heading2"/>
      </w:pPr>
      <w:r>
        <w:t>Referências da complementação</w:t>
      </w:r>
    </w:p>
    <w:p>
      <w:r>
        <w:t>Brasil. Lei nº 14.133, de 1º de abril de 2021. Texto compilado. Disponível em: https://www.planalto.gov.br/ccivil_03/_ato2019-2022/2021/lei/l14133.htm. Acesso em: 28 set. 2026.</w:t>
      </w:r>
    </w:p>
    <w:p>
      <w:r>
        <w:t>Mato Grosso. SEPLAG. Portal de Aquisições Governamentais: legislação e atos do PCA. Disponível em: https://aquisicoes.seplag.mt.gov.br/home/index.php?c=4&amp;pg=ver. Acesso em: 28 set. 2026.</w:t>
      </w:r>
    </w:p>
    <w:p>
      <w:r>
        <w:t>Anvisa. RDC nº 509, de 27 de maio de 2021. Gerenciamento de tecnologias em saúde. Disponível em: https://bvsms.saude.gov.br/bvs/saudelegis/anvisa/2020/rdc0509_27_05_2021.pdf. Acesso em: 28 set. 2026.</w:t>
      </w:r>
    </w:p>
    <w:p>
      <w:r>
        <w:t>Anvisa. Agenda de ARR 2023–2026: RDC nº 978/2025, alterada pela RDC nº 986/2025. Disponível em: https://www.gov.br/anvisa/pt-br/assuntos/regulamentacao/avaliacao-do-resultado-regulatorio/agenda-de-arr-2023-2026. Acesso em: 28 set. 2026.</w:t>
      </w:r>
    </w:p>
    <w:p>
      <w:r>
        <w:t>Anvisa. Perguntas e respostas sobre a RDC nº 430/2020. Atualização de novembro de 2022. Disponível em: https://www.gov.br/anvisa/pt-br/centraisdeconteudo/publicacoes/certificacao-e-fiscalizacao/perguntas-e-respostas/perguntas-e-respostas-rdc-430-de-2020.pdf. Acesso em: 28 set. 2026.</w:t>
      </w:r>
    </w:p>
    <w:p>
      <w:r>
        <w:t>World Health Organization. Classification and minimum standards for emergency medical teams. Geneva: WHO, 2021. Disponível em: https://extranet.who.int/emt/sites/default/files/BlueBook2021.pdf. Acesso em: 28 set. 2026.</w:t>
      </w:r>
    </w:p>
    <w:sectPr w:rsidR="00FC693F" w:rsidRPr="0006063C" w:rsidSect="00034616">
      <w:headerReference w:type="default" r:id="rId9"/>
      <w:footerReference w:type="default" r:id="rId10"/>
      <w:footerReference w:type="even" r:id="rId11"/>
      <w:footerReference w:type="first" r:id="rId12"/>
      <w:pgSz w:w="11906" w:h="16838"/>
      <w:pgMar w:top="1134" w:right="1134" w:bottom="1020" w:left="1247" w:header="397" w:footer="397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são técnica UHMR" w:initials="UHMR" w:date="2026-09-28T20:44:19Z">
    <w:p>
      <w:pPr>
        <w:pStyle w:val="CommentText"/>
      </w:pPr>
      <w:r>
        <w:rPr>
          <w:rStyle w:val="CommentReference"/>
        </w:rPr>
        <w:annotationRef/>
      </w:r>
      <w:r>
        <w:t>Revisão decorrente das premissas definidas em 28/09/2026: N0 remunerado, módulos independentes, manutenção pela empresa, medicamentos isolados e autorização do Secretário com análise de risco e cenários. Pendente de validação institucional.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175"/>
          <w:vAlign w:val="center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cBorders>
        </w:tcPr>
        <w:p>
          <w:pPr>
            <w:spacing w:after="0" w:before="0" w:line="240" w:lineRule="auto"/>
          </w:pPr>
          <w:r/>
          <w:r>
            <w:rPr>
              <w:rFonts w:ascii="Aptos" w:hAnsi="Aptos"/>
              <w:b w:val="0"/>
              <w:color w:val="5B6770"/>
              <w:sz w:val="15"/>
            </w:rPr>
            <w:t>ETP - UHMR/SES-MT</w:t>
          </w:r>
        </w:p>
      </w:tc>
      <w:tc>
        <w:tcPr>
          <w:tcW w:type="dxa" w:w="3175"/>
          <w:vAlign w:val="center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cBorders>
        </w:tcPr>
        <w:p>
          <w:pPr>
            <w:spacing w:after="0" w:before="0" w:line="240" w:lineRule="auto"/>
            <w:jc w:val="center"/>
          </w:pPr>
          <w:r/>
          <w:r>
            <w:rPr>
              <w:rFonts w:ascii="Aptos" w:hAnsi="Aptos"/>
              <w:b w:val="0"/>
              <w:color w:val="5B6770"/>
              <w:sz w:val="15"/>
            </w:rPr>
            <w:t>Revisão 2.1 | 28 set. 2026</w:t>
          </w:r>
        </w:p>
      </w:tc>
      <w:tc>
        <w:tcPr>
          <w:tcW w:type="dxa" w:w="3175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cBorders>
        </w:tcPr>
        <w:p>
          <w:pPr>
            <w:jc w:val="center"/>
          </w:pP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0B3A66"/>
        <w:sz w:val="17"/>
      </w:rPr>
      <w:t>SES-MT  |  PLANEJAMENTO DE CONTRATAÇÃO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  <w:jc w:val="both"/>
    </w:pPr>
    <w:rPr>
      <w:rFonts w:ascii="Aptos" w:hAnsi="Aptos"/>
      <w:color w:val="2434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pPr>
      <w:spacing w:after="160"/>
      <w:jc w:val="center"/>
    </w:pPr>
    <w:rPr>
      <w:rFonts w:ascii="Aptos" w:hAnsi="Aptos"/>
      <w:color w:val="000000"/>
      <w:sz w:val="26"/>
    </w:rPr>
  </w:style>
  <w:style w:type="paragraph" w:customStyle="1" w:styleId="SmallText">
    <w:name w:val="Small Text"/>
    <w:pPr>
      <w:spacing w:after="60"/>
    </w:pPr>
    <w:rPr>
      <w:rFonts w:ascii="Aptos" w:hAnsi="Aptos"/>
      <w:color w:val="5B677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Técnico Preliminar Unidade Hospitalar Modular de Resposta a Emergências</dc:title>
  <dc:subject>Versão consolidada para planejamento da contratação da SES-MT</dc:subject>
  <dc:creator>Secretaria de Estado de Saúde de Mato Grosso</dc:creator>
  <cp:keywords>ETP, UHMR, hospital modular, emergência, SES-MT, CIEVS-MT</cp:keywords>
  <dc:description>Revisão 2.1: prontidão N0 remunerada, configuração independente, manutenção pela contratada, medicamentos isolados e autorização do Secretário.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