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b/>
          <w:sz w:val="24"/>
        </w:rPr>
        <w:t>GOVERNO DO ESTADO DE MATO GROSSO</w:t>
      </w:r>
    </w:p>
    <w:p>
      <w:pPr>
        <w:jc w:val="center"/>
      </w:pPr>
      <w:r>
        <w:rPr>
          <w:b/>
          <w:sz w:val="22"/>
        </w:rPr>
        <w:t>SECRETARIA DE ESTADO DE SAÚDE</w:t>
      </w:r>
    </w:p>
    <w:p>
      <w:pPr>
        <w:pStyle w:val="Title"/>
        <w:spacing w:before="1100"/>
        <w:jc w:val="center"/>
      </w:pPr>
      <w:r>
        <w:t>Minuta de Contrato Administrativo</w:t>
      </w:r>
    </w:p>
    <w:p>
      <w:pPr>
        <w:pStyle w:val="Subtitle"/>
        <w:jc w:val="center"/>
      </w:pPr>
      <w:r>
        <w:t>Unidade Hospitalar Modular de Resposta a Emergências</w:t>
      </w:r>
    </w:p>
    <w:p>
      <w:pPr>
        <w:spacing w:before="480"/>
        <w:jc w:val="center"/>
      </w:pPr>
      <w:r>
        <w:rPr>
          <w:b/>
          <w:color w:val="C00000"/>
          <w:sz w:val="20"/>
        </w:rPr>
        <w:t>Minuta técnica sujeita ao modelo oficial e à validação jurídica</w:t>
      </w:r>
    </w:p>
    <w:p>
      <w:pPr>
        <w:spacing w:before="1400"/>
        <w:jc w:val="center"/>
      </w:pPr>
      <w:r>
        <w:rPr>
          <w:sz w:val="20"/>
        </w:rPr>
        <w:t>Cuiabá MT</w:t>
        <w:br/>
        <w:t>28 de setembro de 2026</w:t>
      </w:r>
    </w:p>
    <w:p>
      <w:r>
        <w:br w:type="page"/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929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7"/>
              </w:rPr>
              <w:t>Informação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Contratante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Estado de Mato Grosso por intermédio da SES MT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Contratada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 APÓS O CERTAME]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Processo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Contrato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7"/>
              </w:rPr>
              <w:t>Valor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7"/>
              </w:rPr>
              <w:t>R$ [A DEFINIR]</w:t>
            </w:r>
          </w:p>
        </w:tc>
      </w:tr>
      <w:tr>
        <w:trPr/>
        <w:tc>
          <w:tcPr>
            <w:tcW w:type="dxa" w:w="2381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7"/>
              </w:rPr>
              <w:t>Vigência</w:t>
            </w:r>
          </w:p>
        </w:tc>
        <w:tc>
          <w:tcPr>
            <w:tcW w:type="dxa" w:w="6803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7"/>
              </w:rPr>
              <w:t>[A DEFINIR]</w:t>
            </w:r>
          </w:p>
        </w:tc>
      </w:tr>
    </w:tbl>
    <w:p>
      <w:pPr>
        <w:spacing w:after="0"/>
      </w:pPr>
    </w:p>
    <w:p>
      <w:pPr>
        <w:pStyle w:val="Heading1"/>
      </w:pPr>
      <w:commentRangeStart w:id="0"/>
      <w:r>
        <w:t>Diretrizes de prontidão e acionamento</w:t>
      </w:r>
      <w:commentRangeEnd w:id="0"/>
      <w:r>
        <w:rPr>
          <w:rStyle w:val="CommentReference"/>
        </w:rPr>
        <w:commentReference w:id="0"/>
      </w:r>
    </w:p>
    <w:p>
      <w:r>
        <w:t>Revisão 2.1 de 28/09/2026. Minuta para validação institucional. As diretrizes abaixo integram o planejamento e devem orientar os requisitos e formulários desta peça.</w:t>
      </w:r>
    </w:p>
    <w:p>
      <w:pPr>
        <w:pStyle w:val="Heading2"/>
      </w:pPr>
      <w:r>
        <w:t>N0 e remuneração da prontidão</w:t>
      </w:r>
    </w:p>
    <w:p>
      <w:r>
        <w:t>N0 permanece como prontidão, sem assistência ativa. A mensalidade remunera a capacidade contratada mantida disponível mesmo sem utilização, mediante aceite inicial e comprovação mensal de inventário, conservação, testes, manutenção, equipe técnica e meios de mobilização. A indisponibilidade será registrada e terá tratamento de medição conforme critérios contratuais. A permanência da mensalidade durante missões exige demonstração das obrigações efetivamente mantidas e exclusão de custos duplicados nas parcelas variáveis.</w:t>
      </w:r>
    </w:p>
    <w:p>
      <w:pPr>
        <w:pStyle w:val="Heading2"/>
      </w:pPr>
      <w:r>
        <w:t>Configuração personalizada da missão</w:t>
      </w:r>
    </w:p>
    <w:p>
      <w:r>
        <w:t>N1 a N4 são referências de planejamento, sem obrigação de ativação cumulativa. Cada missão poderá selecionar módulos isolados, combinar módulos ou adotar quantitativos diferentes das faixas referenciais, dentro do objeto, dos quantitativos contratados e dos requisitos de segurança. São exemplos: dez leitos com suportes dimensionados; somente laboratório; somente medicamentos e insumos. A configuração efetiva e o nível de referência serão registrados separadamente. Não se presumem cirurgia, internação, equipes ou infraestrutura não solicitadas. As dependências técnicas indispensáveis serão justificadas e dimensionadas, inclusive quando fornecidas pela rede local.</w:t>
      </w:r>
    </w:p>
    <w:p>
      <w:pPr>
        <w:pStyle w:val="Heading2"/>
      </w:pPr>
      <w:r>
        <w:t>Responsabilidade pela manutenção</w:t>
      </w:r>
    </w:p>
    <w:p>
      <w:r>
        <w:t>A contratada executará e custeará manutenção preventiva e corretiva ordinária, calibrações aplicáveis, testes, peças, mão de obra e substituição dos equipamentos necessários à disponibilidade. Esses encargos integram os preços contratados, inclusive durante períodos sem uso, sem cobrança adicional à SES-MT por manutenção ordinária. O plano de manutenção seguirá fabricante, risco e requisitos técnicos, com registros por equipamento, datas, responsável e evidências. A manutenção programada não poderá reduzir a capacidade garantida sem cobertura equivalente e comunicação à fiscalização.</w:t>
      </w:r>
    </w:p>
    <w:p>
      <w:pPr>
        <w:pStyle w:val="Heading2"/>
      </w:pPr>
      <w:r>
        <w:t>Fornecimento exclusivo de medicamentos</w:t>
      </w:r>
    </w:p>
    <w:p>
      <w:r>
        <w:t>Poderá ser acionado somente o fornecimento de medicamentos ou insumos previamente especificados e precificados, sem montagem hospitalar. A solicitação discriminará item, apresentação, concentração quando pertinente, unidade, quantidade, destino, prazo, lote e validade no recebimento, condições de conservação e responsável pelo aceite. Armazenagem, transporte, cadeia de frio quando aplicável, rastreabilidade, regularidade sanitária e responsabilidade farmacêutica deverão ser assegurados. Estoque reservado, mercadoria fornecida e reposição serão distinguidos na medição. Perdas por vencimento ou conservação imputáveis à contratada não serão repassadas à SES-MT. A relação de itens e o parcelamento ainda dependem de planejamento e validação formal.</w:t>
      </w:r>
    </w:p>
    <w:p>
      <w:pPr>
        <w:pStyle w:val="Heading2"/>
      </w:pPr>
      <w:r>
        <w:t>Competência e fundamentação do acionamento</w:t>
      </w:r>
    </w:p>
    <w:p>
      <w:r>
        <w:t>Compete ao Secretário de Estado de Saúde autorizar o acionamento e a configuração da missão, mediante Ordem de Acionamento fundamentada em documentação técnica, análise de risco e avaliação de cenários. A instrução conterá identificação do evento, demanda estimada, capacidade residual da rede, alternativas, justificativa, módulos ou itens, quantidades, dependências, local, prazo, duração, estimativa de custo e disponibilidade contratual e orçamentária. As áreas técnicas, inclusive CIEVS/COES quando envolvidos, subsidiam a decisão. A fiscalização acompanha a execução e não substitui a autorização do Secretário. Ampliação, redução e encerramento serão formalizados com justificativa técnica e decisão do Secretário, preservada a interrupção imediata de atividade insegura pela fiscalização.</w:t>
      </w:r>
    </w:p>
    <w:p>
      <w:pPr>
        <w:pStyle w:val="Heading2"/>
      </w:pPr>
      <w:r>
        <w:t>Medição por configuração e aceite</w:t>
      </w:r>
    </w:p>
    <w:p>
      <w:r>
        <w:t>A medição separará mensalidade N0, serviços efetivamente acionados e aceitos e medicamentos/insumos fornecidos. Cada item terá unidade, quantidade, preço, período, origem e evidência. Suportes compartilhados serão contabilizados uma única vez. Manutenção ordinária, perdas imputáveis à contratada e itens já pagos não gerarão nova cobrança. Para fornecimento exclusivo, não incidem montagem, diária hospitalar ou desmobilização física inexistentes. O aceite será de recebimento dos produtos. Para laboratório isolado ou assistência, aplicam-se comissionamento e liberação compatíveis com a atividade. Preços, glosas e SLAs permanecem sujeitos a pesquisa de mercado e validação antes do edital.</w:t>
      </w:r>
    </w:p>
    <w:p>
      <w:pPr>
        <w:pStyle w:val="Heading1"/>
      </w:pPr>
      <w:r>
        <w:t>Cláusula primeira do objeto</w:t>
      </w:r>
    </w:p>
    <w:p>
      <w:r>
        <w:t>O contrato tem por objeto a prestação da solução integrada de UHMR descrita no Termo de Referência, abrangendo prontidão N0 e acionamentos N1 a N4, com fornecimentos, serviços, logística, utilidades, manutenção, comunicações e demais componentes contratados.</w:t>
      </w:r>
    </w:p>
    <w:p>
      <w:pPr>
        <w:pStyle w:val="Heading1"/>
      </w:pPr>
      <w:r>
        <w:t>Cláusula segunda dos documentos e da ordem de prevalência</w:t>
      </w:r>
    </w:p>
    <w:p>
      <w:r>
        <w:t>Integram o contrato o Edital, o Termo de Referência, a proposta, a planilha de preços, a matriz de riscos, o SLA, as ordens e os anexos. A ordem de prevalência será definida na versão jurídica final, preservados objeto, competição e equilíbrio econômico financeiro.</w:t>
      </w:r>
    </w:p>
    <w:p>
      <w:pPr>
        <w:pStyle w:val="Heading1"/>
      </w:pPr>
      <w:r>
        <w:t>Cláusula terceira do preço</w:t>
      </w:r>
    </w:p>
    <w:p>
      <w:r>
        <w:t>O valor máximo estimado e os preços unitários constarão da planilha contratual. Não haverá pagamento por módulo não disponibilizado, marco não aceito ou consumo não comprovado, ressalvada a parcela mensal de prontidão efetivamente cumprida.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Parcela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Unidade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Preço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Prontidão N0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Mês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Mobilização por configuração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Evento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Transporte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Faixa ou km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Instalação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Nível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Operação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Diária por módulo acionado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Equipe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Pacote 24 h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Kits e consumo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Unidade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Expansão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 dia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Desmobilização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Evento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Treinamento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Evento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R$ [A DEFINIR]</w:t>
            </w:r>
          </w:p>
        </w:tc>
      </w:tr>
    </w:tbl>
    <w:p>
      <w:pPr>
        <w:spacing w:after="0"/>
      </w:pPr>
    </w:p>
    <w:p>
      <w:pPr>
        <w:pStyle w:val="Heading1"/>
      </w:pPr>
      <w:r>
        <w:t>Cláusula quarta da vigência</w:t>
      </w:r>
    </w:p>
    <w:p>
      <w:r>
        <w:t>A vigência será de [A DEFINIR] meses, contada de [MARCO], com possibilidade de prorrogação somente nas hipóteses, limites e condições legais, mediante demonstração de vantajosidade, desempenho satisfatório, crédito orçamentário e decisão da autoridade competente.</w:t>
      </w:r>
    </w:p>
    <w:p>
      <w:pPr>
        <w:pStyle w:val="Heading1"/>
      </w:pPr>
      <w:r>
        <w:t>Cláusula quinta da implantação do N0</w:t>
      </w:r>
    </w:p>
    <w:p>
      <w:pPr>
        <w:pStyle w:val="ListNumber"/>
        <w:ind w:left="397" w:hanging="159"/>
      </w:pPr>
      <w:r>
        <w:t>apresentação do plano de implantação, responsáveis e cronograma;</w:t>
      </w:r>
    </w:p>
    <w:p>
      <w:pPr>
        <w:pStyle w:val="ListNumber"/>
        <w:ind w:left="397" w:hanging="159"/>
      </w:pPr>
      <w:r>
        <w:t>disponibilização da base e do inventário contratado;</w:t>
      </w:r>
    </w:p>
    <w:p>
      <w:pPr>
        <w:pStyle w:val="ListNumber"/>
        <w:ind w:left="397" w:hanging="159"/>
      </w:pPr>
      <w:r>
        <w:t>entrega de planos de manutenção, continuidade, segurança, dados e suprimentos;</w:t>
      </w:r>
    </w:p>
    <w:p>
      <w:pPr>
        <w:pStyle w:val="ListNumber"/>
        <w:ind w:left="397" w:hanging="159"/>
      </w:pPr>
      <w:r>
        <w:t>execução de testes e exercício inicial;</w:t>
      </w:r>
    </w:p>
    <w:p>
      <w:pPr>
        <w:pStyle w:val="ListNumber"/>
        <w:ind w:left="397" w:hanging="159"/>
      </w:pPr>
      <w:r>
        <w:t>correção das não conformidades;</w:t>
      </w:r>
    </w:p>
    <w:p>
      <w:pPr>
        <w:pStyle w:val="ListNumber"/>
        <w:ind w:left="397" w:hanging="159"/>
      </w:pPr>
      <w:r>
        <w:t>emissão do Termo de Prontidão Inicial.</w:t>
      </w:r>
    </w:p>
    <w:p>
      <w:pPr>
        <w:pStyle w:val="Heading1"/>
      </w:pPr>
      <w:r>
        <w:t>Cláusula sexta do acionamento</w:t>
      </w:r>
    </w:p>
    <w:p>
      <w:r>
        <w:t>O Secretário de Estado de Saúde autorizará e emitirá Ordem de Acionamento fundamentada em documentação técnica, análise de risco e cenários, com configuração, capacidade, local, prazo, contato, custo estimado e condicionantes. A contratada confirmará o recebimento e apresentará plano de mobilização nos prazos do SLA. Alterações de nível serão formalizadas.</w:t>
      </w:r>
    </w:p>
    <w:p>
      <w:pPr>
        <w:pStyle w:val="Heading1"/>
      </w:pPr>
      <w:r>
        <w:t>Cláusula sétima da execução</w:t>
      </w:r>
    </w:p>
    <w:p>
      <w:r>
        <w:t>A contratada executará reconhecimento, transporte, montagem, comissionamento, operação técnica, manutenção e desmobilização. A abertura assistencial dependerá de TLO. A fiscalização poderá interromper atividade insegura sem assumir a execução.</w:t>
      </w:r>
    </w:p>
    <w:p>
      <w:pPr>
        <w:pStyle w:val="Heading1"/>
      </w:pPr>
      <w:r>
        <w:t>Cláusula oitava das obrigações da contratada</w:t>
      </w:r>
    </w:p>
    <w:p>
      <w:pPr>
        <w:pStyle w:val="ListBullet"/>
        <w:ind w:left="340" w:hanging="142"/>
      </w:pPr>
      <w:r>
        <w:t>cumprir o TR, a proposta, os projetos, prazos e níveis de serviço;</w:t>
      </w:r>
    </w:p>
    <w:p>
      <w:pPr>
        <w:pStyle w:val="ListBullet"/>
        <w:ind w:left="340" w:hanging="142"/>
      </w:pPr>
      <w:r>
        <w:t>manter habilitação, licenças, responsáveis e seguros;</w:t>
      </w:r>
    </w:p>
    <w:p>
      <w:pPr>
        <w:pStyle w:val="ListBullet"/>
        <w:ind w:left="340" w:hanging="142"/>
      </w:pPr>
      <w:r>
        <w:t>coordenar subcontratados e responder pelo resultado integrado;</w:t>
      </w:r>
    </w:p>
    <w:p>
      <w:pPr>
        <w:pStyle w:val="ListBullet"/>
        <w:ind w:left="340" w:hanging="142"/>
      </w:pPr>
      <w:r>
        <w:t>manter inventário, manutenção, calibração, validade e reservas;</w:t>
      </w:r>
    </w:p>
    <w:p>
      <w:pPr>
        <w:pStyle w:val="ListBullet"/>
        <w:ind w:left="340" w:hanging="142"/>
      </w:pPr>
      <w:r>
        <w:t>preservar continuidade, segurança do paciente e biossegurança;</w:t>
      </w:r>
    </w:p>
    <w:p>
      <w:pPr>
        <w:pStyle w:val="ListBullet"/>
        <w:ind w:left="340" w:hanging="142"/>
      </w:pPr>
      <w:r>
        <w:t>proteger dados, sistemas, credenciais e registros;</w:t>
      </w:r>
    </w:p>
    <w:p>
      <w:pPr>
        <w:pStyle w:val="ListBullet"/>
        <w:ind w:left="340" w:hanging="142"/>
      </w:pPr>
      <w:r>
        <w:t>comunicar incidentes, riscos, atrasos e indisponibilidades;</w:t>
      </w:r>
    </w:p>
    <w:p>
      <w:pPr>
        <w:pStyle w:val="ListBullet"/>
        <w:ind w:left="340" w:hanging="142"/>
      </w:pPr>
      <w:r>
        <w:t>reparar danos e corrigir não conformidades imputáveis;</w:t>
      </w:r>
    </w:p>
    <w:p>
      <w:pPr>
        <w:pStyle w:val="ListBullet"/>
        <w:ind w:left="340" w:hanging="142"/>
      </w:pPr>
      <w:r>
        <w:t>permitir auditoria e fornecer evidências de medição;</w:t>
      </w:r>
    </w:p>
    <w:p>
      <w:pPr>
        <w:pStyle w:val="ListBullet"/>
        <w:ind w:left="340" w:hanging="142"/>
      </w:pPr>
      <w:r>
        <w:t>recompor o N0 após cada missão.</w:t>
      </w:r>
    </w:p>
    <w:p>
      <w:pPr>
        <w:pStyle w:val="Heading1"/>
      </w:pPr>
      <w:r>
        <w:t>Cláusula nona das obrigações da contratante</w:t>
      </w:r>
    </w:p>
    <w:p>
      <w:pPr>
        <w:pStyle w:val="ListBullet"/>
        <w:ind w:left="340" w:hanging="142"/>
      </w:pPr>
      <w:r>
        <w:t>emitir ordens e fornecer informações e interfaces sob sua responsabilidade;</w:t>
      </w:r>
    </w:p>
    <w:p>
      <w:pPr>
        <w:pStyle w:val="ListBullet"/>
        <w:ind w:left="340" w:hanging="142"/>
      </w:pPr>
      <w:r>
        <w:t>liberar sítio e coordenar segurança pública e governança estadual;</w:t>
      </w:r>
    </w:p>
    <w:p>
      <w:pPr>
        <w:pStyle w:val="ListBullet"/>
        <w:ind w:left="340" w:hanging="142"/>
      </w:pPr>
      <w:r>
        <w:t>integrar regulação e rede assistencial;</w:t>
      </w:r>
    </w:p>
    <w:p>
      <w:pPr>
        <w:pStyle w:val="ListBullet"/>
        <w:ind w:left="340" w:hanging="142"/>
      </w:pPr>
      <w:r>
        <w:t>designar gestor e fiscais;</w:t>
      </w:r>
    </w:p>
    <w:p>
      <w:pPr>
        <w:pStyle w:val="ListBullet"/>
        <w:ind w:left="340" w:hanging="142"/>
      </w:pPr>
      <w:r>
        <w:t>decidir sobre expansão, retração e desmobilização;</w:t>
      </w:r>
    </w:p>
    <w:p>
      <w:pPr>
        <w:pStyle w:val="ListBullet"/>
        <w:ind w:left="340" w:hanging="142"/>
      </w:pPr>
      <w:r>
        <w:t>atestar entregas e efetuar pagamentos devidos.</w:t>
      </w:r>
    </w:p>
    <w:p>
      <w:pPr>
        <w:pStyle w:val="Heading1"/>
      </w:pPr>
      <w:r>
        <w:t>Cláusula décima da fiscalização</w:t>
      </w:r>
    </w:p>
    <w:p>
      <w:r>
        <w:t>A gestão e a fiscalização serão exercidas por agentes designados. Registros, determinações e ocorrências constarão de sistema ou diário oficial da missão. A fiscalização não exclui a responsabilidade da contratada.</w:t>
      </w:r>
    </w:p>
    <w:p>
      <w:pPr>
        <w:pStyle w:val="Heading1"/>
      </w:pPr>
      <w:r>
        <w:t>Cláusula décima primeira da medição</w:t>
      </w:r>
    </w:p>
    <w:p>
      <w:r>
        <w:t>A medição mensal consolidará prontidão e eventos. Cada acionamento possuirá boletim próprio com marcos, diárias, equipes, consumo, expansão, transporte, glosas e evidências. Divergências serão justificadas e submetidas ao rito contratual.</w:t>
      </w:r>
    </w:p>
    <w:p>
      <w:pPr>
        <w:pStyle w:val="Heading1"/>
      </w:pPr>
      <w:r>
        <w:t>Cláusula décima segunda do pagamento</w:t>
      </w:r>
    </w:p>
    <w:p>
      <w:r>
        <w:t>O pagamento ocorrerá em [A DEFINIR] dias após liquidação, ateste e documentos exigidos. Valores controvertidos poderão ser separados da parcela incontroversa. Tributos e retenções seguirão a legislação.</w:t>
      </w:r>
    </w:p>
    <w:p>
      <w:pPr>
        <w:pStyle w:val="Heading1"/>
      </w:pPr>
      <w:r>
        <w:t>Cláusula décima terceira do reajuste, repactuação e equilíbrio</w:t>
      </w:r>
    </w:p>
    <w:p>
      <w:r>
        <w:t>O reajuste utilizará índice e data base definidos no Edital. A repactuação será aplicável às parcelas de mão de obra quando houver regime compatível e demonstração analítica. O reequilíbrio dependerá de evento, nexo, impacto e matriz de riscos.</w:t>
      </w:r>
    </w:p>
    <w:p>
      <w:pPr>
        <w:pStyle w:val="Heading1"/>
      </w:pPr>
      <w:r>
        <w:t>Cláusula décima quarta das garantias</w:t>
      </w:r>
    </w:p>
    <w:p>
      <w:r>
        <w:t>A garantia contratual será de [A DEFINIR] por cento, dentro do limite legal e conforme justificativa. Modalidade, prazo, reposição e execução constarão do Edital. A opção por seguro garantia observará o prazo legal para apresentação da apólice.</w:t>
      </w:r>
    </w:p>
    <w:p>
      <w:pPr>
        <w:pStyle w:val="Heading1"/>
      </w:pPr>
      <w:r>
        <w:t>Cláusula décima quinta do SLA e das glosas</w:t>
      </w:r>
    </w:p>
    <w:p>
      <w:r>
        <w:t>O SLA integra o contrato. A glosa ajustará o pagamento ao serviço efetivamente entregue, com fórmula, tolerância, teto, exclusões e contraditório. Reincidência ou falha grave poderá também configurar infração.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Grupo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Exemplos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Tratamento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Mobilização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Confirmação, plano, saída e implantação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Glosa por marco e sanção quando cabível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Disponibilidade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Módulo, energia, comunicação e equipamento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Fator de desempenho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Qualidade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Validade, rastreabilidade, documentação e equipe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Glosa proporcional e correção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Segurança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Falha com risco assistencial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Interrupção, contingência e processo sancionatório</w:t>
            </w:r>
          </w:p>
        </w:tc>
      </w:tr>
    </w:tbl>
    <w:p>
      <w:pPr>
        <w:spacing w:after="0"/>
      </w:pPr>
    </w:p>
    <w:p>
      <w:pPr>
        <w:pStyle w:val="Heading1"/>
      </w:pPr>
      <w:r>
        <w:t>Cláusula décima sexta da proteção de dados</w:t>
      </w:r>
    </w:p>
    <w:p>
      <w:r>
        <w:t>As partes observarão a LGPD e as políticas da SES MT. A contratada tratará apenas dados necessários, por instruções documentadas, com controle de acesso, registro, retenção, devolução ou eliminação, resposta a titulares e comunicação imediata de incidentes.</w:t>
      </w:r>
    </w:p>
    <w:p>
      <w:pPr>
        <w:pStyle w:val="Heading1"/>
      </w:pPr>
      <w:r>
        <w:t>Cláusula décima sétima da propriedade e reversibilidade</w:t>
      </w:r>
    </w:p>
    <w:p>
      <w:r>
        <w:t>Dados, registros assistenciais e relatórios produzidos no âmbito da missão pertencem ou ficam sob governança da SES MT conforme sua natureza. Ao encerramento, a contratada entregará exportação em formato aberto, documentação, credenciais institucionais e comprovação de eliminação de cópias quando determinada.</w:t>
      </w:r>
    </w:p>
    <w:p>
      <w:pPr>
        <w:pStyle w:val="Heading1"/>
      </w:pPr>
      <w:r>
        <w:t>Cláusula décima oitava da subcontratação</w:t>
      </w:r>
    </w:p>
    <w:p>
      <w:r>
        <w:t>É vedada a subcontratação total. Poderão ser subcontratadas parcelas especializadas autorizadas, sem transferência da responsabilidade. O limite e as parcelas serão [A DEFINIR]. Subcontratados estarão sujeitos às mesmas regras de segurança, dados, auditoria e integridade.</w:t>
      </w:r>
    </w:p>
    <w:p>
      <w:pPr>
        <w:pStyle w:val="Heading1"/>
      </w:pPr>
      <w:r>
        <w:t>Cláusula décima nona da matriz de riscos</w:t>
      </w:r>
    </w:p>
    <w:p>
      <w:r>
        <w:t>A matriz anexa define riscos, impactos, parte responsável, mitigação, comunicação e efeitos no prazo e preço. Caso fortuito e força maior serão avaliados segundo causalidade, prevenção, mitigação e alocação contratual.</w:t>
      </w:r>
    </w:p>
    <w:p>
      <w:pPr>
        <w:pStyle w:val="Heading1"/>
      </w:pPr>
      <w:r>
        <w:t>Cláusula vigésima das alterações</w:t>
      </w:r>
    </w:p>
    <w:p>
      <w:r>
        <w:t>Alterações observarão a Lei nº 14.133/2021, a justificativa, os limites e a preservação do equilíbrio. Ordens de missão não poderão ampliar o objeto sem cobertura contratual e orçamentária.</w:t>
      </w:r>
    </w:p>
    <w:p>
      <w:pPr>
        <w:pStyle w:val="Heading1"/>
      </w:pPr>
      <w:r>
        <w:t>Cláusula vigésima primeira das sanções</w:t>
      </w:r>
    </w:p>
    <w:p>
      <w:r>
        <w:t>As infrações e sanções obedecerão ao Edital, à Lei e à regulamentação estadual, com contraditório e ampla defesa. As multas terão bases proporcionais à obrigação afetada e limites definidos no anexo de dosimetria.</w:t>
      </w:r>
    </w:p>
    <w:p>
      <w:pPr>
        <w:pStyle w:val="Heading1"/>
      </w:pPr>
      <w:r>
        <w:t>Cláusula vigésima segunda da extinção</w:t>
      </w:r>
    </w:p>
    <w:p>
      <w:r>
        <w:t>A extinção ocorrerá nas hipóteses legais e contratuais. A contratada manterá continuidade segura e apoiará transição, desmobilização e entrega de dados. A Administração pagará apenas parcelas aceitas, sem prejuízo de apurações.</w:t>
      </w:r>
    </w:p>
    <w:p>
      <w:pPr>
        <w:pStyle w:val="Heading1"/>
      </w:pPr>
      <w:r>
        <w:t>Cláusula vigésima terceira do recebimento e encerramento</w:t>
      </w:r>
    </w:p>
    <w:p>
      <w:r>
        <w:t>Haverá aceites do N0, de cada missão e do encerramento global. O recebimento não afasta vícios, garantias, responsabilização ou obrigações remanescentes.</w:t>
      </w:r>
    </w:p>
    <w:p>
      <w:pPr>
        <w:pStyle w:val="Heading1"/>
      </w:pPr>
      <w:r>
        <w:t>Cláusula vigésima quarta da integridade</w:t>
      </w:r>
    </w:p>
    <w:p>
      <w:r>
        <w:t>A contratada observará regras de integridade, conflito de interesses, anticorrupção, trabalho digno, acessibilidade, sustentabilidade e canais de denúncia aplicáveis.</w:t>
      </w:r>
    </w:p>
    <w:p>
      <w:pPr>
        <w:pStyle w:val="Heading1"/>
      </w:pPr>
      <w:r>
        <w:t>Cláusula vigésima quinta das comunicações e foro</w:t>
      </w:r>
    </w:p>
    <w:p>
      <w:r>
        <w:t>As comunicações ocorrerão por canais oficiais indicados pelas partes. Fica eleito o foro competente definido pela legislação e pelo modelo estadual, ressalvadas soluções administrativas e consensuais cabíveis.</w:t>
      </w:r>
    </w:p>
    <w:p>
      <w:pPr>
        <w:pStyle w:val="Heading1"/>
      </w:pPr>
      <w:r>
        <w:t>Assinaturas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Parte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Nome e função</w:t>
            </w:r>
          </w:p>
        </w:tc>
        <w:tc>
          <w:tcPr>
            <w:tcW w:type="dxa" w:w="3286"/>
            <w:shd w:fill="1F4E78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Assinatura e data</w:t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Contratante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[A DEFINIR]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center"/>
            </w:pPr>
            <w:r>
              <w:rPr>
                <w:sz w:val="16"/>
              </w:rPr>
              <w:t>Contratada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  <w:t>[A DEFINIR]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  <w:shd w:fill="F3F7FA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  <w:tr>
        <w:trPr/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sz w:val="16"/>
              </w:rPr>
              <w:t>Testemunha ou agente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  <w:t>[A DEFINIR CONFORME MODELO]</w:t>
            </w:r>
          </w:p>
        </w:tc>
        <w:tc>
          <w:tcPr>
            <w:tcW w:type="dxa" w:w="3286"/>
            <w:tcMar>
              <w:top w:w="100" w:type="dxa"/>
              <w:start w:w="115" w:type="dxa"/>
              <w:bottom w:w="100" w:type="dxa"/>
              <w:end w:w="11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sz w:val="16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t>Referências normativas e técnicas</w:t>
      </w:r>
    </w:p>
    <w:p>
      <w:pPr>
        <w:pStyle w:val="ListBullet"/>
        <w:ind w:left="340" w:hanging="142"/>
      </w:pPr>
      <w:r>
        <w:t>Brasil. Lei nº 14.133, de 1º de abril de 2021. Lei de Licitações e Contratos Administrativos. https://www.planalto.gov.br/ccivil_03/_ato2019-2022/2021/lei/l14133.htm</w:t>
      </w:r>
    </w:p>
    <w:p>
      <w:pPr>
        <w:pStyle w:val="ListBullet"/>
        <w:ind w:left="340" w:hanging="142"/>
      </w:pPr>
      <w:r>
        <w:t>Mato Grosso. Decreto Estadual nº 1.525, de 23 de novembro de 2022. Regulamentação estadual da Lei nº 14.133/2021. https://aquisicoes.seplag.mt.gov.br/home/images/files/DecretoEstadual118022025155448.525</w:t>
      </w:r>
    </w:p>
    <w:p>
      <w:pPr>
        <w:pStyle w:val="ListBullet"/>
        <w:ind w:left="340" w:hanging="142"/>
      </w:pPr>
      <w:r>
        <w:t>Ministério da Saúde. Consulta Pública 2026 para Hospital de Campanha Modular e requisitos EMT Tipo 2. https://www.gov.br/saude/pt-br/acesso-a-informacao/participacao-social/consultas-publicas/2026/coleta-de-informacoes-para-formacao-de-precos-visando-atender-aos-requisitos-tecnicos-e-operacionais-aplicaveis-as-emt</w:t>
      </w:r>
    </w:p>
    <w:p>
      <w:pPr>
        <w:pStyle w:val="ListBullet"/>
        <w:ind w:left="340" w:hanging="142"/>
      </w:pPr>
      <w:r>
        <w:t>World Health Organization. Classification and minimum standards for emergency medical teams. Second edition. https://www.who.int/publications/i/item/9789240029330</w:t>
      </w:r>
    </w:p>
    <w:p>
      <w:pPr>
        <w:pStyle w:val="ListBullet"/>
        <w:ind w:left="340" w:hanging="142"/>
      </w:pPr>
      <w:r>
        <w:t>ANVISA. RDC nº 50/2002, RDC nº 63/2011 e RDC nº 222/2018, em suas versões vigentes.</w:t>
      </w:r>
    </w:p>
    <w:p>
      <w:pPr>
        <w:pStyle w:val="ListBullet"/>
        <w:ind w:left="340" w:hanging="142"/>
      </w:pPr>
      <w:r>
        <w:t>Ministério do Trabalho e Emprego. NR 32, Segurança e Saúde no Trabalho em Serviços de Saúde, em sua versão vigente.</w:t>
      </w:r>
    </w:p>
    <w:p>
      <w:r>
        <w:br w:type="page"/>
      </w:r>
    </w:p>
    <w:p>
      <w:pPr>
        <w:pStyle w:val="Heading1"/>
      </w:pPr>
      <w:r>
        <w:t>Complementação técnica e normativa — revisão 2.1</w:t>
      </w:r>
    </w:p>
    <w:p>
      <w:r>
        <w:t>Integra esta minuta como requisito de revisão. As escolhas propostas dependem de validação institucional; as referências não equivalem a aprovação da contratação.</w:t>
      </w:r>
    </w:p>
    <w:p>
      <w:pPr>
        <w:pStyle w:val="Heading2"/>
      </w:pPr>
      <w:r>
        <w:t>1. Fundamentos e limites de aplicação</w:t>
      </w:r>
    </w:p>
    <w:p>
      <w:r>
        <w:t>A Lei nº 14.133/2021 orienta planejamento (art. 18), estimativa de preços (art. 23), parcelamento de compras e serviços (arts. 40 e 47), cláusulas contratuais (art. 92), fiscalização (art. 117) e recebimento (art. 140). Aplicam-se o Decreto Estadual nº 1.525/2022 e alterações, com conferência da consolidação pela área jurídica. A inclusão no PCA deve observar os atos estaduais pertinentes, inclusive IN nº 002/2025/SEPLAG e sua alteração pela IN nº 003/2026/SEPLAG. A escolha de prontidão remunerada exige motivação própria; nenhuma dessas referências, isoladamente, aprova preço, modalidade, lote único ou contratação direta.</w:t>
      </w:r>
    </w:p>
    <w:p>
      <w:pPr>
        <w:pStyle w:val="Heading2"/>
      </w:pPr>
      <w:r>
        <w:t>4. Prontidão verificável e manutenção</w:t>
      </w:r>
    </w:p>
    <w:p>
      <w:r>
        <w:t>O aceite inicial do N0 exige inventário identificável, localização dos bens, estado de conservação, testes funcionais, plano de manutenção, capacidade de mobilização e responsáveis. Mensalmente, a empresa entregará posição do inventário, intervenções previstas e realizadas, falhas, substituições, reservas e evidência da capacidade garantida. A empresa executa e custeia manutenção preventiva e corretiva ordinária, calibração aplicável, peças e testes, inclusive sem missões, em preços já contratados. Definir contratualmente capacidade reservada, exclusividade ou compartilhamento admitido e resposta a missões simultâneas; não remunerar como exclusiva uma capacidade comprometida com terceiros. A RDC nº 509/2021 sustenta plano, registros e rastreabilidade; terceirizar a gestão não elimina a responsabilidade sanitária do estabelecimento.</w:t>
      </w:r>
    </w:p>
    <w:p>
      <w:pPr>
        <w:pStyle w:val="Heading2"/>
      </w:pPr>
      <w:r>
        <w:t>5. Dossiê de decisão e limites da OA</w:t>
      </w:r>
    </w:p>
    <w:p>
      <w:r>
        <w:t>O dossiê para o Secretário reunirá nota técnica assinada, evento e território, risco e cenários, insuficiência da rede, alternativas examinadas, configuração, dependências, cronograma, custo estimado, saldo contratual e disponibilidade orçamentária, além de recomendação de início, revisão e término. A decisão do Secretário e seus condicionantes serão anexados à OA identificada e datada. A formalização institucional dessa competência integra as providências prévias. A OA executa o objeto contratado e não substitui licitação, empenho, aditivo ou licença quando exigidos. Registrar reavaliações sempre que mudarem demanda, risco, acesso ou capacidade local.</w:t>
      </w:r>
    </w:p>
    <w:p>
      <w:pPr>
        <w:pStyle w:val="Heading2"/>
      </w:pPr>
      <w:r>
        <w:t>7. Formação de preços, medição e vedação à duplicidade</w:t>
      </w:r>
    </w:p>
    <w:p>
      <w:r>
        <w:t>A pesquisa de mercado deverá solicitar composição homogênea para N0, dez leitos, laboratório, medicamentos e missão combinada, incluindo distâncias e durações comparáveis. Separar reserva de estoque, aquisição, consumo e reposição; esclarecer titularidade e destino dos saldos. O mapa de custos indicará o que cada preço inclui. Na medição mensal, conciliar OA, boletim de execução, inventário, aceite, nota fiscal e histórico de pagamentos. Suporte compartilhado e manutenção ordinária não geram cobrança duplicada. Para insumos pagos por unidade entregue e aceita, não cobrar novamente reposição da mesma entrega. A continuidade do N0 durante a missão depende das obrigações que permanecem e da segregação de custos.</w:t>
      </w:r>
    </w:p>
    <w:p>
      <w:pPr>
        <w:pStyle w:val="Heading2"/>
      </w:pPr>
      <w:r>
        <w:t>8. Indicadores e tratamento da indisponibilidade</w:t>
      </w:r>
    </w:p>
    <w:p>
      <w:r>
        <w:t>Proposta de indicadores: disponibilidade por componente = horas de capacidade disponível e comprovada / horas de capacidade contratada; manutenção preventiva no prazo = intervenções concluídas no prazo / intervenções devidas; entrega conforme = unidades aceitas / unidades entregues. Denominador zero será registrado como não aplicável. Registrar também tempo da OA ao recebimento, tempo até liberação e falhas críticas. Metas, janelas de apuração, tolerâncias, substituição e regra proporcional de medição devem ser validadas antes do edital. Não fixar percentuais de glosa arbitrários nem confundir redução por serviço não prestado com sanção administrativa. Impedimentos atribuíveis à SES ou a terceiros serão registrados e tratados conforme matriz de riscos.</w:t>
      </w:r>
    </w:p>
    <w:p>
      <w:pPr>
        <w:pStyle w:val="Heading2"/>
      </w:pPr>
      <w:r>
        <w:t>9. Matriz de riscos e continuidade</w:t>
      </w:r>
    </w:p>
    <w:p>
      <w:r>
        <w:t>Atribuir à empresa falha ordinária de equipamento, manutenção vencida, conservação inadequada e perda por vencimento sob sua gestão; prever substituição e recomposição sem preço adicional ordinário. Identificar separadamente acesso bloqueado, sítio inadequado, falha de utilidades locais, demanda simultânea e atraso de licença, com responsável, prevenção, contingência, evidência e consequência contratual. A imputação dependerá da causa documentada e da alocação pactuada. Para assistência, prever referência e transporte seguro de pacientes; para laboratório, rede de apoio; para medicamentos, fornecedor e rota alternativos autorizados. O encerramento exige transferência assistencial, reconciliação de estoques e liberação do sítio.</w:t>
      </w:r>
    </w:p>
    <w:p>
      <w:pPr>
        <w:pStyle w:val="Heading2"/>
      </w:pPr>
      <w:r>
        <w:t>10. Recebimento e responsabilidades</w:t>
      </w:r>
    </w:p>
    <w:p>
      <w:r>
        <w:t>Distinguir aceite inicial e mensal da prontidão, liberação para funcionamento e recebimento de produtos. Fiscal técnico verifica execução; gestor coordena providências; área demandante fundamenta necessidade; assistência farmacêutica valida medicamentos; engenharia clínica valida equipamentos; autoridade sanitária atua em sua competência. As designações precisam ser formalizadas. Para módulo assistencial, anexar testes, registros profissionais, equipe, fluxos e licenças aplicáveis antes da abertura. Para fornecimento isolado, usar termo de recebimento por item e registrar recusas. Não considerar o silêncio da fiscalização como aceite.</w:t>
      </w:r>
    </w:p>
    <w:p>
      <w:pPr>
        <w:pStyle w:val="Heading2"/>
      </w:pPr>
      <w:r>
        <w:t>11. Condições para concluir a versão de edital</w:t>
      </w:r>
    </w:p>
    <w:p>
      <w:r>
        <w:t>Permanecem pendentes de decisão institucional: solução e parcelamento, modalidade e critério de julgamento, catálogo e limites, quantitativos sustentados por dados, preços pesquisados, reserva orçamentária, SLAs, matriz de riscos, licenciamento e ato de competência. Menções anteriores a modalidade, técnica e preço, faixas de leitos, prazos ou percentuais são propostas a harmonizar na versão final. Não declarar a contratação aprovada ou pronta para publicação antes dessas validações. As diretrizes OMS para equipes médicas de emergência são referência técnica complementar; N0–N4 é classificação interna do projeto e não representa classificação ou certificação OMS.</w:t>
      </w:r>
    </w:p>
    <w:p>
      <w:pPr>
        <w:pStyle w:val="Heading2"/>
      </w:pPr>
      <w:r>
        <w:t>Referências da complementação</w:t>
      </w:r>
    </w:p>
    <w:p>
      <w:r>
        <w:t>Brasil. Lei nº 14.133, de 1º de abril de 2021. Texto compilado. Disponível em: https://www.planalto.gov.br/ccivil_03/_ato2019-2022/2021/lei/l14133.htm. Acesso em: 28 set. 2026.</w:t>
      </w:r>
    </w:p>
    <w:p>
      <w:r>
        <w:t>Mato Grosso. SEPLAG. Portal de Aquisições Governamentais: legislação e atos do PCA. Disponível em: https://aquisicoes.seplag.mt.gov.br/home/index.php?c=4&amp;pg=ver. Acesso em: 28 set. 2026.</w:t>
      </w:r>
    </w:p>
    <w:p>
      <w:r>
        <w:t>Anvisa. RDC nº 509, de 27 de maio de 2021. Gerenciamento de tecnologias em saúde. Disponível em: https://bvsms.saude.gov.br/bvs/saudelegis/anvisa/2020/rdc0509_27_05_2021.pdf. Acesso em: 28 set. 2026.</w:t>
      </w:r>
    </w:p>
    <w:p>
      <w:r>
        <w:t>Anvisa. Agenda de ARR 2023–2026: RDC nº 978/2025, alterada pela RDC nº 986/2025. Disponível em: https://www.gov.br/anvisa/pt-br/assuntos/regulamentacao/avaliacao-do-resultado-regulatorio/agenda-de-arr-2023-2026. Acesso em: 28 set. 2026.</w:t>
      </w:r>
    </w:p>
    <w:p>
      <w:r>
        <w:t>Anvisa. Perguntas e respostas sobre a RDC nº 430/2020. Atualização de novembro de 2022. Disponível em: https://www.gov.br/anvisa/pt-br/centraisdeconteudo/publicacoes/certificacao-e-fiscalizacao/perguntas-e-respostas/perguntas-e-respostas-rdc-430-de-2020.pdf. Acesso em: 28 set. 2026.</w:t>
      </w:r>
    </w:p>
    <w:p>
      <w:r>
        <w:t>World Health Organization. Classification and minimum standards for emergency medical teams. Geneva: WHO, 2021. Disponível em: https://extranet.who.int/emt/sites/default/files/BlueBook2021.pdf. Acesso em: 28 set.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020" w:left="1247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Revisão técnica UHMR" w:initials="UHMR" w:date="2026-09-28T20:44:19Z">
    <w:p>
      <w:pPr>
        <w:pStyle w:val="CommentText"/>
      </w:pPr>
      <w:r>
        <w:rPr>
          <w:rStyle w:val="CommentReference"/>
        </w:rPr>
        <w:annotationRef/>
      </w:r>
      <w:r>
        <w:t>Revisão decorrente das premissas definidas em 28/09/2026: N0 remunerado, módulos independentes, manutenção pela empresa, medicamentos isolados e autorização do Secretário com análise de risco e cenários. Pendente de validação institucional.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66666"/>
        <w:sz w:val="16"/>
      </w:rPr>
      <w:t xml:space="preserve">Revisão 2.1  28/09/2026   </w:t>
    </w:r>
    <w:r>
      <w:rPr>
        <w:sz w:val="16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666666"/>
        <w:sz w:val="16"/>
      </w:rPr>
      <w:t>SES MT   UHMR   MINUTA CONTRATUAL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rial" w:hAnsi="Arial"/>
      <w:b w:val="0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Contrato Administrativo UHMR</dc:title>
  <dc:subject>Cláusulas técnicas e administrativas para contratação da UHMR</dc:subject>
  <dc:creator>Secretaria de Estado de Saúde de Mato Grosso</dc:creator>
  <cp:keywords>UHMR, emergência, hospital modular, SES MT, contratação pública</cp:keywords>
  <dc:description>Revisão 2.1: prontidão N0 remunerada, configuração independente, manutenção pela contratada, medicamentos isolados e autorização do Secretário.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