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b/>
          <w:sz w:val="24"/>
        </w:rPr>
        <w:t>GOVERNO DO ESTADO DE MATO GROSSO</w:t>
      </w:r>
    </w:p>
    <w:p>
      <w:pPr>
        <w:jc w:val="center"/>
      </w:pPr>
      <w:r>
        <w:rPr>
          <w:b/>
          <w:sz w:val="22"/>
        </w:rPr>
        <w:t>SECRETARIA DE ESTADO DE SAÚDE</w:t>
      </w:r>
    </w:p>
    <w:p>
      <w:pPr>
        <w:pStyle w:val="Title"/>
        <w:spacing w:before="1100"/>
        <w:jc w:val="center"/>
      </w:pPr>
      <w:r>
        <w:t>Pacote de Planejamento da Contratação</w:t>
      </w:r>
    </w:p>
    <w:p>
      <w:pPr>
        <w:pStyle w:val="Subtitle"/>
        <w:jc w:val="center"/>
      </w:pPr>
      <w:r>
        <w:t>Unidade Hospitalar Modular de Resposta a Emergências</w:t>
      </w:r>
    </w:p>
    <w:p>
      <w:pPr>
        <w:spacing w:before="480"/>
        <w:jc w:val="center"/>
      </w:pPr>
      <w:r>
        <w:rPr>
          <w:b/>
          <w:color w:val="C00000"/>
          <w:sz w:val="20"/>
        </w:rPr>
        <w:t>Documento de orientação do processo administrativo</w:t>
      </w:r>
    </w:p>
    <w:p>
      <w:pPr>
        <w:spacing w:before="1400"/>
        <w:jc w:val="center"/>
      </w:pPr>
      <w:r>
        <w:rPr>
          <w:sz w:val="20"/>
        </w:rPr>
        <w:t>Cuiabá MT</w:t>
        <w:br/>
        <w:t>17 de setembro de 2026</w:t>
      </w:r>
    </w:p>
    <w:p>
      <w:r>
        <w:br w:type="page"/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Informação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Objeto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Solução integrada e escalonável de UHMR para o Estado de Mato Grosso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7"/>
              </w:rPr>
              <w:t>Finalidade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7"/>
              </w:rPr>
              <w:t>Organizar as peças técnicas, administrativas e operacionais para instrução da contratação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Situação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Pacote técnico preliminar sujeito a validações, orçamento e decisão jurídica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7"/>
              </w:rPr>
              <w:t>Versão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7"/>
              </w:rPr>
              <w:t>1.0 de 17/09/2026</w:t>
            </w:r>
          </w:p>
        </w:tc>
      </w:tr>
    </w:tbl>
    <w:p>
      <w:pPr>
        <w:spacing w:after="0"/>
      </w:pPr>
    </w:p>
    <w:p>
      <w:pPr>
        <w:pStyle w:val="Heading1"/>
      </w:pPr>
      <w:r>
        <w:t>1. Decisão proposta</w:t>
      </w:r>
    </w:p>
    <w:p>
      <w:r>
        <w:t>Estruturar a contratação como capacidade estadual de prontidão e resposta, medida por níveis N0 a N4. O contrato deve permitir ativação progressiva, preços unitários por componente e responsabilidade integrada pelo desempenho, sem obrigar a SES MT a pagar permanentemente pela maior configuração.</w:t>
      </w:r>
    </w:p>
    <w:p>
      <w:r>
        <w:t>O pacote não fixa modalidade, critério de julgamento, parcelamento ou regime de execução. Essas decisões dependem da classificação do objeto, da consulta ao mercado, do orçamento e da manifestação da PGE MT.</w:t>
      </w:r>
    </w:p>
    <w:p>
      <w:pPr>
        <w:pStyle w:val="Heading1"/>
      </w:pPr>
      <w:r>
        <w:t>2. Composição do pacote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465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465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Documento</w:t>
            </w:r>
          </w:p>
        </w:tc>
        <w:tc>
          <w:tcPr>
            <w:tcW w:type="dxa" w:w="2465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Função</w:t>
            </w:r>
          </w:p>
        </w:tc>
        <w:tc>
          <w:tcPr>
            <w:tcW w:type="dxa" w:w="2465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Situação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00</w:t>
            </w:r>
          </w:p>
        </w:tc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Índice e guia de uso</w:t>
            </w:r>
          </w:p>
        </w:tc>
        <w:tc>
          <w:tcPr>
            <w:tcW w:type="dxa" w:w="396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Orienta a tramitação e controla pendências</w:t>
            </w:r>
          </w:p>
        </w:tc>
        <w:tc>
          <w:tcPr>
            <w:tcW w:type="dxa" w:w="198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Concluído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01</w:t>
            </w:r>
          </w:p>
        </w:tc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Estudo Técnico Preliminar</w:t>
            </w:r>
          </w:p>
        </w:tc>
        <w:tc>
          <w:tcPr>
            <w:tcW w:type="dxa" w:w="396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Fundamenta a necessidade e a solução</w:t>
            </w:r>
          </w:p>
        </w:tc>
        <w:tc>
          <w:tcPr>
            <w:tcW w:type="dxa" w:w="198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Consolidado; atualizar dados internos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02</w:t>
            </w:r>
          </w:p>
        </w:tc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Termo de Referência e anexos</w:t>
            </w:r>
          </w:p>
        </w:tc>
        <w:tc>
          <w:tcPr>
            <w:tcW w:type="dxa" w:w="396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Define requisitos, execução, medição e seleção</w:t>
            </w:r>
          </w:p>
        </w:tc>
        <w:tc>
          <w:tcPr>
            <w:tcW w:type="dxa" w:w="198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Minuta completa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03</w:t>
            </w:r>
          </w:p>
        </w:tc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Minuta de edital</w:t>
            </w:r>
          </w:p>
        </w:tc>
        <w:tc>
          <w:tcPr>
            <w:tcW w:type="dxa" w:w="396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Estrutura o procedimento licitatório</w:t>
            </w:r>
          </w:p>
        </w:tc>
        <w:tc>
          <w:tcPr>
            <w:tcW w:type="dxa" w:w="198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Revisada; migrar ao modelo oficial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04</w:t>
            </w:r>
          </w:p>
        </w:tc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Minuta contratual</w:t>
            </w:r>
          </w:p>
        </w:tc>
        <w:tc>
          <w:tcPr>
            <w:tcW w:type="dxa" w:w="396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Disciplina execução, riscos e pagamentos</w:t>
            </w:r>
          </w:p>
        </w:tc>
        <w:tc>
          <w:tcPr>
            <w:tcW w:type="dxa" w:w="198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Minuta técnica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05</w:t>
            </w:r>
          </w:p>
        </w:tc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Planilha de dimensionamento e custos</w:t>
            </w:r>
          </w:p>
        </w:tc>
        <w:tc>
          <w:tcPr>
            <w:tcW w:type="dxa" w:w="396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Calcula cenários, preços, equipes, SLA e pendências</w:t>
            </w:r>
          </w:p>
        </w:tc>
        <w:tc>
          <w:tcPr>
            <w:tcW w:type="dxa" w:w="198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Modelo editável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06</w:t>
            </w:r>
          </w:p>
        </w:tc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Caderno operacional</w:t>
            </w:r>
          </w:p>
        </w:tc>
        <w:tc>
          <w:tcPr>
            <w:tcW w:type="dxa" w:w="396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Padroniza acionamento, SAT, TLO, missão e AAR</w:t>
            </w:r>
          </w:p>
        </w:tc>
        <w:tc>
          <w:tcPr>
            <w:tcW w:type="dxa" w:w="198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Formulários prontos</w:t>
            </w:r>
          </w:p>
        </w:tc>
      </w:tr>
    </w:tbl>
    <w:p>
      <w:pPr>
        <w:spacing w:after="0"/>
      </w:pPr>
    </w:p>
    <w:p>
      <w:pPr>
        <w:pStyle w:val="Heading1"/>
      </w:pPr>
      <w:r>
        <w:t>3. Níveis de resposta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Nível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Denominação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Capacidade indicativa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Escopo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Meta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N0</w:t>
            </w:r>
          </w:p>
        </w:tc>
        <w:tc>
          <w:tcPr>
            <w:tcW w:type="dxa" w:w="141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Prontidão</w:t>
            </w:r>
          </w:p>
        </w:tc>
        <w:tc>
          <w:tcPr>
            <w:tcW w:type="dxa" w:w="226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Sem emergência ativa</w:t>
            </w:r>
          </w:p>
        </w:tc>
        <w:tc>
          <w:tcPr>
            <w:tcW w:type="dxa" w:w="379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Armazenagem, inventário, testes, manutenção, capacitação e simulação</w:t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Permanente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N1</w:t>
            </w:r>
          </w:p>
        </w:tc>
        <w:tc>
          <w:tcPr>
            <w:tcW w:type="dxa" w:w="141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Resposta rápida</w:t>
            </w:r>
          </w:p>
        </w:tc>
        <w:tc>
          <w:tcPr>
            <w:tcW w:type="dxa" w:w="226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2 a 4 posições críticas e 6 a 12 de observação</w:t>
            </w:r>
          </w:p>
        </w:tc>
        <w:tc>
          <w:tcPr>
            <w:tcW w:type="dxa" w:w="379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Comando, triagem, estabilização, consultas, farmácia e diagnóstico rápido</w:t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6 a 12 h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N2</w:t>
            </w:r>
          </w:p>
        </w:tc>
        <w:tc>
          <w:tcPr>
            <w:tcW w:type="dxa" w:w="141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Assistência ampliada</w:t>
            </w:r>
          </w:p>
        </w:tc>
        <w:tc>
          <w:tcPr>
            <w:tcW w:type="dxa" w:w="226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12 a 20 leitos e 4 posições críticas</w:t>
            </w:r>
          </w:p>
        </w:tc>
        <w:tc>
          <w:tcPr>
            <w:tcW w:type="dxa" w:w="379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N1, internação, laboratório, imagem básica e isolamento acionável</w:t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Até 18 h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N3</w:t>
            </w:r>
          </w:p>
        </w:tc>
        <w:tc>
          <w:tcPr>
            <w:tcW w:type="dxa" w:w="141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Hospital modular</w:t>
            </w:r>
          </w:p>
        </w:tc>
        <w:tc>
          <w:tcPr>
            <w:tcW w:type="dxa" w:w="226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18 a 30 leitos, 4 posições críticas e 1 sala cirúrgica</w:t>
            </w:r>
          </w:p>
        </w:tc>
        <w:tc>
          <w:tcPr>
            <w:tcW w:type="dxa" w:w="379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Referência funcional EMT Tipo 2, CME, imagem, POC e WASH</w:t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Até 24 h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N4</w:t>
            </w:r>
          </w:p>
        </w:tc>
        <w:tc>
          <w:tcPr>
            <w:tcW w:type="dxa" w:w="141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Expansão</w:t>
            </w:r>
          </w:p>
        </w:tc>
        <w:tc>
          <w:tcPr>
            <w:tcW w:type="dxa" w:w="226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Total de 40 a 100 leitos, conforme configuração</w:t>
            </w:r>
          </w:p>
        </w:tc>
        <w:tc>
          <w:tcPr>
            <w:tcW w:type="dxa" w:w="379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N3, expansão de leitos, segunda sala, cuidados intensivos e especialidades</w:t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36 a 48 h</w:t>
            </w:r>
          </w:p>
        </w:tc>
      </w:tr>
    </w:tbl>
    <w:p>
      <w:pPr>
        <w:spacing w:after="0"/>
      </w:pPr>
    </w:p>
    <w:p>
      <w:pPr>
        <w:pStyle w:val="Heading1"/>
      </w:pPr>
      <w:r>
        <w:t>4. Sequência de instrução</w:t>
      </w:r>
    </w:p>
    <w:p>
      <w:pPr>
        <w:pStyle w:val="ListNumber"/>
        <w:ind w:left="397" w:hanging="159"/>
      </w:pPr>
      <w:r>
        <w:t>Validar a necessidade e a governança da UHMR na SES MT.</w:t>
      </w:r>
    </w:p>
    <w:p>
      <w:pPr>
        <w:pStyle w:val="ListNumber"/>
        <w:ind w:left="397" w:hanging="159"/>
      </w:pPr>
      <w:r>
        <w:t>Consolidar dados estaduais e memória de dimensionamento no ETP.</w:t>
      </w:r>
    </w:p>
    <w:p>
      <w:pPr>
        <w:pStyle w:val="ListNumber"/>
        <w:ind w:left="397" w:hanging="159"/>
      </w:pPr>
      <w:r>
        <w:t>Realizar consulta estruturada ao mercado e registrar capacidade, prazos, cubagem e preços.</w:t>
      </w:r>
    </w:p>
    <w:p>
      <w:pPr>
        <w:pStyle w:val="ListNumber"/>
        <w:ind w:left="397" w:hanging="159"/>
      </w:pPr>
      <w:r>
        <w:t>Decidir parcelamento, integração, consórcios, subcontratação e inclusão de equipes assistenciais.</w:t>
      </w:r>
    </w:p>
    <w:p>
      <w:pPr>
        <w:pStyle w:val="ListNumber"/>
        <w:ind w:left="397" w:hanging="159"/>
      </w:pPr>
      <w:r>
        <w:t>Classificar o objeto e definir modalidade, critério de julgamento e regime de execução.</w:t>
      </w:r>
    </w:p>
    <w:p>
      <w:pPr>
        <w:pStyle w:val="ListNumber"/>
        <w:ind w:left="397" w:hanging="159"/>
      </w:pPr>
      <w:r>
        <w:t>Completar orçamento, dotação, quantitativos, índices, garantias, multas e glosas.</w:t>
      </w:r>
    </w:p>
    <w:p>
      <w:pPr>
        <w:pStyle w:val="ListNumber"/>
        <w:ind w:left="397" w:hanging="159"/>
      </w:pPr>
      <w:r>
        <w:t>Revisar TR, edital e contrato no modelo vigente da PGE MT e SEPLAG MT.</w:t>
      </w:r>
    </w:p>
    <w:p>
      <w:pPr>
        <w:pStyle w:val="ListNumber"/>
        <w:ind w:left="397" w:hanging="159"/>
      </w:pPr>
      <w:r>
        <w:t>Submeter a controle interno, parecer jurídico e aprovação da autoridade competente.</w:t>
      </w:r>
    </w:p>
    <w:p>
      <w:pPr>
        <w:pStyle w:val="ListNumber"/>
        <w:ind w:left="397" w:hanging="159"/>
      </w:pPr>
      <w:r>
        <w:t>Publicar, conduzir prova de conceito quando cabível e formalizar a contratação.</w:t>
      </w:r>
    </w:p>
    <w:p>
      <w:pPr>
        <w:pStyle w:val="ListNumber"/>
        <w:ind w:left="397" w:hanging="159"/>
      </w:pPr>
      <w:r>
        <w:t>Implantar N0, realizar teste de aceitação e exercício completo antes do aceite definitivo.</w:t>
      </w:r>
    </w:p>
    <w:p>
      <w:pPr>
        <w:pStyle w:val="Heading1"/>
      </w:pPr>
      <w:r>
        <w:t>5. Decisões que não podem ser presumidas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Tema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Pergunta de decisão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Evidência necessária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Objeto comum ou especial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Os requisitos podem ser definidos por padrões objetivos usuais?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Nota de classificação e estudo de mercado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Técnica e preço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 qualidade acima do mínimo produz vantagem relevante e mensurável?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ETP, critérios objetivos e teste de sensibilidade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Lote único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 integração supera a perda potencial de competição?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Análise de parcelamento e riscos de interface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Base logística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É necessária localização específica ou basta SLA de mobilização?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Rotas, tempos, mercado e custo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Equipes clínicas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Integram o contrato ou serão mobilizadas pela rede estadual?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Plano assistencial e dimensionamento profissional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Disponibilidade exclusiva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Quais ativos precisam permanecer reservados à SES MT?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Frequência de acionamento, mercado e preço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UTI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O N4 terá UTI completa ou apenas posições críticas ampliadas?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Perfil de risco, retaguarda e requisitos sanitários</w:t>
            </w:r>
          </w:p>
        </w:tc>
      </w:tr>
    </w:tbl>
    <w:p>
      <w:pPr>
        <w:spacing w:after="0"/>
      </w:pPr>
    </w:p>
    <w:p>
      <w:pPr>
        <w:pStyle w:val="Heading1"/>
      </w:pPr>
      <w:r>
        <w:t>6. Dados estaduais a incorporar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Bloco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Dados mínimos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Fontes internas sugeridas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Emergências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Eventos, município, período, duração, pessoas afetadas, unidades atingidas, recursos e custo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CIEVS, COES, Defesa Civil, VIGIDESASTRES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Rede assistencial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Leitos, leitos críticos, ocupação, bloqueios, capacidade residual e referências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Monitora Hospitalar, CNES, IndicaSUS, SIH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Regulação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Fila, tempo de espera, transferências, distância e destino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SISREG e regulação estadual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Clima e ambiente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Incêndio, fumaça, calor, seca, inundação e acessibilidade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ARARAS MT, TITAN INMET, Defesa Civil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Epidemiologia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Surtos, SRAG, arboviroses, diarreias, intoxicações e demanda adicional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SINAN, SIVEP Gripe, GAL, SIM e CIEVS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Logística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Rotas, sazonalidade, tempo de viagem, pontes, aeródromos e comunicação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SESP, Defesa Civil, infraestrutura e telecomunicações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Custos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Contratos, locações, diárias, combustível, frete, manutenção e consumo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SIAG, contratos SES MT e pesquisa de mercado</w:t>
            </w:r>
          </w:p>
        </w:tc>
      </w:tr>
    </w:tbl>
    <w:p>
      <w:pPr>
        <w:spacing w:after="0"/>
      </w:pPr>
    </w:p>
    <w:p>
      <w:pPr>
        <w:pStyle w:val="Heading1"/>
      </w:pPr>
      <w:r>
        <w:t>7. Controle de versões e aprovações</w:t>
      </w:r>
    </w:p>
    <w:p>
      <w:r>
        <w:t>Cada peça deverá conter número de versão, data, responsável pela elaboração, responsáveis pela validação e registro das alterações. A aprovação de uma peça não corrige automaticamente divergências em outra; antes da publicação deve ser executada revisão cruzada de objeto, quantitativos, prazos, preços, riscos e anexos.</w:t>
      </w:r>
    </w:p>
    <w:p>
      <w:pPr>
        <w:pStyle w:val="Heading1"/>
      </w:pPr>
      <w:r>
        <w:t>8. Resultado esperado do processo</w:t>
      </w:r>
    </w:p>
    <w:p>
      <w:r>
        <w:t>O processo estará pronto para publicação quando os campos materiais estiverem preenchidos por evidência, os anexos forem coerentes entre si, o orçamento estiver lastreado, a solução tiver sido testada com o mercado e a minuta estiver no padrão oficial validado pela PGE MT.</w:t>
      </w:r>
    </w:p>
    <w:p>
      <w:pPr>
        <w:pStyle w:val="Heading1"/>
      </w:pPr>
      <w:r>
        <w:t>Referências normativas e técnicas</w:t>
      </w:r>
    </w:p>
    <w:p>
      <w:pPr>
        <w:pStyle w:val="ListBullet"/>
        <w:ind w:left="340" w:hanging="142"/>
      </w:pPr>
      <w:r>
        <w:t>Brasil. Lei nº 14.133, de 1º de abril de 2021. Lei de Licitações e Contratos Administrativos. https://www.planalto.gov.br/ccivil_03/_ato2019-2022/2021/lei/l14133.htm</w:t>
      </w:r>
    </w:p>
    <w:p>
      <w:pPr>
        <w:pStyle w:val="ListBullet"/>
        <w:ind w:left="340" w:hanging="142"/>
      </w:pPr>
      <w:r>
        <w:t>Mato Grosso. Decreto Estadual nº 1.525, de 23 de novembro de 2022. Regulamentação estadual da Lei nº 14.133/2021. https://aquisicoes.seplag.mt.gov.br/home/images/files/DecretoEstadual118022025155448.525</w:t>
      </w:r>
    </w:p>
    <w:p>
      <w:pPr>
        <w:pStyle w:val="ListBullet"/>
        <w:ind w:left="340" w:hanging="142"/>
      </w:pPr>
      <w:r>
        <w:t>Ministério da Saúde. Consulta Pública 2026 para Hospital de Campanha Modular e requisitos EMT Tipo 2. https://www.gov.br/saude/pt-br/acesso-a-informacao/participacao-social/consultas-publicas/2026/coleta-de-informacoes-para-formacao-de-precos-visando-atender-aos-requisitos-tecnicos-e-operacionais-aplicaveis-as-emt</w:t>
      </w:r>
    </w:p>
    <w:p>
      <w:pPr>
        <w:pStyle w:val="ListBullet"/>
        <w:ind w:left="340" w:hanging="142"/>
      </w:pPr>
      <w:r>
        <w:t>World Health Organization. Classification and minimum standards for emergency medical teams. Second edition. https://www.who.int/publications/i/item/9789240029330</w:t>
      </w:r>
    </w:p>
    <w:p>
      <w:pPr>
        <w:pStyle w:val="ListBullet"/>
        <w:ind w:left="340" w:hanging="142"/>
      </w:pPr>
      <w:r>
        <w:t>ANVISA. RDC nº 50/2002, RDC nº 63/2011 e RDC nº 222/2018, em suas versões vigentes.</w:t>
      </w:r>
    </w:p>
    <w:p>
      <w:pPr>
        <w:pStyle w:val="ListBullet"/>
        <w:ind w:left="340" w:hanging="142"/>
      </w:pPr>
      <w:r>
        <w:t>Ministério do Trabalho e Emprego. NR 32, Segurança e Saúde no Trabalho em Serviços de Saúde, em sua versão vigente.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666"/>
        <w:sz w:val="16"/>
      </w:rPr>
      <w:t xml:space="preserve">Versão 1.0   17 09 2026   </w:t>
    </w:r>
    <w:r>
      <w:rPr>
        <w:sz w:val="16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66666"/>
        <w:sz w:val="16"/>
      </w:rPr>
      <w:t>SES MT   UHMR   GUIA DO PACOTE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  <w:jc w:val="both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Arial" w:hAnsi="Arial"/>
      <w:color w:val="666666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Pacote de Planejamento da Contratação UHMR</dc:title>
  <dc:subject>Índice, sequência de instrução e controle do pacote</dc:subject>
  <dc:creator>Secretaria de Estado de Saúde de Mato Grosso</dc:creator>
  <cp:keywords>UHMR, emergência, hospital modular, SES MT, contratação pública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