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1100"/>
        <w:jc w:val="center"/>
      </w:pPr>
      <w:r>
        <w:rPr>
          <w:b/>
          <w:color w:val="0B3A66"/>
          <w:sz w:val="26"/>
        </w:rPr>
        <w:t>GOVERNO DO ESTADO DE MATO GROSSO</w:t>
      </w:r>
    </w:p>
    <w:p>
      <w:pPr>
        <w:widowControl/>
        <w:jc w:val="center"/>
      </w:pPr>
      <w:r>
        <w:rPr>
          <w:b/>
          <w:color w:val="1F5D8F"/>
          <w:sz w:val="30"/>
        </w:rPr>
        <w:t>SECRETARIA DE ESTADO DE SAÚDE</w:t>
      </w:r>
    </w:p>
    <w:p>
      <w:pPr>
        <w:widowControl/>
        <w:spacing w:after="800"/>
      </w:pPr>
    </w:p>
    <w:p>
      <w:pPr>
        <w:pStyle w:val="Title"/>
        <w:widowControl/>
        <w:jc w:val="center"/>
      </w:pPr>
      <w:r>
        <w:t>ESTUDO TÉCNICO PRELIMINAR</w:t>
      </w:r>
    </w:p>
    <w:p>
      <w:pPr>
        <w:pStyle w:val="SubtitleCustom"/>
        <w:widowControl/>
      </w:pPr>
      <w:r>
        <w:t>Unidade Hospitalar Modular de Resposta a Emergências - UHMR</w:t>
      </w:r>
    </w:p>
    <w:p>
      <w:pPr>
        <w:pStyle w:val="SubtitleCustom"/>
        <w:widowControl/>
      </w:pPr>
      <w:r>
        <w:t>Versão consolidada para validação técnica e instrução do planejamento da contratação</w:t>
      </w:r>
    </w:p>
    <w:p>
      <w:pPr>
        <w:widowControl/>
        <w:spacing w:after="50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shd w:fill="0B3A6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Órgão</w:t>
            </w:r>
          </w:p>
        </w:tc>
        <w:tc>
          <w:tcPr>
            <w:tcW w:type="dxa" w:w="476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shd w:fill="0B3A6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Secretaria de Estado de Saúde de Mato Grosso - SES-MT</w:t>
            </w:r>
          </w:p>
        </w:tc>
      </w:tr>
      <w:tr>
        <w:trPr>
          <w:cantSplit/>
        </w:trPr>
        <w:tc>
          <w:tcPr>
            <w:tcW w:type="dxa" w:w="4762"/>
            <w:shd w:fill="DCEAF5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/>
                <w:color w:val="0B3A66"/>
                <w:sz w:val="18"/>
              </w:rPr>
              <w:t>Unidade requisitante</w:t>
            </w:r>
          </w:p>
        </w:tc>
        <w:tc>
          <w:tcPr>
            <w:tcW w:type="dxa" w:w="476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8"/>
              </w:rPr>
              <w:t>A ser formalmente indicada no processo administrativo</w:t>
            </w:r>
          </w:p>
        </w:tc>
      </w:tr>
      <w:tr>
        <w:trPr>
          <w:cantSplit/>
        </w:trPr>
        <w:tc>
          <w:tcPr>
            <w:tcW w:type="dxa" w:w="4762"/>
            <w:shd w:fill="DCEAF5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/>
                <w:color w:val="0B3A66"/>
                <w:sz w:val="18"/>
              </w:rPr>
              <w:t>Área técnica proponente</w:t>
            </w:r>
          </w:p>
        </w:tc>
        <w:tc>
          <w:tcPr>
            <w:tcW w:type="dxa" w:w="476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8"/>
              </w:rPr>
              <w:t>Equipe de Planejamento da Contratação a ser designada</w:t>
            </w:r>
          </w:p>
        </w:tc>
      </w:tr>
      <w:tr>
        <w:trPr>
          <w:cantSplit/>
        </w:trPr>
        <w:tc>
          <w:tcPr>
            <w:tcW w:type="dxa" w:w="4762"/>
            <w:shd w:fill="DCEAF5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/>
                <w:color w:val="0B3A66"/>
                <w:sz w:val="18"/>
              </w:rPr>
              <w:t>Abrangência</w:t>
            </w:r>
          </w:p>
        </w:tc>
        <w:tc>
          <w:tcPr>
            <w:tcW w:type="dxa" w:w="476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8"/>
              </w:rPr>
              <w:t>Todo o território do Estado de Mato Grosso</w:t>
            </w:r>
          </w:p>
        </w:tc>
      </w:tr>
      <w:tr>
        <w:trPr>
          <w:cantSplit/>
        </w:trPr>
        <w:tc>
          <w:tcPr>
            <w:tcW w:type="dxa" w:w="4762"/>
            <w:shd w:fill="DCEAF5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/>
                <w:color w:val="0B3A66"/>
                <w:sz w:val="18"/>
              </w:rPr>
              <w:t>Versão/data</w:t>
            </w:r>
          </w:p>
        </w:tc>
        <w:tc>
          <w:tcPr>
            <w:tcW w:type="dxa" w:w="476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Versão consolidada 1.1 - 16 de setembro de 2026</w:t>
            </w:r>
          </w:p>
        </w:tc>
      </w:tr>
    </w:tbl>
    <w:p>
      <w:pPr>
        <w:widowControl/>
        <w:spacing w:before="1200"/>
        <w:jc w:val="center"/>
      </w:pPr>
      <w:r>
        <w:t>Cuiabá - MT</w:t>
        <w:br/>
        <w:t>16 de setembro de 2026</w:t>
      </w: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</w:pPr>
      <w:r>
        <w:t>Nota de utilização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EEF5FA"/>
            <w:tcBorders>
              <w:top w:val="single" w:sz="10" w:space="0" w:color="0B3A66"/>
              <w:left w:val="single" w:sz="10" w:space="0" w:color="0B3A66"/>
              <w:bottom w:val="single" w:sz="10" w:space="0" w:color="0B3A66"/>
              <w:right w:val="single" w:sz="10" w:space="0" w:color="0B3A66"/>
              <w:insideH w:val="single" w:sz="10" w:space="0" w:color="0B3A66"/>
              <w:insideV w:val="single" w:sz="10" w:space="0" w:color="0B3A66"/>
            </w:tcBorders>
          </w:tcPr>
          <w:p>
            <w:pPr>
              <w:spacing w:after="80"/>
            </w:pPr>
            <w:r>
              <w:rPr>
                <w:b/>
                <w:color w:val="0B3A66"/>
                <w:sz w:val="21"/>
              </w:rPr>
              <w:t>Finalidade do documento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Este ETP organiza a necessidade, avalia alternativas e propõe a arquitetura inicial da contratação. Não substitui a designação formal da equipe de planejamento, a pesquisa de preços, os pareceres das áreas técnicas, a análise jurídica nem a aprovação da autoridade competente. Os quantitativos e parâmetros assinalados como indicativos deverão ser confirmados antes da elaboração do Termo de Referência.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Síntese da decisão recomendada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08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Tema</w:t>
            </w:r>
          </w:p>
        </w:tc>
        <w:tc>
          <w:tcPr>
            <w:tcW w:type="dxa" w:w="21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Recomendação preliminar</w:t>
            </w:r>
          </w:p>
        </w:tc>
        <w:tc>
          <w:tcPr>
            <w:tcW w:type="dxa" w:w="259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Justificativa</w:t>
            </w:r>
          </w:p>
        </w:tc>
      </w:tr>
      <w:tr>
        <w:trPr>
          <w:cantSplit/>
          <w:cantSplit/>
        </w:trPr>
        <w:tc>
          <w:tcPr>
            <w:tcW w:type="dxa" w:w="108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Objeto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Capacidade continuada de prontidão, mobilização, instalação, operação, manutenção e desmobilização de UHMR.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Contrata resultado operacional e disponibilidade, não apenas tendas e equipamentos.</w:t>
            </w:r>
          </w:p>
        </w:tc>
      </w:tr>
      <w:tr>
        <w:trPr>
          <w:cantSplit/>
          <w:cantSplit/>
        </w:trPr>
        <w:tc>
          <w:tcPr>
            <w:tcW w:type="dxa" w:w="108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Escalonamento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N0 a N4, com módulos acumulativos e ativação independente.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Permite adequar custo, prazo e capacidade à gravidade do evento.</w:t>
            </w:r>
          </w:p>
        </w:tc>
      </w:tr>
      <w:tr>
        <w:trPr>
          <w:cantSplit/>
          <w:cantSplit/>
        </w:trPr>
        <w:tc>
          <w:tcPr>
            <w:tcW w:type="dxa" w:w="108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Núcleo de referência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N3 com pelo menos 20 leitos de internação, até 30, quatro posições críticas e uma sala cirúrgica.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Mantém compatibilidade funcional com a classificação EMT Tipo 2 da OMS, sem exigir certificação internacional como condição automática.</w:t>
            </w:r>
          </w:p>
        </w:tc>
      </w:tr>
      <w:tr>
        <w:trPr>
          <w:cantSplit/>
          <w:cantSplit/>
        </w:trPr>
        <w:tc>
          <w:tcPr>
            <w:tcW w:type="dxa" w:w="108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Modelo de fornecimento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Integrador único para infraestrutura, sistemas críticos e logística; equipes clínicas em módulo separável.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Reduz falhas de interface e preserva flexibilidade jurídico-assistencial.</w:t>
            </w:r>
          </w:p>
        </w:tc>
      </w:tr>
      <w:tr>
        <w:trPr>
          <w:cantSplit/>
          <w:cantSplit/>
        </w:trPr>
        <w:tc>
          <w:tcPr>
            <w:tcW w:type="dxa" w:w="108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Modelo econômico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Mensalidade de prontidão + mobilização + transporte + instalação + diária operacional + consumíveis + expansão.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Evita pagamento integral de capacidade não utilizada e torna a medição auditável.</w:t>
            </w:r>
          </w:p>
        </w:tc>
      </w:tr>
      <w:tr>
        <w:trPr>
          <w:cantSplit/>
          <w:cantSplit/>
        </w:trPr>
        <w:tc>
          <w:tcPr>
            <w:tcW w:type="dxa" w:w="108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Transporte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Rodoviário estadual como requisito; aerotransporte civil desejável; padrão militar apenas opcional.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Evita custo e restrição competitiva sem benefício proporcional ao contexto estadual.</w:t>
            </w:r>
          </w:p>
        </w:tc>
      </w:tr>
      <w:tr>
        <w:trPr>
          <w:cantSplit/>
          <w:cantSplit/>
        </w:trPr>
        <w:tc>
          <w:tcPr>
            <w:tcW w:type="dxa" w:w="108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Autonomia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Autonomia inicial mínima de 72 horas e plano de reabastecimento para operação prolongada.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Equilibra mobilidade, peso, segurança e continuidade.</w:t>
            </w:r>
          </w:p>
        </w:tc>
      </w:tr>
      <w:tr>
        <w:trPr>
          <w:cantSplit/>
          <w:cantSplit/>
        </w:trPr>
        <w:tc>
          <w:tcPr>
            <w:tcW w:type="dxa" w:w="108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Aceitação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Prova de conceito, FAT/SAT e exercício anual completo.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Comprova integração real, desempenho e repetibilidade da solução.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Sumário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cantSplit/>
          <w:cantSplit/>
          <w:tblHeader w:val="true"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shd w:fill="0B3A6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1. Identificação e contexto administrativo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shd w:fill="0B3A6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14. Estimativas de quantidades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2. Descrição da necessidade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15. Parcelamento e estratégia de contratação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3. Objetivos da contratação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16. Resultados pretendidos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4. Alinhamento institucional e normativo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17. Modelo econômico e pesquisa de preços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5. Cenários de emprego e estimativa da demanda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18. Providências prévias à contratação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6. Requisitos da contratação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19. Contratações correlatas e interdependentes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7. Levantamento de mercado e análise de alternativas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20. Sustentabilidade e impactos ambientais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8. Solução recomendada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21. Riscos preliminares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9. Arquitetura modular e níveis de ativação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22. Governança, fiscalização e medição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10. Ciclo operacional e logística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23. Conclusão de viabilidade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11. Comunicações, tecnologia e proteção de dados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24. Deliberações necessárias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12. Equipes e organização do trabalho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Referências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13. Modelo de execução e níveis de serviço</w:t>
            </w:r>
          </w:p>
        </w:tc>
        <w:tc>
          <w:tcPr>
            <w:tcW w:type="dxa" w:w="2916000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t>Anexos técnicos A a F</w:t>
            </w:r>
          </w:p>
        </w:tc>
      </w:tr>
    </w:tbl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</w:pPr>
      <w:r>
        <w:t>1. Identificação e contexto administrativo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439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t>Definição inicial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Objeto em estudo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Contratação de solução integrada, modular, escalável e mobilizável de Unidade Hospitalar Modular de Resposta a Emergências - UHMR.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Natureza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Serviço continuado de disponibilidade e prontidão, com fornecimento de bens em regime de locação/cessão de uso, logística, instalação, manutenção, suporte e operação quando acionado.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Abrangência geográfica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Municípios e regiões de saúde de Mato Grosso; mobilização interestadual somente quando autorizada e prevista.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Vigência sugerida para estudo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Prazo plurianual suficiente para amortização, prontidão e manutenção, sujeito à modelagem econômica e jurídica.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Forma de acionamento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Ordem de Acionamento emitida pela autoridade competente da SES-MT, articulada ao COE/COES quando ativado.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Classificação do documento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7"/>
              </w:rPr>
              <w:t>Estudo Técnico Preliminar, nos termos da Lei nº 14.133/2021 e regulamentação estadual aplicável.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A contratação poderá integrar processo maior referente à gestão ou operação de unidade hospitalar. Nessa hipótese, os requisitos da UHMR devem constituir obrigação autônoma, mensurável e acionável, com preços unitários, responsabilidades e níveis de serviço próprios, evitando que a capacidade de resposta fique diluída em cláusulas genéricas do contrato hospitalar.</w:t>
      </w:r>
    </w:p>
    <w:p>
      <w:pPr>
        <w:pStyle w:val="Heading1"/>
        <w:keepNext/>
        <w:pageBreakBefore w:val="0"/>
        <w:widowControl/>
      </w:pPr>
      <w:r>
        <w:t>2. Descrição da necessidade</w:t>
      </w:r>
    </w:p>
    <w:p>
      <w:pPr>
        <w:widowControl/>
      </w:pPr>
      <w:r>
        <w:t>A SES-MT necessita de capacidade assistencial temporária que possa ser mobilizada com rapidez quando a rede existente estiver interrompida, danificada, isolada, saturada ou inadequada para absorver aumento súbito da demanda. A necessidade compreende eventos climáticos e ambientais, emergências de saúde pública, incidentes com múltiplas vítimas, desastres tecnológicos, colapso estrutural ou funcional de estabelecimentos, surtos e epidemias, grandes eventos e situações de desassistência territorial.</w:t>
      </w:r>
    </w:p>
    <w:p>
      <w:pPr>
        <w:widowControl/>
      </w:pPr>
      <w:r>
        <w:t>O problema não é apenas a ausência de tendas. Uma resposta hospitalar temporária depende de integração entre infraestrutura, energia, climatização, água, saneamento, gases medicinais, equipamentos, diagnóstico, medicamentos, telecomunicações, sistemas de informação, recursos humanos, suprimentos, segurança, manutenção e comando. A contratação fragmentada e acionada somente após o desastre tende a aumentar o tempo de resposta, produzir incompatibilidades e transferir riscos de interface à Administração.</w:t>
      </w:r>
    </w:p>
    <w:p>
      <w:pPr>
        <w:pStyle w:val="Heading2"/>
        <w:keepNext/>
        <w:pageBreakBefore w:val="0"/>
        <w:widowControl/>
      </w:pPr>
      <w:r>
        <w:t>2.1 Problema público a resolver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DCEAF5"/>
            <w:tcBorders>
              <w:top w:val="single" w:sz="10" w:space="0" w:color="0B3A66"/>
              <w:left w:val="single" w:sz="10" w:space="0" w:color="0B3A66"/>
              <w:bottom w:val="single" w:sz="10" w:space="0" w:color="0B3A66"/>
              <w:right w:val="single" w:sz="10" w:space="0" w:color="0B3A66"/>
              <w:insideH w:val="single" w:sz="10" w:space="0" w:color="0B3A66"/>
              <w:insideV w:val="single" w:sz="10" w:space="0" w:color="0B3A66"/>
            </w:tcBorders>
          </w:tcPr>
          <w:p>
            <w:pPr>
              <w:spacing w:after="80"/>
            </w:pPr>
            <w:r>
              <w:rPr>
                <w:b/>
                <w:color w:val="0B3A66"/>
                <w:sz w:val="21"/>
              </w:rPr>
              <w:t>Enunciado do problema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Como assegurar, em qualquer região de Mato Grosso, capacidade hospitalar temporária segura, interoperável e proporcional ao evento, com mobilização rápida, autonomia inicial, continuidade assistencial e custo controlado, quando a infraestrutura local não puder responder adequadamente?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2.2 Consequências da não contratação</w:t>
      </w:r>
    </w:p>
    <w:p>
      <w:pPr>
        <w:pStyle w:val="ListBullet"/>
        <w:widowControl/>
        <w:spacing w:after="70" w:line="259" w:lineRule="auto"/>
        <w:ind w:left="340" w:hanging="142"/>
      </w:pPr>
      <w:r>
        <w:t>atraso na expansão da capacidade assistencial e aumento de risco de óbitos evitáveis;</w:t>
      </w:r>
    </w:p>
    <w:p>
      <w:pPr>
        <w:pStyle w:val="ListBullet"/>
        <w:widowControl/>
        <w:spacing w:after="70" w:line="259" w:lineRule="auto"/>
        <w:ind w:left="340" w:hanging="142"/>
      </w:pPr>
      <w:r>
        <w:t>sobrecarga de hospitais, pronto-atendimentos, SAMU e regulação;</w:t>
      </w:r>
    </w:p>
    <w:p>
      <w:pPr>
        <w:pStyle w:val="ListBullet"/>
        <w:widowControl/>
        <w:spacing w:after="70" w:line="259" w:lineRule="auto"/>
        <w:ind w:left="340" w:hanging="142"/>
      </w:pPr>
      <w:r>
        <w:t>contratações emergenciais sucessivas, com menor padronização e previsibilidade de preços;</w:t>
      </w:r>
    </w:p>
    <w:p>
      <w:pPr>
        <w:pStyle w:val="ListBullet"/>
        <w:widowControl/>
        <w:spacing w:after="70" w:line="259" w:lineRule="auto"/>
        <w:ind w:left="340" w:hanging="142"/>
      </w:pPr>
      <w:r>
        <w:t>dependência de estruturas de outras esferas sem garantia de disponibilidade;</w:t>
      </w:r>
    </w:p>
    <w:p>
      <w:pPr>
        <w:pStyle w:val="ListBullet"/>
        <w:widowControl/>
        <w:spacing w:after="70" w:line="259" w:lineRule="auto"/>
        <w:ind w:left="340" w:hanging="142"/>
      </w:pPr>
      <w:r>
        <w:t>perda de continuidade em áreas isoladas ou atingidas por desastres;</w:t>
      </w:r>
    </w:p>
    <w:p>
      <w:pPr>
        <w:pStyle w:val="ListBullet"/>
        <w:widowControl/>
        <w:spacing w:after="70" w:line="259" w:lineRule="auto"/>
        <w:ind w:left="340" w:hanging="142"/>
      </w:pPr>
      <w:r>
        <w:t>instalações temporárias sem integração entre energia, climatização, gases, WASH, TI e equipamentos;</w:t>
      </w:r>
    </w:p>
    <w:p>
      <w:pPr>
        <w:pStyle w:val="ListBullet"/>
        <w:widowControl/>
        <w:spacing w:after="70" w:line="259" w:lineRule="auto"/>
        <w:ind w:left="340" w:hanging="142"/>
      </w:pPr>
      <w:r>
        <w:t>dificuldade de comando, rastreabilidade, fiscalização e responsabilização.</w:t>
      </w:r>
    </w:p>
    <w:p>
      <w:pPr>
        <w:pStyle w:val="Heading2"/>
        <w:keepNext/>
        <w:pageBreakBefore w:val="0"/>
        <w:widowControl/>
      </w:pPr>
      <w:r>
        <w:t>2.3 Caracterização territorial e evidências estaduais</w:t>
      </w:r>
    </w:p>
    <w:p>
      <w:pPr>
        <w:widowControl/>
      </w:pPr>
      <w:r>
        <w:t>Mato Grosso reúne 142 municípios distribuídos em 16 Regiões de Saúde, possui população estimada de 3.950.330 habitantes em 2026 e território de aproximadamente 903,2 mil km². A combinação entre grande extensão territorial, baixa densidade populacional, três biomas, longas distâncias rodoviárias e concentração de serviços especializados exige que a resposta temporária seja móvel, autônoma e integrada à regionalização do SUS. A matriz logística deverá utilizar distâncias e tempos rodoviários reais, inclusive sazonalidade dos acessos, e não apenas distância em linha reta (IBGE, 2026; SES-MT, 2026).</w:t>
      </w:r>
    </w:p>
    <w:p>
      <w:pPr>
        <w:pStyle w:val="Heading3"/>
        <w:keepNext/>
        <w:pageBreakBefore w:val="0"/>
        <w:widowControl/>
      </w:pPr>
      <w:r>
        <w:t>2.3.1 Incêndios florestais e operações prolongadas</w:t>
      </w:r>
    </w:p>
    <w:p>
      <w:pPr>
        <w:widowControl/>
      </w:pPr>
      <w:r>
        <w:t>O Relatório Final da Temporada de Incêndios Florestais de 2025 registrou 10.968 focos de calor no Estado, distribuídos entre Amazônia, Cerrado e Pantanal, e 3.582 ocorrências de incêndios florestais atendidas no ano. O planejamento previu 68 Instrumentos de Resposta Temporários e foi ampliado para 72 durante o período crítico. O relatório documenta, ainda, operação em área aproximada de 45.080,01 hectares, com emprego de 50 militares do CBMMT, quatro militares da Força Nacional, aeronave, caminhões-pipa, viaturas e maquinário. Esses registros demonstram dispersão territorial, missões prolongadas, dificuldade de acesso e necessidade de apoio assistencial, energético, logístico e de comunicações em campo (CBMMT, 2026).</w:t>
      </w:r>
    </w:p>
    <w:p>
      <w:pPr>
        <w:pStyle w:val="Heading3"/>
        <w:keepNext/>
        <w:pageBreakBefore w:val="0"/>
        <w:widowControl/>
      </w:pPr>
      <w:r>
        <w:t>2.3.2 Seca e déficit hidrológico</w:t>
      </w:r>
    </w:p>
    <w:p>
      <w:pPr>
        <w:widowControl/>
      </w:pPr>
      <w:r>
        <w:t>O CEMADEN identificou anomalia de precipitação de -277 mm na Bacia do Alto Paraguai no período 2023/2024. Em maio de 2024, 118 municípios de Mato Grosso e Mato Grosso do Sul, considerados conjuntamente, apresentavam pelo menos 40% das áreas agroprodutivas potencialmente afetadas pela seca. O indicador não deve ser interpretado como quantitativo exclusivo de Mato Grosso, mas confirma a natureza regional e persistente da ameaça, com potencial para agravar desabastecimento de água, calor, fumaça, isolamento e pressão assistencial (CEMADEN, 2024).</w:t>
      </w:r>
    </w:p>
    <w:p>
      <w:pPr>
        <w:pStyle w:val="Heading3"/>
        <w:keepNext/>
        <w:pageBreakBefore w:val="0"/>
        <w:widowControl/>
      </w:pPr>
      <w:r>
        <w:t>2.3.3 Emergências epidemiológicas e concentração regional da assistência</w:t>
      </w:r>
    </w:p>
    <w:p>
      <w:pPr>
        <w:widowControl/>
      </w:pPr>
      <w:r>
        <w:t>Em informe oficial com dados extraídos do SINAN em 14 de fevereiro de 2025, até a Semana Epidemiológica 7, a SES-MT registrou 14 óbitos confirmados por arboviroses: 12 por chikungunya e dois por dengue, todos com confirmação laboratorial. Havia ainda três óbitos por chikungunya e cinco por dengue em investigação. Os óbitos confirmados por chikungunya concentravam-se na Baixada Cuiabana, Sul e Teles Pires; todos ocorreram em pessoas com 50 anos ou mais. As notificações e internações concentradas em municípios de referência, como Cuiabá, Rondonópolis, Sinop e Cáceres, evidenciam deslocamento assistencial e dependência da rede secundária e terciária (SES-MT, 2025).</w:t>
      </w:r>
    </w:p>
    <w:p>
      <w:pPr>
        <w:pStyle w:val="Heading3"/>
        <w:keepNext/>
        <w:pageBreakBefore w:val="0"/>
        <w:widowControl/>
      </w:pPr>
      <w:r>
        <w:t>2.3.4 Relação entre evidência e desenho da contratação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tblHeader w:val="true"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Evidência estadual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Resultado documentado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Consequência para a UHMR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Situação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Escala territorial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142 municípios, 16 Regiões de Saúde e população estimada de 3,95 milhões.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Rotas rodoviárias reais, comunicação satelital, autonomia inicial e ativação regional.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Fonte oficial incorporada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Incêndios florestais 2025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10.968 focos, 3.582 ocorrências e até 72 instrumentos temporários de resposta.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Módulos móveis, suporte respiratório, climatização, energia, logística e operação fora de grandes centros.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Fonte oficial incorporada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Operação de grande extensão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Evento documentado com cerca de 45 mil hectares e múltiplos meios terrestres e aéreos.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Apoio prolongado, rastreabilidade de cargas, manutenção e comunicação redundante.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Fonte oficial incorporada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Seca no Pantanal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Déficit de 277 mm na Bacia do Alto Paraguai em 2023/2024.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WASH, reservação, tratamento de água, controle térmico e plano de reabastecimento.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Fonte oficial incorporada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Arboviroses 2025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14 óbitos confirmados até a SE 7 e concentração do atendimento em polos regionais.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N1/N2 para triagem, hidratação e observação; N3 quando houver internação, casos críticos e necessidade diagnóstica.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Fonte oficial incorporada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Capacidade hospitalar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Leitos operacionais, bloqueios e ocupação ainda dependem de extração padronizada.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Definição dos gatilhos N1-N4 e dimensionamento regional.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Validar em CNES, IndicaSUS e Monitora Hospitalar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Pressão regulatória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Filas, tempos e transferências ainda dependem de base anonimizada.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Localização, pré-posicionamento e prioridade de acionamento.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Validar no SISREG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Histórico de eventos</w:t>
            </w:r>
          </w:p>
        </w:tc>
        <w:tc>
          <w:tcPr>
            <w:tcW w:type="dxa" w:w="283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Frequência, duração, recursos e lacunas ainda serão auditados.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Estimativa de acionamentos e cenário de consumo para preços.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Validar no CIEVS-MT e S2iD</w:t>
            </w:r>
          </w:p>
        </w:tc>
      </w:tr>
    </w:tbl>
    <w:p>
      <w:pPr>
        <w:widowControl/>
      </w:pPr>
      <w:r>
        <w:t>Os dados públicos acima sustentam a necessidade qualitativa e parte do desenho funcional. O dimensionamento definitivo e a estimativa de frequência de acionamento permanecem condicionados à consolidação das bases internas descritas no Anexo F.</w:t>
      </w:r>
    </w:p>
    <w:p>
      <w:pPr>
        <w:pStyle w:val="Heading1"/>
        <w:keepNext/>
        <w:pageBreakBefore w:val="0"/>
        <w:widowControl/>
      </w:pPr>
      <w:r>
        <w:t>3. Objetivos da contratação</w:t>
      </w:r>
    </w:p>
    <w:p>
      <w:pPr>
        <w:pStyle w:val="Heading2"/>
        <w:keepNext/>
        <w:pageBreakBefore w:val="0"/>
        <w:widowControl/>
      </w:pPr>
      <w:r>
        <w:t>3.1 Objetivo geral</w:t>
      </w:r>
    </w:p>
    <w:p>
      <w:pPr>
        <w:widowControl/>
      </w:pPr>
      <w:r>
        <w:t>Disponibilizar capacidade estadual permanente de prontidão para implantação e operação de unidade hospitalar temporária modular, segura e escalonável, integrada ao SUS e apta a apoiar ou substituir parcialmente serviços de saúde afetados por emergências.</w:t>
      </w:r>
    </w:p>
    <w:p>
      <w:pPr>
        <w:pStyle w:val="Heading2"/>
        <w:keepNext/>
        <w:pageBreakBefore w:val="0"/>
        <w:widowControl/>
      </w:pPr>
      <w:r>
        <w:t>3.2 Objetivos específicos</w:t>
      </w:r>
    </w:p>
    <w:p>
      <w:pPr>
        <w:pStyle w:val="ListBullet"/>
        <w:widowControl/>
        <w:spacing w:after="70" w:line="259" w:lineRule="auto"/>
        <w:ind w:left="340" w:hanging="142"/>
      </w:pPr>
      <w:r>
        <w:t>iniciar atendimento essencial em configuração N1 no menor prazo tecnicamente viável;</w:t>
      </w:r>
    </w:p>
    <w:p>
      <w:pPr>
        <w:pStyle w:val="ListBullet"/>
        <w:widowControl/>
        <w:spacing w:after="70" w:line="259" w:lineRule="auto"/>
        <w:ind w:left="340" w:hanging="142"/>
      </w:pPr>
      <w:r>
        <w:t>implantar configuração hospitalar N3 em até 24 horas após chegada da carga a sítio liberado e apto, como meta a validar em consulta ao mercado;</w:t>
      </w:r>
    </w:p>
    <w:p>
      <w:pPr>
        <w:pStyle w:val="ListBullet"/>
        <w:widowControl/>
        <w:spacing w:after="70" w:line="259" w:lineRule="auto"/>
        <w:ind w:left="340" w:hanging="142"/>
      </w:pPr>
      <w:r>
        <w:t>escalar ou reduzir módulos sem interromper a assistência;</w:t>
      </w:r>
    </w:p>
    <w:p>
      <w:pPr>
        <w:pStyle w:val="ListBullet"/>
        <w:widowControl/>
        <w:spacing w:after="70" w:line="259" w:lineRule="auto"/>
        <w:ind w:left="340" w:hanging="142"/>
      </w:pPr>
      <w:r>
        <w:t>garantir redundância dos sistemas críticos e autonomia inicial mínima de 72 horas;</w:t>
      </w:r>
    </w:p>
    <w:p>
      <w:pPr>
        <w:pStyle w:val="ListBullet"/>
        <w:widowControl/>
        <w:spacing w:after="70" w:line="259" w:lineRule="auto"/>
        <w:ind w:left="340" w:hanging="142"/>
      </w:pPr>
      <w:r>
        <w:t>assegurar comunicação por satélite, rede móvel e rádio, com contingência;</w:t>
      </w:r>
    </w:p>
    <w:p>
      <w:pPr>
        <w:pStyle w:val="ListBullet"/>
        <w:widowControl/>
        <w:spacing w:after="70" w:line="259" w:lineRule="auto"/>
        <w:ind w:left="340" w:hanging="142"/>
      </w:pPr>
      <w:r>
        <w:t>integrar triagem, regulação, vigilância, prontuário, diagnóstico, farmácia e logística;</w:t>
      </w:r>
    </w:p>
    <w:p>
      <w:pPr>
        <w:pStyle w:val="ListBullet"/>
        <w:widowControl/>
        <w:spacing w:after="70" w:line="259" w:lineRule="auto"/>
        <w:ind w:left="340" w:hanging="142"/>
      </w:pPr>
      <w:r>
        <w:t>manter inventário, manutenção, calibração, treinamento e simulações durante a prontidão;</w:t>
      </w:r>
    </w:p>
    <w:p>
      <w:pPr>
        <w:pStyle w:val="ListBullet"/>
        <w:widowControl/>
        <w:spacing w:after="70" w:line="259" w:lineRule="auto"/>
        <w:ind w:left="340" w:hanging="142"/>
      </w:pPr>
      <w:r>
        <w:t>estabelecer medição por resultados, níveis de serviço e evidências verificáveis.</w:t>
      </w:r>
    </w:p>
    <w:p>
      <w:pPr>
        <w:pStyle w:val="Heading1"/>
        <w:keepNext/>
        <w:pageBreakBefore w:val="0"/>
        <w:widowControl/>
      </w:pPr>
      <w:r>
        <w:t>4. Alinhamento institucional e normativo</w:t>
      </w:r>
    </w:p>
    <w:p>
      <w:pPr>
        <w:widowControl/>
      </w:pPr>
      <w:r>
        <w:t>A demanda deverá ser vinculada ao planejamento estratégico, ao Plano de Contratações Anual e aos instrumentos orçamentários da SES-MT. Caso ainda não esteja prevista no PCA, a área requisitante deverá justificar a inclusão superveniente e demonstrar disponibilidade orçamentária conforme o rito estadual.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  <w:tblHeader w:val="true"/>
        </w:trPr>
        <w:tc>
          <w:tcPr>
            <w:tcW w:type="dxa" w:w="3402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Referência</w:t>
            </w:r>
          </w:p>
        </w:tc>
        <w:tc>
          <w:tcPr>
            <w:tcW w:type="dxa" w:w="6236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Aplicação ao planejamento</w:t>
            </w:r>
          </w:p>
        </w:tc>
      </w:tr>
      <w:tr>
        <w:trPr>
          <w:cantSplit/>
          <w:cantSplit/>
        </w:trPr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Lei Federal nº 14.133/2021</w:t>
            </w:r>
          </w:p>
        </w:tc>
        <w:tc>
          <w:tcPr>
            <w:tcW w:type="dxa" w:w="623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Planejamento da contratação, ETP, Termo de Referência, parcelamento, prova de conceito, matriz de riscos, gestão e fiscalização.</w:t>
            </w:r>
          </w:p>
        </w:tc>
      </w:tr>
      <w:tr>
        <w:trPr>
          <w:cantSplit/>
          <w:cantSplit/>
        </w:trPr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Decreto Estadual nº 1.525/2022 e normas estaduais correlatas</w:t>
            </w:r>
          </w:p>
        </w:tc>
        <w:tc>
          <w:tcPr>
            <w:tcW w:type="dxa" w:w="6236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Regulamentação da Lei nº 14.133/2021 no Poder Executivo de Mato Grosso e procedimentos do SIAG.</w:t>
            </w:r>
          </w:p>
        </w:tc>
      </w:tr>
      <w:tr>
        <w:trPr>
          <w:cantSplit/>
          <w:cantSplit/>
        </w:trPr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Lei nº 13.709/2018 - LGPD</w:t>
            </w:r>
          </w:p>
        </w:tc>
        <w:tc>
          <w:tcPr>
            <w:tcW w:type="dxa" w:w="623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Tratamento de dados pessoais e dados de saúde, segurança, controle de acesso e resposta a incidentes.</w:t>
            </w:r>
          </w:p>
        </w:tc>
      </w:tr>
      <w:tr>
        <w:trPr>
          <w:cantSplit/>
          <w:cantSplit/>
        </w:trPr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RDC Anvisa nº 50/2002</w:t>
            </w:r>
          </w:p>
        </w:tc>
        <w:tc>
          <w:tcPr>
            <w:tcW w:type="dxa" w:w="6236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Referência físico-funcional para estabelecimentos assistenciais, adaptada à natureza temporária e modular.</w:t>
            </w:r>
          </w:p>
        </w:tc>
      </w:tr>
      <w:tr>
        <w:trPr>
          <w:cantSplit/>
          <w:cantSplit/>
        </w:trPr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RDC Anvisa nº 63/2011</w:t>
            </w:r>
          </w:p>
        </w:tc>
        <w:tc>
          <w:tcPr>
            <w:tcW w:type="dxa" w:w="623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Boas práticas de funcionamento, recursos, infraestrutura e qualidade dos serviços de saúde.</w:t>
            </w:r>
          </w:p>
        </w:tc>
      </w:tr>
      <w:tr>
        <w:trPr>
          <w:cantSplit/>
          <w:cantSplit/>
        </w:trPr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RDC Anvisa nº 36/2013</w:t>
            </w:r>
          </w:p>
        </w:tc>
        <w:tc>
          <w:tcPr>
            <w:tcW w:type="dxa" w:w="6236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Ações de segurança do paciente em serviços de saúde.</w:t>
            </w:r>
          </w:p>
        </w:tc>
      </w:tr>
      <w:tr>
        <w:trPr>
          <w:cantSplit/>
          <w:cantSplit/>
        </w:trPr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RDC Anvisa nº 222/2018</w:t>
            </w:r>
          </w:p>
        </w:tc>
        <w:tc>
          <w:tcPr>
            <w:tcW w:type="dxa" w:w="623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Gerenciamento de resíduos de serviços de saúde, inclusive em estruturas móveis/temporárias.</w:t>
            </w:r>
          </w:p>
        </w:tc>
      </w:tr>
      <w:tr>
        <w:trPr>
          <w:cantSplit/>
          <w:cantSplit/>
        </w:trPr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NR-10, NR-23 e NR-32</w:t>
            </w:r>
          </w:p>
        </w:tc>
        <w:tc>
          <w:tcPr>
            <w:tcW w:type="dxa" w:w="6236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Segurança em eletricidade, proteção contra incêndios e segurança e saúde em serviços de saúde.</w:t>
            </w:r>
          </w:p>
        </w:tc>
      </w:tr>
      <w:tr>
        <w:trPr>
          <w:cantSplit/>
          <w:cantSplit/>
        </w:trPr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OMS - Blue Book EMT, 2021</w:t>
            </w:r>
          </w:p>
        </w:tc>
        <w:tc>
          <w:tcPr>
            <w:tcW w:type="dxa" w:w="6236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Classificação e padrões mínimos para equipes médicas de emergência; referência funcional para N3.</w:t>
            </w:r>
          </w:p>
        </w:tc>
      </w:tr>
      <w:tr>
        <w:trPr>
          <w:cantSplit/>
          <w:cantSplit/>
        </w:trPr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Consulta Pública FNSUS nº 04/2026</w:t>
            </w:r>
          </w:p>
        </w:tc>
        <w:tc>
          <w:tcPr>
            <w:tcW w:type="dxa" w:w="6236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Benchmark nacional recente para hospital de campanha modular EMT Tipo 2, testes, logística e consulta ao mercado.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IBGE - estimativa populacional 2026 e área territorial</w:t>
            </w:r>
          </w:p>
        </w:tc>
        <w:tc>
          <w:tcPr>
            <w:tcW w:type="dxa" w:w="62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Caracterização da população, escala territorial e dispersão geográfica.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SES-MT - organização regional 2026</w:t>
            </w:r>
          </w:p>
        </w:tc>
        <w:tc>
          <w:tcPr>
            <w:tcW w:type="dxa" w:w="62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Abrangência de 142 municípios distribuídos em 16 Regiões de Saúde.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CBMMT - Relatório Final da Temporada de Incêndios Florestais 2025</w:t>
            </w:r>
          </w:p>
        </w:tc>
        <w:tc>
          <w:tcPr>
            <w:tcW w:type="dxa" w:w="62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Evidência de operações extensas, temporárias, descentralizadas e de difícil acesso.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CEMADEN - Nota Técnica do Pantanal 2024</w:t>
            </w:r>
          </w:p>
        </w:tc>
        <w:tc>
          <w:tcPr>
            <w:tcW w:type="dxa" w:w="62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Evidência de seca prolongada e déficit hidrológico na Bacia do Alto Paraguai.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SES-MT - Perfil dos óbitos por dengue e chikungunya 2025</w:t>
            </w:r>
          </w:p>
        </w:tc>
        <w:tc>
          <w:tcPr>
            <w:tcW w:type="dxa" w:w="62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Evidência de gravidade, concentração regional da assistência e necessidade de expansão temporária.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As normas técnicas específicas de instalações elétricas, gases medicinais, climatização, proteção contra incêndio, radiologia, acessibilidade, engenharia clínica e telecomunicações deverão ser confirmadas pelas áreas competentes na elaboração do Termo de Referência, adotando-se sempre suas versões vigentes. A simples menção a uma norma não dispensa a definição do desempenho esperado e do método de comprovação.</w:t>
      </w:r>
    </w:p>
    <w:p>
      <w:pPr>
        <w:pStyle w:val="Heading1"/>
        <w:keepNext/>
        <w:pageBreakBefore w:val="0"/>
        <w:widowControl/>
      </w:pPr>
      <w:r>
        <w:t>5. Cenários de emprego e estimativa da demanda</w:t>
      </w:r>
    </w:p>
    <w:p>
      <w:pPr>
        <w:pStyle w:val="Heading2"/>
        <w:keepNext/>
        <w:pageBreakBefore w:val="0"/>
        <w:widowControl/>
      </w:pPr>
      <w:r>
        <w:t>5.1 Cenários prioritários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Cenário</w:t>
            </w:r>
          </w:p>
        </w:tc>
        <w:tc>
          <w:tcPr>
            <w:tcW w:type="dxa" w:w="21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Lacuna provável</w:t>
            </w:r>
          </w:p>
        </w:tc>
        <w:tc>
          <w:tcPr>
            <w:tcW w:type="dxa" w:w="223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Resposta modular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Enchentes, incêndios florestais, seca extrema e eventos climáticos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Isolamento territorial, perda de unidade, demanda respiratória/trauma, falha de energia ou água.</w:t>
            </w:r>
          </w:p>
        </w:tc>
        <w:tc>
          <w:tcPr>
            <w:tcW w:type="dxa" w:w="223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N1/N2 para reforço; N3/N4 quando houver perda de capacidade hospitalar.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Surto, epidemia ou ameaça biológica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Aumento rápido de demanda, necessidade de separação de fluxos e isolamento.</w:t>
            </w:r>
          </w:p>
        </w:tc>
        <w:tc>
          <w:tcPr>
            <w:tcW w:type="dxa" w:w="223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 de triagem; N2 assistencial; N3 com isolamento e internação.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Incidente com múltiplas vítimas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Pico de vítimas, estabilização, cirurgia e evacuação.</w:t>
            </w:r>
          </w:p>
        </w:tc>
        <w:tc>
          <w:tcPr>
            <w:tcW w:type="dxa" w:w="223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 imediato; N2/N3 conforme número e gravidade.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Interrupção de hospital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Perda parcial ou total de emergência, internação, centro cirúrgico ou utilidades.</w:t>
            </w:r>
          </w:p>
        </w:tc>
        <w:tc>
          <w:tcPr>
            <w:tcW w:type="dxa" w:w="223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Módulos específicos ou N3; N4 se substituição prolongada.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Desassistência temporária ou acesso remoto</w:t>
            </w:r>
          </w:p>
        </w:tc>
        <w:tc>
          <w:tcPr>
            <w:tcW w:type="dxa" w:w="21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Capacidade local insuficiente e longas distâncias de referência.</w:t>
            </w:r>
          </w:p>
        </w:tc>
        <w:tc>
          <w:tcPr>
            <w:tcW w:type="dxa" w:w="223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N1/N2, com telemedicina e diagnóstico portátil.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Grande evento</w:t>
            </w:r>
          </w:p>
        </w:tc>
        <w:tc>
          <w:tcPr>
            <w:tcW w:type="dxa" w:w="21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Demanda concentrada e necessidade de retaguarda temporária.</w:t>
            </w:r>
          </w:p>
        </w:tc>
        <w:tc>
          <w:tcPr>
            <w:tcW w:type="dxa" w:w="223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N1/N2 pré-posicionado.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5.2 Variáveis para escolha do nível</w:t>
      </w:r>
    </w:p>
    <w:p>
      <w:pPr>
        <w:pStyle w:val="ListBullet"/>
        <w:widowControl/>
        <w:spacing w:after="70" w:line="259" w:lineRule="auto"/>
        <w:ind w:left="340" w:hanging="142"/>
      </w:pPr>
      <w:r>
        <w:t>número estimado de pacientes por dia, vítimas críticas e necessidade de internação;</w:t>
      </w:r>
    </w:p>
    <w:p>
      <w:pPr>
        <w:pStyle w:val="ListBullet"/>
        <w:widowControl/>
        <w:spacing w:after="70" w:line="259" w:lineRule="auto"/>
        <w:ind w:left="340" w:hanging="142"/>
      </w:pPr>
      <w:r>
        <w:t>capacidade residual e tempo de recuperação da rede local;</w:t>
      </w:r>
    </w:p>
    <w:p>
      <w:pPr>
        <w:pStyle w:val="ListBullet"/>
        <w:widowControl/>
        <w:spacing w:after="70" w:line="259" w:lineRule="auto"/>
        <w:ind w:left="340" w:hanging="142"/>
      </w:pPr>
      <w:r>
        <w:t>necessidade de cirurgia, cuidados intensivos, isolamento, pediatria ou obstetrícia;</w:t>
      </w:r>
    </w:p>
    <w:p>
      <w:pPr>
        <w:pStyle w:val="ListBullet"/>
        <w:widowControl/>
        <w:spacing w:after="70" w:line="259" w:lineRule="auto"/>
        <w:ind w:left="340" w:hanging="142"/>
      </w:pPr>
      <w:r>
        <w:t>duração projetada da operação e possibilidade de reabastecimento;</w:t>
      </w:r>
    </w:p>
    <w:p>
      <w:pPr>
        <w:pStyle w:val="ListBullet"/>
        <w:widowControl/>
        <w:spacing w:after="70" w:line="259" w:lineRule="auto"/>
        <w:ind w:left="340" w:hanging="142"/>
      </w:pPr>
      <w:r>
        <w:t>distância, condição dos acessos, segurança e riscos do sítio;</w:t>
      </w:r>
    </w:p>
    <w:p>
      <w:pPr>
        <w:pStyle w:val="ListBullet"/>
        <w:widowControl/>
        <w:spacing w:after="70" w:line="259" w:lineRule="auto"/>
        <w:ind w:left="340" w:hanging="142"/>
      </w:pPr>
      <w:r>
        <w:t>disponibilidade de energia, água, saneamento, comunicações e destino de resíduos;</w:t>
      </w:r>
    </w:p>
    <w:p>
      <w:pPr>
        <w:pStyle w:val="ListBullet"/>
        <w:widowControl/>
        <w:spacing w:after="70" w:line="259" w:lineRule="auto"/>
        <w:ind w:left="340" w:hanging="142"/>
      </w:pPr>
      <w:r>
        <w:t>necessidade de evacuação, regulação e integração com hospitais de referência.</w:t>
      </w:r>
    </w:p>
    <w:p>
      <w:pPr>
        <w:pStyle w:val="Heading2"/>
        <w:keepNext/>
        <w:pageBreakBefore w:val="0"/>
        <w:widowControl/>
      </w:pPr>
      <w:r>
        <w:t>5.3 Método de dimensionamento</w:t>
      </w:r>
    </w:p>
    <w:p>
      <w:pPr>
        <w:widowControl/>
      </w:pPr>
      <w:r>
        <w:t>Os quantitativos deverão ser validados com base em cenários históricos estaduais, capacidade instalada, vazios assistenciais, tempos de deslocamento, população exposta e análise de risco. Para cada nível, recomenda-se utilizar as seguintes memórias de cálculo: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439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Memória de cálculo recomendada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Atendimento diário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Demanda projetada por 24 h x fator de pico x duração da missão.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Leitos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Entradas/dia x proporção de internação x permanência média, acrescida de reserva técnica.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Posições críticas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Chegadas críticas por hora x tempo médio de estabilização x fator de simultaneidade.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Oxigênio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Número de pacientes por modalidade x fluxo médio x horas de uso x fator de segurança.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Água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Pacientes + trabalhadores x consumo por pessoa/dia + processos clínicos e limpeza.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Energia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Somatório de cargas simultâneas x fator de demanda + partida de motores + reserva N+1.</w:t>
            </w:r>
          </w:p>
        </w:tc>
      </w:tr>
      <w:tr>
        <w:trPr>
          <w:cantSplit/>
          <w:cantSplit/>
        </w:trPr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Medicamentos e insumos</w:t>
            </w:r>
          </w:p>
        </w:tc>
        <w:tc>
          <w:tcPr>
            <w:tcW w:type="dxa" w:w="43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Protocolos assistenciais x casuística estimada x dias de autonomia + estoque de segurança.</w:t>
            </w:r>
          </w:p>
        </w:tc>
      </w:tr>
      <w:tr>
        <w:trPr>
          <w:cantSplit/>
          <w:cantSplit/>
        </w:trPr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Equipes</w:t>
            </w:r>
          </w:p>
        </w:tc>
        <w:tc>
          <w:tcPr>
            <w:tcW w:type="dxa" w:w="43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Postos de trabalho por turno x cobertura 24/7 x descanso e reserva operacional.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6. Requisitos da contratação</w:t>
      </w:r>
    </w:p>
    <w:p>
      <w:pPr>
        <w:pStyle w:val="Heading2"/>
        <w:keepNext/>
        <w:pageBreakBefore w:val="0"/>
        <w:widowControl/>
      </w:pPr>
      <w:r>
        <w:t>6.1 Requisitos funcionais mínimos</w:t>
      </w:r>
    </w:p>
    <w:p>
      <w:pPr>
        <w:pStyle w:val="ListBullet"/>
        <w:widowControl/>
        <w:spacing w:after="70" w:line="259" w:lineRule="auto"/>
        <w:ind w:left="340" w:hanging="142"/>
      </w:pPr>
      <w:r>
        <w:t>ativação parcial e independente dos módulos, com interfaces padronizadas;</w:t>
      </w:r>
    </w:p>
    <w:p>
      <w:pPr>
        <w:pStyle w:val="ListBullet"/>
        <w:widowControl/>
        <w:spacing w:after="70" w:line="259" w:lineRule="auto"/>
        <w:ind w:left="340" w:hanging="142"/>
      </w:pPr>
      <w:r>
        <w:t>transporte, descarga, instalação, comissionamento, operação, manutenção e desmobilização door-to-field;</w:t>
      </w:r>
    </w:p>
    <w:p>
      <w:pPr>
        <w:pStyle w:val="ListBullet"/>
        <w:widowControl/>
        <w:spacing w:after="70" w:line="259" w:lineRule="auto"/>
        <w:ind w:left="340" w:hanging="142"/>
      </w:pPr>
      <w:r>
        <w:t>layout com fluxos de pacientes, trabalhadores, materiais limpos, resíduos e ambulâncias;</w:t>
      </w:r>
    </w:p>
    <w:p>
      <w:pPr>
        <w:pStyle w:val="ListBullet"/>
        <w:widowControl/>
        <w:spacing w:after="70" w:line="259" w:lineRule="auto"/>
        <w:ind w:left="340" w:hanging="142"/>
      </w:pPr>
      <w:r>
        <w:t>piso rígido, lavável, antiderrapante, acessível, nivelável e compatível com macas e equipamentos;</w:t>
      </w:r>
    </w:p>
    <w:p>
      <w:pPr>
        <w:pStyle w:val="ListBullet"/>
        <w:widowControl/>
        <w:spacing w:after="70" w:line="259" w:lineRule="auto"/>
        <w:ind w:left="340" w:hanging="142"/>
      </w:pPr>
      <w:r>
        <w:t>proteção climática, ancoragem, estanqueidade, isolamento térmico e controle de pragas;</w:t>
      </w:r>
    </w:p>
    <w:p>
      <w:pPr>
        <w:pStyle w:val="ListBullet"/>
        <w:widowControl/>
        <w:spacing w:after="70" w:line="259" w:lineRule="auto"/>
        <w:ind w:left="340" w:hanging="142"/>
      </w:pPr>
      <w:r>
        <w:t>sistemas críticos redundantes, peças sobressalentes e contingência documentada;</w:t>
      </w:r>
    </w:p>
    <w:p>
      <w:pPr>
        <w:pStyle w:val="ListBullet"/>
        <w:widowControl/>
        <w:spacing w:after="70" w:line="259" w:lineRule="auto"/>
        <w:ind w:left="340" w:hanging="142"/>
      </w:pPr>
      <w:r>
        <w:t>capacidade de expansão sem fechamento da unidade;</w:t>
      </w:r>
    </w:p>
    <w:p>
      <w:pPr>
        <w:pStyle w:val="ListBullet"/>
        <w:widowControl/>
        <w:spacing w:after="70" w:line="259" w:lineRule="auto"/>
        <w:ind w:left="340" w:hanging="142"/>
      </w:pPr>
      <w:r>
        <w:t>registro digital de inventário, manutenção, consumo, lote, validade, ocorrências e desempenho.</w:t>
      </w:r>
    </w:p>
    <w:p>
      <w:pPr>
        <w:pStyle w:val="Heading2"/>
        <w:keepNext/>
        <w:pageBreakBefore w:val="0"/>
        <w:widowControl/>
      </w:pPr>
      <w:r>
        <w:t>6.2 Requisitos clínicos e de apoio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2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Domínio</w:t>
            </w:r>
          </w:p>
        </w:tc>
        <w:tc>
          <w:tcPr>
            <w:tcW w:type="dxa" w:w="457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Requisito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Triagem e recepção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Cadastro, classificação de risco, identificação, espera protegida e fluxos separados quando indicados.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Emergência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Sala de estabilização com monitorização, ventilação, desfibrilação, aspiração, infusão e procedimentos.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Internação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Leitos modularizados, privacidade, oxigênio, pontos elétricos e posto de enfermagem.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Cirurgia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Sala cirúrgica, anestesia, recuperação pós-anestésica, controle ambiental e esterilização.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Isolamento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Ambientes independentes; quando houver transmissão aérea, pressão negativa, monitorização, alarmes, exaustão/filtragem e contingência.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Diagnóstico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Laboratório point-of-care, ultrassom portátil, radiografia digital móvel e integração de resultados.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Farmácia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Armazenamento seguro, cadeia fria, rastreabilidade, dispensação e controle de medicamentos sujeitos a controle especial.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WASH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Água segura, reservação, distribuição, lavatórios, sanitários, chuveiros, drenagem, efluentes e controle de qualidade.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Resíduos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PGRSS operacional, segregação, acondicionamento, abrigo, transporte, tratamento/destinação e contingência.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6.3 Energia, gases e climatização</w:t>
      </w:r>
    </w:p>
    <w:p>
      <w:pPr>
        <w:pStyle w:val="ListBullet"/>
        <w:widowControl/>
        <w:spacing w:after="70" w:line="259" w:lineRule="auto"/>
        <w:ind w:left="340" w:hanging="142"/>
      </w:pPr>
      <w:r>
        <w:t>arquitetura N+1 para cargas críticas, com rede quando disponível, geradores, transferência e UPS/baterias;</w:t>
      </w:r>
    </w:p>
    <w:p>
      <w:pPr>
        <w:pStyle w:val="ListBullet"/>
        <w:widowControl/>
        <w:spacing w:after="70" w:line="259" w:lineRule="auto"/>
        <w:ind w:left="340" w:hanging="142"/>
      </w:pPr>
      <w:r>
        <w:t>autonomia inicial mínima de 72 horas, incluído combustível, e plano de reabastecimento contínuo;</w:t>
      </w:r>
    </w:p>
    <w:p>
      <w:pPr>
        <w:pStyle w:val="ListBullet"/>
        <w:keepLines/>
        <w:widowControl/>
        <w:spacing w:after="70" w:line="259" w:lineRule="auto" w:before="120"/>
        <w:ind w:left="340" w:hanging="142"/>
      </w:pPr>
      <w:r>
        <w:t>aterramento, proteção contra surtos, seletividade, monitoramento de carga e diagramas atualizados;</w:t>
      </w:r>
    </w:p>
    <w:p>
      <w:pPr>
        <w:pStyle w:val="ListBullet"/>
        <w:widowControl/>
        <w:spacing w:after="70" w:line="259" w:lineRule="auto"/>
        <w:ind w:left="340" w:hanging="142"/>
      </w:pPr>
      <w:r>
        <w:t>oxigênio medicinal, aspiração/vácuo e, quando requerido, ar comprimido medicinal, com fonte principal e reserva;</w:t>
      </w:r>
    </w:p>
    <w:p>
      <w:pPr>
        <w:pStyle w:val="ListBullet"/>
        <w:widowControl/>
        <w:spacing w:after="70" w:line="259" w:lineRule="auto"/>
        <w:ind w:left="340" w:hanging="142"/>
      </w:pPr>
      <w:r>
        <w:t>cálculos de consumo e capacidade para pico assistencial, com alarmes e plano de contingência;</w:t>
      </w:r>
    </w:p>
    <w:p>
      <w:pPr>
        <w:pStyle w:val="ListBullet"/>
        <w:widowControl/>
        <w:spacing w:after="70" w:line="259" w:lineRule="auto"/>
        <w:ind w:left="340" w:hanging="142"/>
      </w:pPr>
      <w:r>
        <w:t>HVAC dimensionado para o clima de Mato Grosso e para as cargas internas, com controle diferenciado em áreas críticas.</w:t>
      </w:r>
    </w:p>
    <w:p>
      <w:pPr>
        <w:pStyle w:val="Heading2"/>
        <w:keepNext/>
        <w:pageBreakBefore w:val="0"/>
        <w:widowControl/>
      </w:pPr>
      <w:r>
        <w:t>6.4 Requisitos de qualidade e comprovação</w:t>
      </w:r>
    </w:p>
    <w:p>
      <w:pPr>
        <w:pStyle w:val="ListBullet"/>
        <w:widowControl/>
        <w:spacing w:after="70" w:line="259" w:lineRule="auto"/>
        <w:ind w:left="340" w:hanging="142"/>
      </w:pPr>
      <w:r>
        <w:t>registro e regularização dos produtos e equipamentos perante autoridades competentes, quando aplicável;</w:t>
      </w:r>
    </w:p>
    <w:p>
      <w:pPr>
        <w:pStyle w:val="ListBullet"/>
        <w:widowControl/>
        <w:spacing w:after="70" w:line="259" w:lineRule="auto"/>
        <w:ind w:left="340" w:hanging="142"/>
      </w:pPr>
      <w:r>
        <w:t>responsabilidade técnica e Anotações/Registros de Responsabilidade Técnica pertinentes;</w:t>
      </w:r>
    </w:p>
    <w:p>
      <w:pPr>
        <w:pStyle w:val="ListBullet"/>
        <w:widowControl/>
        <w:spacing w:after="70" w:line="259" w:lineRule="auto"/>
        <w:ind w:left="340" w:hanging="142"/>
      </w:pPr>
      <w:r>
        <w:t>laudos, certificados ou ensaios de desempenho emitidos por entidades competentes ou acreditadas;</w:t>
      </w:r>
    </w:p>
    <w:p>
      <w:pPr>
        <w:pStyle w:val="ListBullet"/>
        <w:widowControl/>
        <w:spacing w:after="70" w:line="259" w:lineRule="auto"/>
        <w:ind w:left="340" w:hanging="142"/>
      </w:pPr>
      <w:r>
        <w:t>calibração rastreável de equipamentos e instrumentos;</w:t>
      </w:r>
    </w:p>
    <w:p>
      <w:pPr>
        <w:pStyle w:val="ListBullet"/>
        <w:widowControl/>
        <w:spacing w:after="70" w:line="259" w:lineRule="auto"/>
        <w:ind w:left="340" w:hanging="142"/>
      </w:pPr>
      <w:r>
        <w:t>manuais em português, plano de manutenção, lista de sobressalentes e treinamento;</w:t>
      </w:r>
    </w:p>
    <w:p>
      <w:pPr>
        <w:pStyle w:val="ListBullet"/>
        <w:widowControl/>
        <w:spacing w:after="70" w:line="259" w:lineRule="auto"/>
        <w:ind w:left="340" w:hanging="142"/>
      </w:pPr>
      <w:r>
        <w:t>FAT, SAT, prova de conceito e testes de aceitação integrados;</w:t>
      </w:r>
    </w:p>
    <w:p>
      <w:pPr>
        <w:pStyle w:val="ListBullet"/>
        <w:widowControl/>
        <w:spacing w:after="70" w:line="259" w:lineRule="auto"/>
        <w:ind w:left="340" w:hanging="142"/>
      </w:pPr>
      <w:r>
        <w:t>não direcionamento a marca, admitindo solução equivalente que comprove desempenho.</w:t>
      </w:r>
    </w:p>
    <w:p>
      <w:pPr>
        <w:pStyle w:val="Heading1"/>
        <w:keepNext/>
        <w:pageBreakBefore w:val="0"/>
        <w:widowControl/>
      </w:pPr>
      <w:r>
        <w:t>7. Levantamento de mercado e análise de alternativas</w:t>
      </w:r>
    </w:p>
    <w:p>
      <w:pPr>
        <w:widowControl/>
      </w:pPr>
      <w:r>
        <w:t>O levantamento de mercado deverá consultar fabricantes, integradores, operadores hospitalares, empresas de logística, engenharia clínica, telecomunicações e prestadores assistenciais. Recomenda-se consulta pública ou Request for Information - RFI antes do Termo de Referência, utilizando como referência metodológica a Consulta Pública FNSUS nº 04/2026.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  <w:tblHeader w:val="true"/>
          <w:tblHeader w:val="true"/>
        </w:trPr>
        <w:tc>
          <w:tcPr>
            <w:tcW w:type="dxa" w:w="1984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2551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Vantagens</w:t>
            </w:r>
          </w:p>
        </w:tc>
        <w:tc>
          <w:tcPr>
            <w:tcW w:type="dxa" w:w="3402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Limitações/riscos</w:t>
            </w:r>
          </w:p>
        </w:tc>
        <w:tc>
          <w:tcPr>
            <w:tcW w:type="dxa" w:w="1701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</w:r>
            <w:r>
              <w:rPr>
                <w:rFonts w:ascii="Aptos" w:hAnsi="Aptos"/>
                <w:b/>
                <w:color w:val="FFFFFF"/>
                <w:sz w:val="18"/>
              </w:rPr>
              <w:t>Avaliação</w:t>
            </w:r>
          </w:p>
        </w:tc>
      </w:tr>
      <w:tr>
        <w:trPr>
          <w:cantSplit/>
          <w:cantSplit/>
        </w:trPr>
        <w:tc>
          <w:tcPr>
            <w:tcW w:type="dxa" w:w="1984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Aquisição integral pelo Estado</w:t>
            </w:r>
          </w:p>
        </w:tc>
        <w:tc>
          <w:tcPr>
            <w:tcW w:type="dxa" w:w="255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Patrimônio próprio e disponibilidade exclusiva.</w:t>
            </w:r>
          </w:p>
        </w:tc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Alto investimento inicial; armazenamento, obsolescência, manutenção, pessoal e baixa utilização.</w:t>
            </w:r>
          </w:p>
        </w:tc>
        <w:tc>
          <w:tcPr>
            <w:tcW w:type="dxa" w:w="170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Manter como comparador de custo total do ciclo de vida.</w:t>
            </w:r>
          </w:p>
        </w:tc>
      </w:tr>
      <w:tr>
        <w:trPr>
          <w:cantSplit/>
          <w:cantSplit/>
        </w:trPr>
        <w:tc>
          <w:tcPr>
            <w:tcW w:type="dxa" w:w="1984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Locação somente após o evento</w:t>
            </w:r>
          </w:p>
        </w:tc>
        <w:tc>
          <w:tcPr>
            <w:tcW w:type="dxa" w:w="2551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Sem mensalidade de prontidão.</w:t>
            </w:r>
          </w:p>
        </w:tc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Disponibilidade incerta, preço emergencial, prazos longos e solução não testada previamente.</w:t>
            </w:r>
          </w:p>
        </w:tc>
        <w:tc>
          <w:tcPr>
            <w:tcW w:type="dxa" w:w="1701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Não recomendada como estratégia principal.</w:t>
            </w:r>
          </w:p>
        </w:tc>
      </w:tr>
      <w:tr>
        <w:trPr>
          <w:cantSplit/>
          <w:cantSplit/>
        </w:trPr>
        <w:tc>
          <w:tcPr>
            <w:tcW w:type="dxa" w:w="1984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Serviço integrado de prontidão e acionamento</w:t>
            </w:r>
          </w:p>
        </w:tc>
        <w:tc>
          <w:tcPr>
            <w:tcW w:type="dxa" w:w="255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Disponibilidade contratada, manutenção contínua, SLA, modularidade e previsibilidade.</w:t>
            </w:r>
          </w:p>
        </w:tc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Exige modelagem cuidadosa, fiscalização e prova de capacidade.</w:t>
            </w:r>
          </w:p>
        </w:tc>
        <w:tc>
          <w:tcPr>
            <w:tcW w:type="dxa" w:w="170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Alternativa preferencial.</w:t>
            </w:r>
          </w:p>
        </w:tc>
      </w:tr>
      <w:tr>
        <w:trPr>
          <w:cantSplit/>
          <w:cantSplit/>
        </w:trPr>
        <w:tc>
          <w:tcPr>
            <w:tcW w:type="dxa" w:w="1984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Contratos separados por sistema</w:t>
            </w:r>
          </w:p>
        </w:tc>
        <w:tc>
          <w:tcPr>
            <w:tcW w:type="dxa" w:w="2551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Maior concorrência por especialidade.</w:t>
            </w:r>
          </w:p>
        </w:tc>
        <w:tc>
          <w:tcPr>
            <w:tcW w:type="dxa" w:w="3402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Alto risco de interface, comando fragmentado e testes integrados complexos.</w:t>
            </w:r>
          </w:p>
        </w:tc>
        <w:tc>
          <w:tcPr>
            <w:tcW w:type="dxa" w:w="1701"/>
            <w:shd w:fill="F3F7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Usar apenas em lotes funcionalmente integráveis.</w:t>
            </w:r>
          </w:p>
        </w:tc>
      </w:tr>
      <w:tr>
        <w:trPr>
          <w:cantSplit/>
          <w:cantSplit/>
        </w:trPr>
        <w:tc>
          <w:tcPr>
            <w:tcW w:type="dxa" w:w="1984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Cooperação sem contratação</w:t>
            </w:r>
          </w:p>
        </w:tc>
        <w:tc>
          <w:tcPr>
            <w:tcW w:type="dxa" w:w="255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Menor custo fixo direto.</w:t>
            </w:r>
          </w:p>
        </w:tc>
        <w:tc>
          <w:tcPr>
            <w:tcW w:type="dxa" w:w="3402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Sem garantia de capacidade, prazo ou exclusividade.</w:t>
            </w:r>
          </w:p>
        </w:tc>
        <w:tc>
          <w:tcPr>
            <w:tcW w:type="dxa" w:w="1701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2" w:lineRule="auto"/>
              <w:jc w:val="left"/>
            </w:pPr>
            <w:r>
              <w:rPr>
                <w:rFonts w:ascii="Aptos" w:hAnsi="Aptos"/>
                <w:sz w:val="18"/>
              </w:rPr>
            </w:r>
            <w:r>
              <w:rPr>
                <w:rFonts w:ascii="Aptos" w:hAnsi="Aptos"/>
                <w:b w:val="0"/>
                <w:color w:val="243443"/>
                <w:sz w:val="18"/>
              </w:rPr>
              <w:t>Complementar, nunca substitutiva.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Locação estrutural sem integração</w:t>
            </w:r>
          </w:p>
        </w:tc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Reduz aquisição patrimonial e permite contratar a estrutura física.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Mantém sob a SES interfaces de logística, energia, TI, equipamentos e comissionamento; risco de dessincronização.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Comparador; não recomendada isoladamente.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Expansão exclusiva da rede fixa</w:t>
            </w:r>
          </w:p>
        </w:tc>
        <w:tc>
          <w:tcPr>
            <w:tcW w:type="dxa" w:w="25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Amplia capacidade permanente e fortalece a regionalização.</w:t>
            </w:r>
          </w:p>
        </w:tc>
        <w:tc>
          <w:tcPr>
            <w:tcW w:type="dxa" w:w="340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Não atende perda súbita de unidades, isolamento territorial ou picos transitórios; longo prazo de implantação.</w:t>
            </w:r>
          </w:p>
        </w:tc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Complementar e necessária, mas não substitutiva.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7.1 Recomendação da alternativa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E8F3EE"/>
            <w:tcBorders>
              <w:top w:val="single" w:sz="10" w:space="0" w:color="2E7D32"/>
              <w:left w:val="single" w:sz="10" w:space="0" w:color="2E7D32"/>
              <w:bottom w:val="single" w:sz="10" w:space="0" w:color="2E7D32"/>
              <w:right w:val="single" w:sz="10" w:space="0" w:color="2E7D32"/>
              <w:insideH w:val="single" w:sz="10" w:space="0" w:color="2E7D32"/>
              <w:insideV w:val="single" w:sz="10" w:space="0" w:color="2E7D32"/>
            </w:tcBorders>
          </w:tcPr>
          <w:p>
            <w:pPr>
              <w:spacing w:after="80"/>
            </w:pPr>
            <w:r>
              <w:rPr>
                <w:b/>
                <w:color w:val="2E7D32"/>
                <w:sz w:val="21"/>
              </w:rPr>
              <w:t>Alternativa mais vantajosa para aprofundamento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Serviço continuado de prontidão e resposta, com infraestrutura e logística integradas, capacidade N3 como núcleo de referência e módulos N1, N2 e N4 precificados separadamente. A decisão final dependerá da comparação do custo total entre aquisição e serviço, da capacidade do mercado e da aderência ao contrato hospitalar no qual a obrigação poderá ser inserida.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8. Solução recomendada</w:t>
      </w:r>
    </w:p>
    <w:p>
      <w:pPr>
        <w:widowControl/>
      </w:pPr>
      <w:r>
        <w:t>A solução será composta por núcleo físico e tecnológico modular, armazenado e mantido em prontidão, com cadeia logística dedicada, equipe de montagem e suporte, sistemas clínicos e utilidades, suprimentos iniciais e possibilidade de ativação de equipes assistenciais. A contratada integradora responderá pelo desempenho conjunto e pela compatibilidade dos subsistemas sob sua responsabilidade.</w:t>
      </w:r>
    </w:p>
    <w:p>
      <w:pPr>
        <w:pStyle w:val="Heading2"/>
        <w:keepNext/>
        <w:pageBreakBefore w:val="0"/>
        <w:widowControl/>
      </w:pPr>
      <w:r>
        <w:t>8.1 Descrição do objeto sugerida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DCEAF5"/>
            <w:tcBorders>
              <w:top w:val="single" w:sz="10" w:space="0" w:color="0B3A66"/>
              <w:left w:val="single" w:sz="10" w:space="0" w:color="0B3A66"/>
              <w:bottom w:val="single" w:sz="10" w:space="0" w:color="0B3A66"/>
              <w:right w:val="single" w:sz="10" w:space="0" w:color="0B3A66"/>
              <w:insideH w:val="single" w:sz="10" w:space="0" w:color="0B3A66"/>
              <w:insideV w:val="single" w:sz="10" w:space="0" w:color="0B3A66"/>
            </w:tcBorders>
          </w:tcPr>
          <w:p>
            <w:pPr>
              <w:spacing w:after="80"/>
            </w:pPr>
            <w:r>
              <w:rPr>
                <w:b/>
                <w:color w:val="0B3A66"/>
                <w:sz w:val="21"/>
              </w:rPr>
              <w:t>Redação-base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Contratação de solução integrada, modular, escalável e mobilizável para disponibilidade, transporte, implantação, comissionamento, operação, manutenção e desmobilização de Unidade Hospitalar Modular de Resposta a Emergências - UHMR, compreendendo infraestrutura temporária, equipamentos médico-hospitalares, mobiliário, energia, climatização, gases medicinais, água e saneamento, telecomunicações, tecnologia da informação, conectividade satelital, insumos, apoio logístico e operacional e, quando acionado, equipes profissionais, destinada ao atendimento de emergências em saúde pública, desastres, incidentes com múltiplas vítimas, interrupção de serviços e desassistência.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8.2 Limites de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291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Incluído</w:t>
            </w:r>
          </w:p>
        </w:tc>
        <w:tc>
          <w:tcPr>
            <w:tcW w:type="dxa" w:w="291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A definir/contratação correlata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Prontidão, armazenagem, inventário, manutenção e testes.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Segurança pública externa e controle territorial do perímetro.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Transporte, montagem, comissionamento e desmontagem.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Obras permanentes e recuperação definitiva do estabelecimento afetado.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Utilidades, conectividade, equipamentos e suporte técnico.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Remoção aeromédica e transporte sanitário além do perímetro, salvo módulo específico.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Consumíveis iniciais e reposição conforme pacote contratado.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Fornecimento de sangue e hemocomponentes, conforme hemorrede e protocolos.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Equipe operacional e, se acionado, módulo assistencial.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Atribuições indelegáveis de autoridade sanitária, regulação e comando estadual.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9. Arquitetura modular e níveis de ativação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  <w:tblHeader w:val="true"/>
        </w:trPr>
        <w:tc>
          <w:tcPr>
            <w:tcW w:type="dxa" w:w="93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Nível</w:t>
            </w:r>
          </w:p>
        </w:tc>
        <w:tc>
          <w:tcPr>
            <w:tcW w:type="dxa" w:w="162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Situação de uso</w:t>
            </w:r>
          </w:p>
        </w:tc>
        <w:tc>
          <w:tcPr>
            <w:tcW w:type="dxa" w:w="23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Capacidade indicativa</w:t>
            </w:r>
          </w:p>
        </w:tc>
        <w:tc>
          <w:tcPr>
            <w:tcW w:type="dxa" w:w="93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Meta de implantação*</w:t>
            </w:r>
          </w:p>
        </w:tc>
      </w:tr>
      <w:tr>
        <w:trPr>
          <w:cantSplit/>
          <w:cantSplit/>
        </w:trPr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N0 - Prontidão</w:t>
            </w:r>
          </w:p>
        </w:tc>
        <w:tc>
          <w:tcPr>
            <w:tcW w:type="dxa" w:w="162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Sem missão ativa.</w:t>
            </w:r>
          </w:p>
        </w:tc>
        <w:tc>
          <w:tcPr>
            <w:tcW w:type="dxa" w:w="23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Armazenagem, manutenção, estoque, testes e exercícios.</w:t>
            </w:r>
          </w:p>
        </w:tc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Permanente</w:t>
            </w:r>
          </w:p>
        </w:tc>
      </w:tr>
      <w:tr>
        <w:trPr>
          <w:cantSplit/>
          <w:cantSplit/>
        </w:trPr>
        <w:tc>
          <w:tcPr>
            <w:tcW w:type="dxa" w:w="93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N1 - Resposta rápida</w:t>
            </w:r>
          </w:p>
        </w:tc>
        <w:tc>
          <w:tcPr>
            <w:tcW w:type="dxa" w:w="162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Evento localizado, múltiplas vítimas ou interrupção parcial.</w:t>
            </w:r>
          </w:p>
        </w:tc>
        <w:tc>
          <w:tcPr>
            <w:tcW w:type="dxa" w:w="23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Triagem; 2-4 posições críticas; 6-12 observação; procedimentos; POC.</w:t>
            </w:r>
          </w:p>
        </w:tc>
        <w:tc>
          <w:tcPr>
            <w:tcW w:type="dxa" w:w="93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6-12 h</w:t>
            </w:r>
          </w:p>
        </w:tc>
      </w:tr>
      <w:tr>
        <w:trPr>
          <w:cantSplit/>
          <w:cantSplit/>
        </w:trPr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N2 - Assistência ampliada</w:t>
            </w:r>
          </w:p>
        </w:tc>
        <w:tc>
          <w:tcPr>
            <w:tcW w:type="dxa" w:w="162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Sobrecarga municipal/regional ou missão de alguns dias.</w:t>
            </w:r>
          </w:p>
        </w:tc>
        <w:tc>
          <w:tcPr>
            <w:tcW w:type="dxa" w:w="23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N1 + 12-20 leitos/observação; 4 críticos; diagnóstico ampliado; farmácia.</w:t>
            </w:r>
          </w:p>
        </w:tc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Até 18 h</w:t>
            </w:r>
          </w:p>
        </w:tc>
      </w:tr>
      <w:tr>
        <w:trPr>
          <w:cantSplit/>
          <w:cantSplit/>
        </w:trPr>
        <w:tc>
          <w:tcPr>
            <w:tcW w:type="dxa" w:w="93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N3 - Hospital modular</w:t>
            </w:r>
          </w:p>
        </w:tc>
        <w:tc>
          <w:tcPr>
            <w:tcW w:type="dxa" w:w="162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Perda hospitalar, desastre regional ou epidemia.</w:t>
            </w:r>
          </w:p>
        </w:tc>
        <w:tc>
          <w:tcPr>
            <w:tcW w:type="dxa" w:w="23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Mín. 20 leitos, expansível a 30; 4 críticos; 1 centro cirúrgico; isolamento; CME; imagem.</w:t>
            </w:r>
          </w:p>
        </w:tc>
        <w:tc>
          <w:tcPr>
            <w:tcW w:type="dxa" w:w="93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Até 24 h</w:t>
            </w:r>
          </w:p>
        </w:tc>
      </w:tr>
      <w:tr>
        <w:trPr>
          <w:cantSplit/>
          <w:cantSplit/>
        </w:trPr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N4 - Hospital expandido</w:t>
            </w:r>
          </w:p>
        </w:tc>
        <w:tc>
          <w:tcPr>
            <w:tcW w:type="dxa" w:w="162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Catástrofe ou substituição prolongada.</w:t>
            </w:r>
          </w:p>
        </w:tc>
        <w:tc>
          <w:tcPr>
            <w:tcW w:type="dxa" w:w="23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40-100 leitos; UTI modular; 2º centro cirúrgico; especialidades e apoio ampliado.</w:t>
            </w:r>
          </w:p>
        </w:tc>
        <w:tc>
          <w:tcPr>
            <w:tcW w:type="dxa" w:w="93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36-48 h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* Metas contadas conforme marcos contratuais definidos no item 13 e sujeitas à validação por consulta ao mercado. O prazo de transporte deve ser medido separadamente do prazo de montagem.</w:t>
      </w:r>
    </w:p>
    <w:p>
      <w:pPr>
        <w:pStyle w:val="Heading2"/>
        <w:keepNext/>
        <w:pageBreakBefore w:val="0"/>
        <w:widowControl/>
      </w:pPr>
      <w:r>
        <w:t>9.1 Princípios de configuração</w:t>
      </w:r>
    </w:p>
    <w:p>
      <w:pPr>
        <w:pStyle w:val="ListBullet"/>
        <w:widowControl/>
        <w:spacing w:after="70" w:line="259" w:lineRule="auto"/>
        <w:ind w:left="340" w:hanging="142"/>
      </w:pPr>
      <w:r>
        <w:t>os níveis são acumulativos, mas módulos especializados podem ser acionados isoladamente;</w:t>
      </w:r>
    </w:p>
    <w:p>
      <w:pPr>
        <w:pStyle w:val="ListBullet"/>
        <w:widowControl/>
        <w:spacing w:after="70" w:line="259" w:lineRule="auto"/>
        <w:ind w:left="340" w:hanging="142"/>
      </w:pPr>
      <w:r>
        <w:t>a ampliação não pode exigir interrupção dos módulos já operacionais;</w:t>
      </w:r>
    </w:p>
    <w:p>
      <w:pPr>
        <w:pStyle w:val="ListBullet"/>
        <w:widowControl/>
        <w:spacing w:after="70" w:line="259" w:lineRule="auto"/>
        <w:ind w:left="340" w:hanging="142"/>
      </w:pPr>
      <w:r>
        <w:t>leitos críticos devem ser contabilizados separadamente dos leitos de enfermaria;</w:t>
      </w:r>
    </w:p>
    <w:p>
      <w:pPr>
        <w:pStyle w:val="ListBullet"/>
        <w:widowControl/>
        <w:spacing w:after="70" w:line="259" w:lineRule="auto"/>
        <w:ind w:left="340" w:hanging="142"/>
      </w:pPr>
      <w:r>
        <w:t>o N3 deve manter compatibilidade funcional com EMT Tipo 2, sem exigir automaticamente certificação OMS da licitante;</w:t>
      </w:r>
    </w:p>
    <w:p>
      <w:pPr>
        <w:pStyle w:val="ListBullet"/>
        <w:widowControl/>
        <w:spacing w:after="70" w:line="259" w:lineRule="auto"/>
        <w:ind w:left="340" w:hanging="142"/>
      </w:pPr>
      <w:r>
        <w:t>o N4 deve ser tratado como expansão opcional, evitando custo fixo desproporcional;</w:t>
      </w:r>
    </w:p>
    <w:p>
      <w:pPr>
        <w:pStyle w:val="ListBullet"/>
        <w:widowControl/>
        <w:spacing w:after="70" w:line="259" w:lineRule="auto"/>
        <w:ind w:left="340" w:hanging="142"/>
      </w:pPr>
      <w:r>
        <w:t>o layout final deve ser aprovado após Site Assessment e incluir rotas de ambulância, evacuação e segurança.</w:t>
      </w:r>
    </w:p>
    <w:p>
      <w:pPr>
        <w:pStyle w:val="Heading1"/>
        <w:keepNext/>
        <w:pageBreakBefore w:val="0"/>
        <w:widowControl/>
      </w:pPr>
      <w:r>
        <w:t>10. Ciclo operacional e logística</w:t>
      </w:r>
    </w:p>
    <w:p>
      <w:pPr>
        <w:pStyle w:val="Heading2"/>
        <w:keepNext/>
        <w:pageBreakBefore w:val="0"/>
        <w:widowControl/>
      </w:pPr>
      <w:r>
        <w:t>10.1 Prontidão</w:t>
      </w:r>
    </w:p>
    <w:p>
      <w:pPr>
        <w:widowControl/>
      </w:pPr>
      <w:r>
        <w:t>Durante N0, a contratada deverá manter a solução completa, identificada, rastreável, testada e disponível, com equipe de acionamento, planos atualizados, estoque dentro da validade e registros auditáveis. A SES-MT poderá inspecionar o local de armazenagem e solicitar testes sem aviso prévio, dentro de regras definidas.</w:t>
      </w:r>
    </w:p>
    <w:p>
      <w:pPr>
        <w:pStyle w:val="Heading2"/>
        <w:keepNext/>
        <w:pageBreakBefore w:val="0"/>
        <w:widowControl/>
      </w:pPr>
      <w:r>
        <w:t>10.2 Acionamento e reconhecimento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1. </w:t>
      </w:r>
      <w:r>
        <w:t>Emissão da Ordem de Acionamento e definição preliminar do nível.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2. </w:t>
      </w:r>
      <w:r>
        <w:t>Confirmação, ativação do ponto focal e reunião inicial.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3. </w:t>
      </w:r>
      <w:r>
        <w:t>Avaliação remota e/ou presencial do sítio, acessos, ameaças e utilidades.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4. </w:t>
      </w:r>
      <w:r>
        <w:t>Plano de Mobilização com rota, cargas, equipe, cronograma, necessidades e riscos.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5. </w:t>
      </w:r>
      <w:r>
        <w:t>Liberação do sítio pela Administração e início do deslocamento.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6. </w:t>
      </w:r>
      <w:r>
        <w:t>Montagem, integração, testes, comissionamento e Termo de Liberação Operacional.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7. </w:t>
      </w:r>
      <w:r>
        <w:t>Operação, expansão/redução e reabastecimento.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8. </w:t>
      </w:r>
      <w:r>
        <w:t>Desmobilização, descontaminação, inventário, reposição e relatório pós-ação.</w:t>
      </w:r>
    </w:p>
    <w:p>
      <w:pPr>
        <w:pStyle w:val="Heading2"/>
        <w:keepNext/>
        <w:pageBreakBefore w:val="0"/>
        <w:widowControl/>
      </w:pPr>
      <w:r>
        <w:t>10.3 Site Assessment mínimo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2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Domínio</w:t>
            </w:r>
          </w:p>
        </w:tc>
        <w:tc>
          <w:tcPr>
            <w:tcW w:type="dxa" w:w="457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Verificações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Terreno e ameaças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Coordenadas, área útil, declividade, drenagem, inundação, vento, incêndio, estruturas próximas e segurança.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Acesso e fluxo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Rodovias, pontes, restrições de peso/altura, área de manobra, ambulâncias, pedestres, evacuação e pouso quando aplicável.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Utilidades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Energia, água, esgoto, resíduos, combustível, iluminação e pontos de conexão.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Rede assistencial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Unidades de referência, regulação, SAMU, laboratório, hemorrede, farmácia e transporte sanitário.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Comunicações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Cobertura móvel, visada/instalação satelital, rádio, interferências e segurança da informação.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Licenciamento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Autorizações locais, vigilância sanitária, incêndio, radiologia, meio ambiente e ocupação do sítio.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10.4 Transporte e rastreabilidade</w:t>
      </w:r>
    </w:p>
    <w:p>
      <w:pPr>
        <w:pStyle w:val="ListBullet"/>
        <w:widowControl/>
        <w:spacing w:after="70" w:line="259" w:lineRule="auto"/>
        <w:ind w:left="340" w:hanging="142"/>
      </w:pPr>
      <w:r>
        <w:t>embalagens e cases resistentes, identificados por módulo, caixa, peso, volume, conteúdo e prioridade de descarga;</w:t>
      </w:r>
    </w:p>
    <w:p>
      <w:pPr>
        <w:pStyle w:val="ListBullet"/>
        <w:widowControl/>
        <w:spacing w:after="70" w:line="259" w:lineRule="auto"/>
        <w:ind w:left="340" w:hanging="142"/>
      </w:pPr>
      <w:r>
        <w:t>QR Code ou RFID, manifesto eletrônico de carga e cadeia de custódia;</w:t>
      </w:r>
    </w:p>
    <w:p>
      <w:pPr>
        <w:pStyle w:val="ListBullet"/>
        <w:widowControl/>
        <w:spacing w:after="70" w:line="259" w:lineRule="auto"/>
        <w:ind w:left="340" w:hanging="142"/>
      </w:pPr>
      <w:r>
        <w:t>plano rodoviário para todas as regiões de Mato Grosso, com rotas alternativas;</w:t>
      </w:r>
    </w:p>
    <w:p>
      <w:pPr>
        <w:pStyle w:val="ListBullet"/>
        <w:keepLines/>
        <w:widowControl/>
        <w:spacing w:after="70" w:line="259" w:lineRule="auto" w:before="120"/>
        <w:ind w:left="340" w:hanging="142"/>
      </w:pPr>
      <w:r>
        <w:t>meios próprios ou contratos firmes para veículos, empilhadeiras, guindastes e apoio local;</w:t>
      </w:r>
    </w:p>
    <w:p>
      <w:pPr>
        <w:pStyle w:val="ListBullet"/>
        <w:widowControl/>
        <w:spacing w:after="70" w:line="259" w:lineRule="auto"/>
        <w:ind w:left="340" w:hanging="142"/>
      </w:pPr>
      <w:r>
        <w:t>compatibilidade com aerotransporte civil como requisito desejável; paletização militar apenas se justificada.</w:t>
      </w:r>
    </w:p>
    <w:p>
      <w:pPr>
        <w:pStyle w:val="Heading2"/>
        <w:keepNext/>
        <w:pageBreakBefore w:val="0"/>
        <w:widowControl/>
      </w:pPr>
      <w:r>
        <w:t>10.5 Desmobilização</w:t>
      </w:r>
    </w:p>
    <w:p>
      <w:pPr>
        <w:widowControl/>
      </w:pPr>
      <w:r>
        <w:t>A desmobilização dependerá de autorização da SES-MT e de plano que assegure suspensão ordenada de admissões, transferência de pacientes, encerramento de registros, inventário, descontaminação, resíduos, desmontagem, transporte, manutenção pós-missão, reposição e retorno à prontidão. Em até 15 dias úteis, a contratada deverá apresentar Relatório Pós-Ação, salvo prazo menor definido pela gravidade do evento.</w:t>
      </w:r>
    </w:p>
    <w:p>
      <w:pPr>
        <w:pStyle w:val="Heading1"/>
        <w:keepNext/>
        <w:pageBreakBefore w:val="0"/>
        <w:widowControl/>
      </w:pPr>
      <w:r>
        <w:t>11. Comunicações, tecnologia e proteção de dados</w:t>
      </w:r>
    </w:p>
    <w:p>
      <w:pPr>
        <w:pStyle w:val="Heading2"/>
        <w:keepNext/>
        <w:pageBreakBefore w:val="0"/>
        <w:widowControl/>
      </w:pPr>
      <w:r>
        <w:t>11.1 Arquitetura de conectividade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2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Camada</w:t>
            </w:r>
          </w:p>
        </w:tc>
        <w:tc>
          <w:tcPr>
            <w:tcW w:type="dxa" w:w="457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Requisito mínimo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Satélite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Terminal de rápida instalação, plano de dados compatível com operação clínica, energia protegida e redundância de equipamentos críticos.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Rede móvel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Roteador multi-SIM com pelo menos duas operadoras quando houver cobertura e failover automático.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Rádio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Comunicação operacional interna e interoperabilidade planejada com SAMU, Defesa Civil, segurança e logística.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Rede local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Wi-Fi corporativo e cabeado; segmentação clínica, administrativa, dispositivos e convidados; firewall e VPN.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Telefonia/telemedicina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Telefonia IP, videoconferência e recursos para teleconsultoria e apoio diagnóstico.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11.2 Sistemas de informação</w:t>
      </w:r>
    </w:p>
    <w:p>
      <w:pPr>
        <w:pStyle w:val="ListBullet"/>
        <w:widowControl/>
        <w:spacing w:after="70" w:line="259" w:lineRule="auto"/>
        <w:ind w:left="340" w:hanging="142"/>
      </w:pPr>
      <w:r>
        <w:t>registro de atendimento e prontuário com modo offline e sincronização controlada;</w:t>
      </w:r>
    </w:p>
    <w:p>
      <w:pPr>
        <w:pStyle w:val="ListBullet"/>
        <w:widowControl/>
        <w:spacing w:after="70" w:line="259" w:lineRule="auto"/>
        <w:ind w:left="340" w:hanging="142"/>
      </w:pPr>
      <w:r>
        <w:t>identificação do paciente, classificação de risco, prescrição, administração, exames, alta e transferência;</w:t>
      </w:r>
    </w:p>
    <w:p>
      <w:pPr>
        <w:pStyle w:val="ListBullet"/>
        <w:widowControl/>
        <w:spacing w:after="70" w:line="259" w:lineRule="auto"/>
        <w:ind w:left="340" w:hanging="142"/>
      </w:pPr>
      <w:r>
        <w:t>integração com regulação, vigilância, CNES e sistemas definidos pela SES-MT;</w:t>
      </w:r>
    </w:p>
    <w:p>
      <w:pPr>
        <w:pStyle w:val="ListBullet"/>
        <w:widowControl/>
        <w:spacing w:after="70" w:line="259" w:lineRule="auto"/>
        <w:ind w:left="340" w:hanging="142"/>
      </w:pPr>
      <w:r>
        <w:t>painel operacional de leitos, filas, estoque, consumo, equipe, energia, água, gases e incidentes;</w:t>
      </w:r>
    </w:p>
    <w:p>
      <w:pPr>
        <w:pStyle w:val="ListBullet"/>
        <w:widowControl/>
        <w:spacing w:after="70" w:line="259" w:lineRule="auto"/>
        <w:ind w:left="340" w:hanging="142"/>
      </w:pPr>
      <w:r>
        <w:t>exportação de dados em formatos abertos e entrega integral à SES-MT ao fim da missão;</w:t>
      </w:r>
    </w:p>
    <w:p>
      <w:pPr>
        <w:pStyle w:val="ListBullet"/>
        <w:widowControl/>
        <w:spacing w:after="70" w:line="259" w:lineRule="auto"/>
        <w:ind w:left="340" w:hanging="142"/>
      </w:pPr>
      <w:r>
        <w:t>trilhas de auditoria, perfis de acesso, autenticação forte, criptografia, backup e resposta a incidentes;</w:t>
      </w:r>
    </w:p>
    <w:p>
      <w:pPr>
        <w:pStyle w:val="ListBullet"/>
        <w:widowControl/>
        <w:spacing w:after="70" w:line="259" w:lineRule="auto"/>
        <w:ind w:left="340" w:hanging="142"/>
      </w:pPr>
      <w:r>
        <w:t>proibição de uso secundário dos dados pela contratada sem base legal e autorização expressa.</w:t>
      </w:r>
    </w:p>
    <w:p>
      <w:pPr>
        <w:pStyle w:val="Heading2"/>
        <w:keepNext/>
        <w:pageBreakBefore w:val="0"/>
        <w:widowControl/>
        <w:spacing w:before="280"/>
      </w:pPr>
      <w:r>
        <w:t>11.3 Continuidade digital</w:t>
      </w:r>
    </w:p>
    <w:p>
      <w:pPr>
        <w:widowControl/>
      </w:pPr>
      <w:r>
        <w:t>O Termo de Referência deverá definir RTO e RPO dos sistemas, procedimentos manuais de contingência, tempo máximo de indisponibilidade, capacidade offline, rotina de backups e testes de restauração. A comunicação principal ou redundante deverá possuir disponibilidade mensal compatível com missão crítica, com exclusões objetivas e evidências de medição.</w:t>
      </w:r>
    </w:p>
    <w:p>
      <w:pPr>
        <w:pStyle w:val="Heading1"/>
        <w:keepNext/>
        <w:pageBreakBefore w:val="0"/>
        <w:widowControl/>
      </w:pPr>
      <w:r>
        <w:t>12. Equipes e organização do trabalho</w:t>
      </w:r>
    </w:p>
    <w:p>
      <w:pPr>
        <w:widowControl/>
      </w:pPr>
      <w:r>
        <w:t>A composição exata das equipes dependerá do perfil assistencial e das normas profissionais vigentes. Recomenda-se separar o núcleo operacional permanente das equipes clínicas acionáveis, permitindo ao Estado mobilizar profissionais próprios, contratar módulo assistencial ou combinar ambos.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26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Núcleo</w:t>
            </w:r>
          </w:p>
        </w:tc>
        <w:tc>
          <w:tcPr>
            <w:tcW w:type="dxa" w:w="457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Perfis indicativos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Comando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Coordenador da missão; direção clínica; coordenação de enfermagem; operações/logística; administração; segurança; ligação com SES/COES.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Assistencial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Emergencistas/clínicos; cirurgião; anestesiologista; pediatra; intensivista quando aplicável; enfermeiros; técnicos; fisioterapeuta; farmacêutico; psicólogo; assistente social.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Diagnóstico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Profissionais de laboratório, radiologia e ultrassonografia, conforme escopo.</w:t>
            </w:r>
          </w:p>
        </w:tc>
      </w:tr>
      <w:tr>
        <w:trPr>
          <w:cantSplit/>
          <w:cantSplit/>
        </w:trPr>
        <w:tc>
          <w:tcPr>
            <w:tcW w:type="dxa" w:w="126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Técnico-operacional</w:t>
            </w:r>
          </w:p>
        </w:tc>
        <w:tc>
          <w:tcPr>
            <w:tcW w:type="dxa" w:w="457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Engenharia clínica; elétrica; mecânica; HVAC; gases; TI; telecom; WASH; logística; limpeza; alimentação; segurança patrimonial.</w:t>
            </w:r>
          </w:p>
        </w:tc>
      </w:tr>
      <w:tr>
        <w:trPr>
          <w:cantSplit/>
          <w:cantSplit/>
        </w:trPr>
        <w:tc>
          <w:tcPr>
            <w:tcW w:type="dxa" w:w="126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Reserva</w:t>
            </w:r>
          </w:p>
        </w:tc>
        <w:tc>
          <w:tcPr>
            <w:tcW w:type="dxa" w:w="457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Profissionais e operadores para substituição, descanso, afastamentos e expansão.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12.1 Regras de dimensionamento</w:t>
      </w:r>
    </w:p>
    <w:p>
      <w:pPr>
        <w:pStyle w:val="ListBullet"/>
        <w:widowControl/>
        <w:spacing w:after="70" w:line="259" w:lineRule="auto"/>
        <w:ind w:left="340" w:hanging="142"/>
      </w:pPr>
      <w:r>
        <w:t>matriz por posto de trabalho, turno, nível e capacidade assistencial;</w:t>
      </w:r>
    </w:p>
    <w:p>
      <w:pPr>
        <w:pStyle w:val="ListBullet"/>
        <w:widowControl/>
        <w:spacing w:after="70" w:line="259" w:lineRule="auto"/>
        <w:ind w:left="340" w:hanging="142"/>
      </w:pPr>
      <w:r>
        <w:t>cobertura 24/7 com limites de jornada, descanso, alojamento e alimentação;</w:t>
      </w:r>
    </w:p>
    <w:p>
      <w:pPr>
        <w:pStyle w:val="ListBullet"/>
        <w:widowControl/>
        <w:spacing w:after="70" w:line="259" w:lineRule="auto"/>
        <w:ind w:left="340" w:hanging="142"/>
      </w:pPr>
      <w:r>
        <w:t>credenciamento, registro profissional, vacinação, saúde ocupacional e treinamento;</w:t>
      </w:r>
    </w:p>
    <w:p>
      <w:pPr>
        <w:pStyle w:val="ListBullet"/>
        <w:widowControl/>
        <w:spacing w:after="70" w:line="259" w:lineRule="auto"/>
        <w:ind w:left="340" w:hanging="142"/>
      </w:pPr>
      <w:r>
        <w:t>competências para emergência, trauma, controle de infecção, segurança e trabalho em campo;</w:t>
      </w:r>
    </w:p>
    <w:p>
      <w:pPr>
        <w:pStyle w:val="ListBullet"/>
        <w:widowControl/>
        <w:spacing w:after="70" w:line="259" w:lineRule="auto"/>
        <w:ind w:left="340" w:hanging="142"/>
      </w:pPr>
      <w:r>
        <w:t>integração ao comando da missão e protocolos da SES-MT;</w:t>
      </w:r>
    </w:p>
    <w:p>
      <w:pPr>
        <w:pStyle w:val="ListBullet"/>
        <w:widowControl/>
        <w:spacing w:after="70" w:line="259" w:lineRule="auto"/>
        <w:ind w:left="340" w:hanging="142"/>
      </w:pPr>
      <w:r>
        <w:t>responsabilidade clínica da SES-MT preservada nos termos definidos pela autoridade sanitária.</w:t>
      </w:r>
    </w:p>
    <w:p>
      <w:pPr>
        <w:pStyle w:val="Heading1"/>
        <w:keepNext/>
        <w:pageBreakBefore w:val="0"/>
        <w:widowControl/>
      </w:pPr>
      <w:r>
        <w:t>13. Modelo de execução e níveis de serviço</w:t>
      </w:r>
    </w:p>
    <w:p>
      <w:pPr>
        <w:pStyle w:val="Heading2"/>
        <w:keepNext/>
        <w:pageBreakBefore w:val="0"/>
        <w:widowControl/>
      </w:pPr>
      <w:r>
        <w:t>13.1 Marcos do acionamento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584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Marco</w:t>
            </w:r>
          </w:p>
        </w:tc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Prazo indicativo</w:t>
            </w:r>
          </w:p>
        </w:tc>
        <w:tc>
          <w:tcPr>
            <w:tcW w:type="dxa" w:w="2808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  <w:cantSplit/>
        </w:trPr>
        <w:tc>
          <w:tcPr>
            <w:tcW w:type="dxa" w:w="158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T0 - Ordem de Acionamento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Imediato</w:t>
            </w:r>
          </w:p>
        </w:tc>
        <w:tc>
          <w:tcPr>
            <w:tcW w:type="dxa" w:w="280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Documento assinado/registro no sistema.</w:t>
            </w:r>
          </w:p>
        </w:tc>
      </w:tr>
      <w:tr>
        <w:trPr>
          <w:cantSplit/>
          <w:cantSplit/>
        </w:trPr>
        <w:tc>
          <w:tcPr>
            <w:tcW w:type="dxa" w:w="158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Confirmação de recebimento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Até 15 min</w:t>
            </w:r>
          </w:p>
        </w:tc>
        <w:tc>
          <w:tcPr>
            <w:tcW w:type="dxa" w:w="280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Protocolo e identificação do ponto focal.</w:t>
            </w:r>
          </w:p>
        </w:tc>
      </w:tr>
      <w:tr>
        <w:trPr>
          <w:cantSplit/>
          <w:cantSplit/>
        </w:trPr>
        <w:tc>
          <w:tcPr>
            <w:tcW w:type="dxa" w:w="158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Contato operacional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Até 30 min</w:t>
            </w:r>
          </w:p>
        </w:tc>
        <w:tc>
          <w:tcPr>
            <w:tcW w:type="dxa" w:w="280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Registro da conferência inicial.</w:t>
            </w:r>
          </w:p>
        </w:tc>
      </w:tr>
      <w:tr>
        <w:trPr>
          <w:cantSplit/>
          <w:cantSplit/>
        </w:trPr>
        <w:tc>
          <w:tcPr>
            <w:tcW w:type="dxa" w:w="158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Plano de Mobilização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Até 2 h</w:t>
            </w:r>
          </w:p>
        </w:tc>
        <w:tc>
          <w:tcPr>
            <w:tcW w:type="dxa" w:w="280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Plano com cargas, equipe, rota, cronograma e riscos.</w:t>
            </w:r>
          </w:p>
        </w:tc>
      </w:tr>
      <w:tr>
        <w:trPr>
          <w:cantSplit/>
          <w:cantSplit/>
        </w:trPr>
        <w:tc>
          <w:tcPr>
            <w:tcW w:type="dxa" w:w="158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Primeiros recursos em deslocamento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Até 6 h</w:t>
            </w:r>
          </w:p>
        </w:tc>
        <w:tc>
          <w:tcPr>
            <w:tcW w:type="dxa" w:w="280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Telemetria, manifesto e comprovante de saída.</w:t>
            </w:r>
          </w:p>
        </w:tc>
      </w:tr>
      <w:tr>
        <w:trPr>
          <w:cantSplit/>
          <w:cantSplit/>
        </w:trPr>
        <w:tc>
          <w:tcPr>
            <w:tcW w:type="dxa" w:w="158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N1 operacional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6-12 h após chegada/liberação</w:t>
            </w:r>
          </w:p>
        </w:tc>
        <w:tc>
          <w:tcPr>
            <w:tcW w:type="dxa" w:w="280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Termo de Liberação Operacional parcial.</w:t>
            </w:r>
          </w:p>
        </w:tc>
      </w:tr>
      <w:tr>
        <w:trPr>
          <w:cantSplit/>
          <w:cantSplit/>
        </w:trPr>
        <w:tc>
          <w:tcPr>
            <w:tcW w:type="dxa" w:w="158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N3 operacional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Até 24 h após chegada/liberação</w:t>
            </w:r>
          </w:p>
        </w:tc>
        <w:tc>
          <w:tcPr>
            <w:tcW w:type="dxa" w:w="280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Termo de Liberação Operacional completo.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DCEAF5"/>
            <w:tcBorders>
              <w:top w:val="single" w:sz="10" w:space="0" w:color="0B3A66"/>
              <w:left w:val="single" w:sz="10" w:space="0" w:color="0B3A66"/>
              <w:bottom w:val="single" w:sz="10" w:space="0" w:color="0B3A66"/>
              <w:right w:val="single" w:sz="10" w:space="0" w:color="0B3A66"/>
              <w:insideH w:val="single" w:sz="10" w:space="0" w:color="0B3A66"/>
              <w:insideV w:val="single" w:sz="10" w:space="0" w:color="0B3A66"/>
            </w:tcBorders>
          </w:tcPr>
          <w:p>
            <w:pPr>
              <w:spacing w:after="80"/>
            </w:pPr>
            <w:r>
              <w:rPr>
                <w:b/>
                <w:color w:val="0B3A66"/>
                <w:sz w:val="21"/>
              </w:rPr>
              <w:t>Regra de medição do prazo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O contrato deverá manter quatro relógios separados: mobilização, viagem, montagem e comissionamento. Impedimentos atribuíveis à Administração ou a eventos extraordinários somente suspenderão o relógio afetado, mediante registro contemporâneo e validação do fiscal.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13.2 Indicadores contratuais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188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Meta inicial</w:t>
            </w:r>
          </w:p>
        </w:tc>
        <w:tc>
          <w:tcPr>
            <w:tcW w:type="dxa" w:w="2844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Medição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Disponibilidade em prontidão</w:t>
            </w:r>
          </w:p>
        </w:tc>
        <w:tc>
          <w:tcPr>
            <w:tcW w:type="dxa" w:w="118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≥ 99%</w:t>
            </w:r>
          </w:p>
        </w:tc>
        <w:tc>
          <w:tcPr>
            <w:tcW w:type="dxa" w:w="28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Checklist mensal e auditorias.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Confirmação do acionamento</w:t>
            </w:r>
          </w:p>
        </w:tc>
        <w:tc>
          <w:tcPr>
            <w:tcW w:type="dxa" w:w="118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≤ 15 min</w:t>
            </w:r>
          </w:p>
        </w:tc>
        <w:tc>
          <w:tcPr>
            <w:tcW w:type="dxa" w:w="28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Registro automático.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Plano de Mobilização</w:t>
            </w:r>
          </w:p>
        </w:tc>
        <w:tc>
          <w:tcPr>
            <w:tcW w:type="dxa" w:w="118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≤ 2 h</w:t>
            </w:r>
          </w:p>
        </w:tc>
        <w:tc>
          <w:tcPr>
            <w:tcW w:type="dxa" w:w="28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Protocolo de entrega.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Equipamentos críticos funcionais</w:t>
            </w:r>
          </w:p>
        </w:tc>
        <w:tc>
          <w:tcPr>
            <w:tcW w:type="dxa" w:w="118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100%</w:t>
            </w:r>
          </w:p>
        </w:tc>
        <w:tc>
          <w:tcPr>
            <w:tcW w:type="dxa" w:w="28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Teste e inventário.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Insumos dentro da validade</w:t>
            </w:r>
          </w:p>
        </w:tc>
        <w:tc>
          <w:tcPr>
            <w:tcW w:type="dxa" w:w="118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100%</w:t>
            </w:r>
          </w:p>
        </w:tc>
        <w:tc>
          <w:tcPr>
            <w:tcW w:type="dxa" w:w="28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Rastreabilidade por lote/validade.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Energia de cargas críticas</w:t>
            </w:r>
          </w:p>
        </w:tc>
        <w:tc>
          <w:tcPr>
            <w:tcW w:type="dxa" w:w="118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≥ 99,9% na missão</w:t>
            </w:r>
          </w:p>
        </w:tc>
        <w:tc>
          <w:tcPr>
            <w:tcW w:type="dxa" w:w="28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Telemetria e diário operacional.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Comunicação principal ou redundante</w:t>
            </w:r>
          </w:p>
        </w:tc>
        <w:tc>
          <w:tcPr>
            <w:tcW w:type="dxa" w:w="118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≥ 99% na missão</w:t>
            </w:r>
          </w:p>
        </w:tc>
        <w:tc>
          <w:tcPr>
            <w:tcW w:type="dxa" w:w="28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Logs dos enlaces.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Rastreabilidade patrimonial</w:t>
            </w:r>
          </w:p>
        </w:tc>
        <w:tc>
          <w:tcPr>
            <w:tcW w:type="dxa" w:w="118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100%</w:t>
            </w:r>
          </w:p>
        </w:tc>
        <w:tc>
          <w:tcPr>
            <w:tcW w:type="dxa" w:w="28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Inventário eletrônico.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Não conformidade crítica sem resposta</w:t>
            </w:r>
          </w:p>
        </w:tc>
        <w:tc>
          <w:tcPr>
            <w:tcW w:type="dxa" w:w="118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0</w:t>
            </w:r>
          </w:p>
        </w:tc>
        <w:tc>
          <w:tcPr>
            <w:tcW w:type="dxa" w:w="28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Registro e plano de ação.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13.3 Testes e aceitação</w:t>
      </w:r>
    </w:p>
    <w:p>
      <w:pPr>
        <w:pStyle w:val="ListBullet"/>
        <w:widowControl/>
        <w:spacing w:after="70" w:line="259" w:lineRule="auto"/>
        <w:ind w:left="340" w:hanging="142"/>
      </w:pPr>
      <w:r>
        <w:t>FAT para subsistemas críticos e integração antes da entrega inicial;</w:t>
      </w:r>
    </w:p>
    <w:p>
      <w:pPr>
        <w:pStyle w:val="ListBullet"/>
        <w:widowControl/>
        <w:spacing w:after="70" w:line="259" w:lineRule="auto"/>
        <w:ind w:left="340" w:hanging="142"/>
      </w:pPr>
      <w:r>
        <w:t>SAT no local de aceitação, com montagem e operação completas;</w:t>
      </w:r>
    </w:p>
    <w:p>
      <w:pPr>
        <w:pStyle w:val="ListBullet"/>
        <w:widowControl/>
        <w:spacing w:after="70" w:line="259" w:lineRule="auto"/>
        <w:ind w:left="340" w:hanging="142"/>
      </w:pPr>
      <w:r>
        <w:t>prova de conceito do licitante provisoriamente vencedor, se juridicamente adotada e prevista no edital;</w:t>
      </w:r>
    </w:p>
    <w:p>
      <w:pPr>
        <w:pStyle w:val="ListBullet"/>
        <w:widowControl/>
        <w:spacing w:after="70" w:line="259" w:lineRule="auto"/>
        <w:ind w:left="340" w:hanging="142"/>
      </w:pPr>
      <w:r>
        <w:t>teste de energia principal, geradores, transferência, UPS, aterramento e cargas;</w:t>
      </w:r>
    </w:p>
    <w:p>
      <w:pPr>
        <w:pStyle w:val="ListBullet"/>
        <w:widowControl/>
        <w:spacing w:after="70" w:line="259" w:lineRule="auto"/>
        <w:ind w:left="340" w:hanging="142"/>
      </w:pPr>
      <w:r>
        <w:t>teste de climatização, pressão negativa, trocas de ar, alarmes e filtros;</w:t>
      </w:r>
    </w:p>
    <w:p>
      <w:pPr>
        <w:pStyle w:val="ListBullet"/>
        <w:widowControl/>
        <w:spacing w:after="70" w:line="259" w:lineRule="auto"/>
        <w:ind w:left="340" w:hanging="142"/>
      </w:pPr>
      <w:r>
        <w:t>teste de gases medicinais, água, efluentes, equipamentos, satélite, rede, rádio e sistemas;</w:t>
      </w:r>
    </w:p>
    <w:p>
      <w:pPr>
        <w:pStyle w:val="ListBullet"/>
        <w:widowControl/>
        <w:spacing w:after="70" w:line="259" w:lineRule="auto"/>
        <w:ind w:left="340" w:hanging="142"/>
      </w:pPr>
      <w:r>
        <w:t>simulação assistencial e de falha dos sistemas críticos;</w:t>
      </w:r>
    </w:p>
    <w:p>
      <w:pPr>
        <w:pStyle w:val="ListBullet"/>
        <w:widowControl/>
        <w:spacing w:after="70" w:line="259" w:lineRule="auto"/>
        <w:ind w:left="340" w:hanging="142"/>
      </w:pPr>
      <w:r>
        <w:t>exercício completo anual e exercícios parciais periódicos.</w:t>
      </w:r>
    </w:p>
    <w:p>
      <w:pPr>
        <w:pStyle w:val="Heading1"/>
        <w:keepNext/>
        <w:pageBreakBefore w:val="0"/>
        <w:widowControl/>
      </w:pPr>
      <w:r>
        <w:t>14. Estimativas de quantidades</w:t>
      </w:r>
    </w:p>
    <w:p>
      <w:pPr>
        <w:widowControl/>
      </w:pPr>
      <w:r>
        <w:t>As quantidades abaixo constituem envelope inicial para pesquisa de mercado e deverão ser confirmadas pela equipe de planejamento. A contratação deve prever uma unidade completa de referência N3, fracionável em N1 e N2, e opções de expansão N4.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Item de capacidade</w:t>
            </w:r>
          </w:p>
        </w:tc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Quantidade de referência</w:t>
            </w:r>
          </w:p>
        </w:tc>
        <w:tc>
          <w:tcPr>
            <w:tcW w:type="dxa" w:w="259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Conjunto UHMR N3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 conjunto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Núcleo de 20 leitos, expansível a 30, mais quatro posições críticas e uma sala cirúrgica.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Configuração N1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 subconjunto acionável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Deve operar independentemente do restante.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Configuração N2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 expansão acionável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Acrescenta leitos, diagnóstico e apoio.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Expansão N4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Opção de 20 a 70 leitos adicionais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Contratação por módulos e diária, conforme evento.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Isolamento respiratório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Mínimo 2 leitos independentes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Pressão negativa quando indicada.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Conectividade satelital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2 terminais ou solução equivalente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Principal e reserva/uso distribuído.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Geradores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Arquitetura N+1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Dimensionados por estudo de carga, não por potência arbitrária.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Autonomia inicial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72 horas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Inclui água, combustível, gases, insumos e consumíveis críticos.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Exercício completo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1 por ano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Montagem, comissionamento e simulação.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Exercícios parciais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Mínimo 2 por ano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Comunicações, energia, inventário e módulos prioritários.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14.1 Estimativa de acionamentos para precificação</w:t>
      </w:r>
    </w:p>
    <w:p>
      <w:pPr>
        <w:widowControl/>
      </w:pPr>
      <w:r>
        <w:t>Para tornar comparáveis as propostas, a planilha de pesquisa de preços deverá adotar um cenário de consumo estimado sem gerar obrigação de acionamento. Sugestão para simulação econômica: 12 meses de prontidão; um exercício completo anual; duas mobilizações N1 por ano; uma mobilização N2 a cada dois anos; uma mobilização N3 a cada três anos; e N4 apenas como opção. Esses volumes são parâmetros de comparação e devem ser revistos com dados históricos e análise de risco.</w:t>
      </w:r>
    </w:p>
    <w:p>
      <w:pPr>
        <w:pStyle w:val="Heading1"/>
        <w:keepNext/>
        <w:pageBreakBefore w:val="0"/>
        <w:widowControl/>
      </w:pPr>
      <w:r>
        <w:t>15. Parcelamento e estratégia de contratação</w:t>
      </w:r>
    </w:p>
    <w:p>
      <w:pPr>
        <w:widowControl/>
      </w:pPr>
      <w:r>
        <w:t>O parcelamento deve ser avaliado à luz da competitividade, especialização do mercado e risco de interface. A fragmentação indiscriminada pode comprometer o comissionamento e dificultar a atribuição de responsabilidade quando sistemas críticos falharem em conjunto.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Bloco funcional</w:t>
            </w:r>
          </w:p>
        </w:tc>
        <w:tc>
          <w:tcPr>
            <w:tcW w:type="dxa" w:w="4031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Estratégia sugerida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Infraestrutura, utilidades, equipamentos, TI e logística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Lote integrado ou responsabilidade de um integrador líder, com subcontratações qualificadas e responsabilidade única pelo desempenho.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Equipes assistenciais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Módulo/lote separável ou obrigação específica do contrato hospitalar, após validação jurídica e de dimensionamento.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Medicamentos e consumíveis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Kits por nível e diária; admitir fornecimento pela SES-MT quando vantajoso, com interface e reposição claramente definidas.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Transporte especial/aéreo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Item sob demanda, sem exigir capacidade militar como requisito de habilitação.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15.1 Consórcios e subcontratação</w:t>
      </w:r>
    </w:p>
    <w:p>
      <w:pPr>
        <w:widowControl/>
      </w:pPr>
      <w:r>
        <w:t>A participação em consórcio deve ser considerada caso o levantamento de mercado demonstre concentração de capacidades em empresas distintas. A subcontratação poderá ser admitida para especialidades, sem afastar a responsabilidade integral da contratada líder, vedada a subcontratação total do objeto. Requisitos técnicos devem ser proporcionais às parcelas de maior relevância e valor significativo.</w:t>
      </w:r>
    </w:p>
    <w:p>
      <w:pPr>
        <w:pStyle w:val="Heading1"/>
        <w:keepNext/>
        <w:pageBreakBefore w:val="0"/>
        <w:widowControl/>
      </w:pPr>
      <w:r>
        <w:t>16. Resultados pretendidos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4031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Indicador de sucesso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Redução do tempo de resposta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Capacidade N1 e N3 instalada nos prazos definidos.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Continuidade assistencial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Operação segura mesmo com falha de uma fonte crítica.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Adequação da capacidade ao evento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Ativação e desativação modular sem interrupção.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Previsibilidade financeira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Preços unitários por prontidão, acionamento, diária e expansão.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Qualidade e segurança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Testes de aceitação aprovados e ausência de não conformidade crítica aberta.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Rastreabilidade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Inventário, consumo, validade, manutenção e incidentes registrados.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Integração ao SUS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Fluxos pactuados com regulação, vigilância, SAMU, rede hospitalar e laboratório.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Aprendizado institucional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Exercícios, AAR e planos de melhoria concluídos.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17. Modelo econômico e pesquisa de preços</w:t>
      </w:r>
    </w:p>
    <w:p>
      <w:pPr>
        <w:widowControl/>
      </w:pPr>
      <w:r>
        <w:t>A estimativa do valor da contratação somente poderá ser concluída após pesquisa de mercado, consulta a fornecedores e definição do envelope de quantidades. O processo deve registrar preços unitários, memórias de cálculo, fontes, data-base, tributos, mobilização, distâncias, pessoal, manutenção e custo do ciclo de vida.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291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Componente de preço</w:t>
            </w:r>
          </w:p>
        </w:tc>
        <w:tc>
          <w:tcPr>
            <w:tcW w:type="dxa" w:w="291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Unidade de medição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A. Prontidão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R$/mês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B. Mobilização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R$/acionamento por nível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C. Transporte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R$/faixa de distância, km ou região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D. Instalação e comissionamento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R$/nível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E. Operação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R$/dia por nível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F. Equipe assistencial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R$/pacote de 24 h por nível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G. Consumíveis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R$/kit/dia ou por perfil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H. Módulo de expansão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R$/módulo/dia</w:t>
            </w:r>
          </w:p>
        </w:tc>
      </w:tr>
      <w:tr>
        <w:trPr>
          <w:cantSplit/>
          <w:cantSplit/>
        </w:trPr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I. Desmobilização</w:t>
            </w:r>
          </w:p>
        </w:tc>
        <w:tc>
          <w:tcPr>
            <w:tcW w:type="dxa" w:w="291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R$/evento</w:t>
            </w:r>
          </w:p>
        </w:tc>
      </w:tr>
      <w:tr>
        <w:trPr>
          <w:cantSplit/>
          <w:cantSplit/>
        </w:trPr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J. Treinamento/exercício</w:t>
            </w:r>
          </w:p>
        </w:tc>
        <w:tc>
          <w:tcPr>
            <w:tcW w:type="dxa" w:w="291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R$/evento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17.1 Comparação de custo total</w:t>
      </w:r>
    </w:p>
    <w:p>
      <w:pPr>
        <w:widowControl/>
      </w:pPr>
      <w:r>
        <w:t>A análise deverá comparar, em horizonte plurianual, pelo menos: aquisição integral; serviço de prontidão; e locação episódica. Incluir aquisição/locação, depreciação, armazenamento, seguro, manutenção, calibração, licenças, conectividade, atualização tecnológica, equipe de prontidão, exercícios, mobilizações, consumíveis, descarte e valor residual.</w:t>
      </w:r>
    </w:p>
    <w:p>
      <w:pPr>
        <w:pStyle w:val="Heading1"/>
        <w:keepNext/>
        <w:pageBreakBefore w:val="0"/>
        <w:widowControl/>
      </w:pPr>
      <w:r>
        <w:t>18. Providências prévias à contratação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1. </w:t>
      </w:r>
      <w:r>
        <w:t>Designar formalmente equipe multidisciplinar de planejamento.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2. </w:t>
      </w:r>
      <w:r>
        <w:t>Definir unidade requisitante, gestor do futuro contrato e fonte orçamentária.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3. </w:t>
      </w:r>
      <w:r>
        <w:t>Validar cenários e dimensionamento com atenção hospitalar, urgência e emergência, regulação, vigilância, engenharia, STI, assistência farmacêutica, LACEN e áreas administrativas.</w:t>
      </w:r>
    </w:p>
    <w:p>
      <w:pPr>
        <w:widowControl/>
        <w:spacing w:after="60" w:line="259" w:lineRule="auto"/>
        <w:ind w:left="340" w:hanging="340"/>
      </w:pPr>
      <w:r>
        <w:t>4. Extrair, padronizar e validar as séries do CIEVS-MT, CNES, IndicaSUS/Monitora Hospitalar, SISREG, S2iD/Defesa Civil, SIH/SUS, SIA/SUS, SINAN, SIVEP-Gripe e GAL, com dicionário, data de corte e nota metodológica.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5. </w:t>
      </w:r>
      <w:r>
        <w:t>Promover RFI/consulta pública e visitas técnicas a soluções existentes.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6. </w:t>
      </w:r>
      <w:r>
        <w:t>Comparar aquisição, locação e serviço pelo custo total do ciclo de vida.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7. </w:t>
      </w:r>
      <w:r>
        <w:t>Definir parcelamento, participação em consórcio, subcontratação e qualificação técnica.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8. </w:t>
      </w:r>
      <w:r>
        <w:t>Elaborar matriz de riscos, orçamento estimado, Termo de Referência, minuta contratual e anexos.</w:t>
      </w:r>
    </w:p>
    <w:p>
      <w:pPr>
        <w:widowControl/>
        <w:spacing w:after="60" w:line="259" w:lineRule="auto"/>
        <w:ind w:left="340" w:hanging="340"/>
      </w:pPr>
      <w:r>
        <w:rPr>
          <w:b/>
        </w:rPr>
        <w:t xml:space="preserve">9. </w:t>
      </w:r>
      <w:r>
        <w:t>Submeter os documentos à vigilância sanitária, controle de infecção, engenharia, segurança do trabalho, proteção de dados, aquisições e assessoria jurídica.</w:t>
      </w:r>
    </w:p>
    <w:p>
      <w:pPr>
        <w:keepLines/>
        <w:widowControl/>
        <w:spacing w:after="60" w:line="259" w:lineRule="auto" w:before="120"/>
        <w:ind w:left="340" w:hanging="340"/>
      </w:pPr>
      <w:r>
        <w:rPr>
          <w:b/>
        </w:rPr>
        <w:t xml:space="preserve">10. </w:t>
      </w:r>
      <w:r>
        <w:t>Planejar governança, treinamento, fiscalização, sistemas de registro e exercícios antes do início da vigência.</w:t>
      </w:r>
    </w:p>
    <w:p>
      <w:pPr>
        <w:widowControl/>
      </w:pPr>
      <w:r>
        <w:t>11. Mapear e avaliar previamente sítios de instalação nas 16 sedes regionais e em municípios de maior risco, registrando área útil, acesso de cargas, drenagem, segurança, energia, água, esgoto, comunicações e possibilidade de expansão.</w:t>
      </w:r>
    </w:p>
    <w:p>
      <w:pPr>
        <w:pStyle w:val="Heading2"/>
        <w:keepNext/>
        <w:pageBreakBefore w:val="0"/>
        <w:widowControl/>
      </w:pPr>
      <w:r>
        <w:t>18.1 Equipe mínima de planejamento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Área</w:t>
            </w:r>
          </w:p>
        </w:tc>
        <w:tc>
          <w:tcPr>
            <w:tcW w:type="dxa" w:w="4031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Contribuição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Unidade demandante/gestão hospitalar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Escopo assistencial, integração ao contrato hospitalar e resultados.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Urgência, emergência e regulação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Fluxos, referência, remoção e dimensionamento.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Vigilância/CIEVS/COES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Cenários, níveis de ativação, comando e vigilância em emergências.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Engenharia e manutenção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Estrutura, energia, HVAC, gases, WASH, incêndio e testes.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STI e proteção de dados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Conectividade, sistemas, cibersegurança, LGPD e interoperabilidade.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Vigilância sanitária/CCIH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Requisitos sanitários, isolamento, fluxos, limpeza e resíduos.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Assistência farmacêutica/LACEN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Medicamentos, cadeia fria, diagnóstico, POC e suprimentos.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Aquisições/orçamento/jurídico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Modelo econômico, licitação, riscos, garantias e minuta.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19. Contratações correlatas e interdependentes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Dependência</w:t>
            </w:r>
          </w:p>
        </w:tc>
        <w:tc>
          <w:tcPr>
            <w:tcW w:type="dxa" w:w="4031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Tratamento recomendado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Contrato da unidade hospitalar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Definir se a UHMR será obrigação do mesmo contratado ou contratação autônoma; evitar dupla remuneração.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SAMU e transporte sanitário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Pactuar ambulâncias, remoções, comunicação e prioridade.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Regulação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Integrar acesso, leitos, transferências e referência.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Hemorrede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Definir fornecimento, transporte, cadeia fria e responsabilidade transfusional.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Resíduos e efluentes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Confirmar capacidade local e contingência contratada.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Combustível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Definir inclusão no preço, estoque, segurança e reabastecimento.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Segurança e perímetro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Articular forças estaduais/municipais e segurança patrimonial interna.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Telecomunicações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Licenças, frequências, planos de dados e interoperabilidade.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Licenças sanitárias e locais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Matriz de responsabilidades e rito acelerado para emergência.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20. Sustentabilidade e impactos ambientais</w:t>
      </w:r>
    </w:p>
    <w:p>
      <w:pPr>
        <w:pStyle w:val="ListBullet"/>
        <w:widowControl/>
        <w:spacing w:after="70" w:line="259" w:lineRule="auto"/>
        <w:ind w:left="340" w:hanging="142"/>
      </w:pPr>
      <w:r>
        <w:t>equipamentos energeticamente eficientes e monitoramento de consumo;</w:t>
      </w:r>
    </w:p>
    <w:p>
      <w:pPr>
        <w:pStyle w:val="ListBullet"/>
        <w:widowControl/>
        <w:spacing w:after="70" w:line="259" w:lineRule="auto"/>
        <w:ind w:left="340" w:hanging="142"/>
      </w:pPr>
      <w:r>
        <w:t>geradores com controle de emissões, ruído, contenção de combustível e manutenção;</w:t>
      </w:r>
    </w:p>
    <w:p>
      <w:pPr>
        <w:pStyle w:val="ListBullet"/>
        <w:widowControl/>
        <w:spacing w:after="70" w:line="259" w:lineRule="auto"/>
        <w:ind w:left="340" w:hanging="142"/>
      </w:pPr>
      <w:r>
        <w:t>redução de descartáveis quando clinicamente segura e sem comprometer o controle de infecção;</w:t>
      </w:r>
    </w:p>
    <w:p>
      <w:pPr>
        <w:pStyle w:val="ListBullet"/>
        <w:widowControl/>
        <w:spacing w:after="70" w:line="259" w:lineRule="auto"/>
        <w:ind w:left="340" w:hanging="142"/>
      </w:pPr>
      <w:r>
        <w:t>segregação e destinação de resíduos conforme PGRSS e licenças;</w:t>
      </w:r>
    </w:p>
    <w:p>
      <w:pPr>
        <w:pStyle w:val="ListBullet"/>
        <w:widowControl/>
        <w:spacing w:after="70" w:line="259" w:lineRule="auto"/>
        <w:ind w:left="340" w:hanging="142"/>
      </w:pPr>
      <w:r>
        <w:t>uso racional de água, detecção de vazamentos e solução adequada de efluentes;</w:t>
      </w:r>
    </w:p>
    <w:p>
      <w:pPr>
        <w:pStyle w:val="ListBullet"/>
        <w:widowControl/>
        <w:spacing w:after="70" w:line="259" w:lineRule="auto"/>
        <w:ind w:left="340" w:hanging="142"/>
      </w:pPr>
      <w:r>
        <w:t>embalagens reutilizáveis, inventário de químicos e logística reversa quando aplicável;</w:t>
      </w:r>
    </w:p>
    <w:p>
      <w:pPr>
        <w:pStyle w:val="ListBullet"/>
        <w:widowControl/>
        <w:spacing w:after="70" w:line="259" w:lineRule="auto"/>
        <w:ind w:left="340" w:hanging="142"/>
      </w:pPr>
      <w:r>
        <w:t>recuperação do sítio após desmobilização e registro de passivos ambientais;</w:t>
      </w:r>
    </w:p>
    <w:p>
      <w:pPr>
        <w:pStyle w:val="ListBullet"/>
        <w:widowControl/>
        <w:spacing w:after="70" w:line="259" w:lineRule="auto"/>
        <w:ind w:left="340" w:hanging="142"/>
      </w:pPr>
      <w:r>
        <w:t>critérios sociais e trabalhistas, acessibilidade e condições dignas para pacientes e equipes.</w:t>
      </w:r>
    </w:p>
    <w:p>
      <w:pPr>
        <w:pStyle w:val="Heading1"/>
        <w:keepNext/>
        <w:pageBreakBefore w:val="0"/>
        <w:widowControl/>
      </w:pPr>
      <w:r>
        <w:t>21. Riscos preliminares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  <w:tblHeader w:val="true"/>
        </w:trPr>
        <w:tc>
          <w:tcPr>
            <w:tcW w:type="dxa" w:w="1475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Risco</w:t>
            </w:r>
          </w:p>
        </w:tc>
        <w:tc>
          <w:tcPr>
            <w:tcW w:type="dxa" w:w="61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Prob.</w:t>
            </w:r>
          </w:p>
        </w:tc>
        <w:tc>
          <w:tcPr>
            <w:tcW w:type="dxa" w:w="648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309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Tratamento/alocação inicial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Atraso na mobilização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SLA, rastreamento, rotas alternativas, penalidade; contratada.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Sítio inadequado ou não liberado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Site Assessment e locais pré-mapeados; Administração/compartilhado.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Falha de energia ou combustível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Crítico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N+1, UPS, telemetria e estoque; contratada conforme escopo.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Falha de gases medicinais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Baixa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Crítico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Fonte reserva, cálculo de consumo, alarmes e reposição; contratada.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Incompatibilidade entre subsistemas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Crítico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Integrador único, FAT/SAT e prova de conceito; contratada.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Falta de profissionais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Crítico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Reserva, escala e substituição; responsável pelo módulo assistencial.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Ruptura de estoque/validade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FEFO, rastreabilidade, kits e estoque de segurança; contratada/SES conforme matriz.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Indisponibilidade de comunicação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Satélite + móvel + rádio; contratada.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Evento acima do envelope de projeto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Baixa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Crítico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Limites declarados, evacuação e matriz contratual; compartilhado.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Incidente de dados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Segurança, logs, criptografia e resposta; alocação conforme causa.</w:t>
            </w:r>
          </w:p>
        </w:tc>
      </w:tr>
      <w:tr>
        <w:trPr>
          <w:cantSplit/>
          <w:cantSplit/>
        </w:trPr>
        <w:tc>
          <w:tcPr>
            <w:tcW w:type="dxa" w:w="1475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Restrição competitiva</w:t>
            </w:r>
          </w:p>
        </w:tc>
        <w:tc>
          <w:tcPr>
            <w:tcW w:type="dxa" w:w="6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RFI, requisitos funcionais, equivalência e qualificação proporcional; Administração.</w:t>
            </w:r>
          </w:p>
        </w:tc>
      </w:tr>
      <w:tr>
        <w:trPr>
          <w:cantSplit/>
          <w:cantSplit/>
        </w:trPr>
        <w:tc>
          <w:tcPr>
            <w:tcW w:type="dxa" w:w="1475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Custo fixo desproporcional</w:t>
            </w:r>
          </w:p>
        </w:tc>
        <w:tc>
          <w:tcPr>
            <w:tcW w:type="dxa" w:w="6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Média</w:t>
            </w:r>
          </w:p>
        </w:tc>
        <w:tc>
          <w:tcPr>
            <w:tcW w:type="dxa" w:w="6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Alto</w:t>
            </w:r>
          </w:p>
        </w:tc>
        <w:tc>
          <w:tcPr>
            <w:tcW w:type="dxa" w:w="30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Modelo por prontidão + acionamento e expansão opcional; Administração.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t>A matriz definitiva deverá atribuir proprietário, causa, consequência, controles preventivos, plano de contingência, gatilhos, evidências e impacto econômico, vinculando riscos às cláusulas contratuais e ao equilíbrio econômico-financeiro.</w:t>
      </w:r>
    </w:p>
    <w:p>
      <w:pPr>
        <w:pStyle w:val="Heading1"/>
        <w:keepNext/>
        <w:pageBreakBefore w:val="0"/>
        <w:widowControl/>
      </w:pPr>
      <w:r>
        <w:t>22. Governança, fiscalização e medição</w:t>
      </w:r>
    </w:p>
    <w:p>
      <w:pPr>
        <w:pStyle w:val="Heading2"/>
        <w:keepNext/>
        <w:pageBreakBefore w:val="0"/>
        <w:widowControl/>
      </w:pPr>
      <w:r>
        <w:t>22.1 Governança da missão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Nível</w:t>
            </w:r>
          </w:p>
        </w:tc>
        <w:tc>
          <w:tcPr>
            <w:tcW w:type="dxa" w:w="4031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Responsabilidade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Estratégico - SES/COE/COES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Definir missão, nível, prioridades, articulação interinstitucional, comunicação pública e encerramento.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Coordenação da missão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Comando unificado, ligação com território, segurança, regulação e acompanhamento dos resultados.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Direção clínica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Protocolos assistenciais, segurança do paciente, escalas, referência e qualidade clínica.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Operações e logística</w:t>
            </w:r>
          </w:p>
        </w:tc>
        <w:tc>
          <w:tcPr>
            <w:tcW w:type="dxa" w:w="4031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Infraestrutura, utilidades, estoque, transporte, manutenção e continuidade.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Vigilância e informação</w:t>
            </w:r>
          </w:p>
        </w:tc>
        <w:tc>
          <w:tcPr>
            <w:tcW w:type="dxa" w:w="4031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Notificação, análise, situação epidemiológica, dados, indicadores e comunicação de risco.</w:t>
            </w:r>
          </w:p>
        </w:tc>
      </w:tr>
    </w:tbl>
    <w:p>
      <w:pPr>
        <w:widowControl/>
        <w:spacing w:after="0"/>
      </w:pPr>
    </w:p>
    <w:p>
      <w:pPr>
        <w:pStyle w:val="Heading2"/>
        <w:keepNext/>
        <w:pageBreakBefore w:val="0"/>
        <w:widowControl/>
      </w:pPr>
      <w:r>
        <w:t>22.2 Fiscalização contratual</w:t>
      </w:r>
    </w:p>
    <w:p>
      <w:pPr>
        <w:pStyle w:val="ListBullet"/>
        <w:widowControl/>
        <w:spacing w:after="70" w:line="259" w:lineRule="auto"/>
        <w:ind w:left="340" w:hanging="142"/>
      </w:pPr>
      <w:r>
        <w:t>gestor do contrato e fiscais técnico, administrativo e setoriais formalmente designados;</w:t>
      </w:r>
    </w:p>
    <w:p>
      <w:pPr>
        <w:pStyle w:val="ListBullet"/>
        <w:widowControl/>
        <w:spacing w:after="70" w:line="259" w:lineRule="auto"/>
        <w:ind w:left="340" w:hanging="142"/>
      </w:pPr>
      <w:r>
        <w:t>painel com SLA, disponibilidade, chamados, inventário, manutenção, consumo e não conformidades;</w:t>
      </w:r>
    </w:p>
    <w:p>
      <w:pPr>
        <w:pStyle w:val="ListBullet"/>
        <w:widowControl/>
        <w:spacing w:after="70" w:line="259" w:lineRule="auto"/>
        <w:ind w:left="340" w:hanging="142"/>
      </w:pPr>
      <w:r>
        <w:t>boletim diário durante missão e relatório mensal na prontidão;</w:t>
      </w:r>
    </w:p>
    <w:p>
      <w:pPr>
        <w:pStyle w:val="ListBullet"/>
        <w:widowControl/>
        <w:spacing w:after="70" w:line="259" w:lineRule="auto"/>
        <w:ind w:left="340" w:hanging="142"/>
      </w:pPr>
      <w:r>
        <w:t>medição vinculada a entregas e resultados, com glosas objetivas e direito de contraditório;</w:t>
      </w:r>
    </w:p>
    <w:p>
      <w:pPr>
        <w:pStyle w:val="ListBullet"/>
        <w:widowControl/>
        <w:spacing w:after="70" w:line="259" w:lineRule="auto"/>
        <w:ind w:left="340" w:hanging="142"/>
      </w:pPr>
      <w:r>
        <w:t>reuniões de desempenho, auditorias, inspeções, exercícios e planos de melhoria;</w:t>
      </w:r>
    </w:p>
    <w:p>
      <w:pPr>
        <w:pStyle w:val="ListBullet"/>
        <w:widowControl/>
        <w:spacing w:after="70" w:line="259" w:lineRule="auto"/>
        <w:ind w:left="340" w:hanging="142"/>
      </w:pPr>
      <w:r>
        <w:t>registro de decisões, mudanças de escopo e eventos de risco.</w:t>
      </w:r>
    </w:p>
    <w:p>
      <w:pPr>
        <w:pStyle w:val="Heading1"/>
        <w:keepNext/>
        <w:pageBreakBefore w:val="0"/>
        <w:widowControl/>
      </w:pPr>
      <w:r>
        <w:t>23. Conclusão de viabilidade</w:t>
      </w:r>
    </w:p>
    <w:p>
      <w:pPr>
        <w:widowControl/>
      </w:pPr>
      <w:r>
        <w:t>A contratação é tecnicamente necessária e potencialmente viável, pois responde a risco relevante de interrupção ou insuficiência temporária da rede e pode reduzir o tempo de expansão assistencial em emergências. A arquitetura modular por níveis permite compatibilizar capacidade e custo, enquanto o modelo de prontidão e acionamento evita depender exclusivamente de contratações emergenciais posteriores ao evento.</w:t>
      </w:r>
    </w:p>
    <w:p>
      <w:pPr>
        <w:widowControl/>
      </w:pPr>
      <w:r>
        <w:t>A viabilidade definitiva fica condicionada à confirmação da demanda, consulta ao mercado, comparação entre aquisição e serviço pelo custo total do ciclo de vida, pesquisa de preços, validação sanitária e de engenharia, definição do tratamento das equipes assistenciais, disponibilidade orçamentária e análise jurídica. Recomenda-se prosseguir para RFI/consulta pública e elaboração do Termo de Referência com anexos técnicos.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25"/>
      </w:tblGrid>
      <w:tr>
        <w:trPr>
          <w:cantSplit/>
        </w:trPr>
        <w:tc>
          <w:tcPr>
            <w:tcW w:type="dxa" w:w="9525"/>
            <w:shd w:fill="E8F3EE"/>
            <w:tcBorders>
              <w:top w:val="single" w:sz="10" w:space="0" w:color="2E7D32"/>
              <w:left w:val="single" w:sz="10" w:space="0" w:color="2E7D32"/>
              <w:bottom w:val="single" w:sz="10" w:space="0" w:color="2E7D32"/>
              <w:right w:val="single" w:sz="10" w:space="0" w:color="2E7D32"/>
              <w:insideH w:val="single" w:sz="10" w:space="0" w:color="2E7D32"/>
              <w:insideV w:val="single" w:sz="10" w:space="0" w:color="2E7D32"/>
            </w:tcBorders>
          </w:tcPr>
          <w:p>
            <w:pPr>
              <w:spacing w:after="80"/>
            </w:pPr>
            <w:r>
              <w:rPr>
                <w:b/>
                <w:color w:val="2E7D32"/>
                <w:sz w:val="21"/>
              </w:rPr>
              <w:t>Declaração preliminar</w:t>
            </w:r>
          </w:p>
          <w:p>
            <w:pPr>
              <w:spacing w:after="0" w:line="259" w:lineRule="auto"/>
            </w:pPr>
            <w:r>
              <w:rPr>
                <w:color w:val="243443"/>
                <w:sz w:val="18"/>
              </w:rPr>
              <w:t>Com base nas informações disponíveis, a solução é considerada viável para prosseguimento do planejamento, com recomendação do modelo híbrido de capacidade integrada, modular e acionável. Esta conclusão não autoriza a contratação antes do cumprimento das etapas preparatórias.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</w:pPr>
      <w:r>
        <w:t>24. Deliberações necessárias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4"/>
              </w:rPr>
              <w:t>Decisão</w:t>
            </w:r>
          </w:p>
        </w:tc>
        <w:tc>
          <w:tcPr>
            <w:tcW w:type="dxa" w:w="259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4"/>
              </w:rPr>
              <w:t>Opções a validar</w:t>
            </w:r>
          </w:p>
        </w:tc>
        <w:tc>
          <w:tcPr>
            <w:tcW w:type="dxa" w:w="144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4"/>
              </w:rPr>
              <w:t>Área responsável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Inserção no contrato hospitalar ou contratação autônoma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Obrigação do operador hospitalar / licitação específica / modelo combinado.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Gestão hospitalar, aquisições e jurídico.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Base logística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Na unidade contratada / região metropolitana / base regional.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Logística e gestão.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Equipe assistencial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SES / contratada / módulo híbrido.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Atenção hospitalar, RH e jurídico.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Capacidade N3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20, 24 ou 30 leitos, preservando mínimo EMT Tipo 2.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Área assistencial.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Expansão N4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40, 60 ou 100 leitos máximos.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Planejamento e orçamento.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Autonomia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72 h inicial e estratégia de 7-14 dias.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Logística e engenharia.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Prazo de implantação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Metas por nível após consulta ao mercado.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Equipe de planejamento.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Modelo de contratação</w:t>
            </w:r>
          </w:p>
        </w:tc>
        <w:tc>
          <w:tcPr>
            <w:tcW w:type="dxa" w:w="259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Pregão/concorrência, SRP quando cabível, vigência e garantias.</w:t>
            </w:r>
          </w:p>
        </w:tc>
        <w:tc>
          <w:tcPr>
            <w:tcW w:type="dxa" w:w="144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Aquisições e jurídico.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Prova de conceito</w:t>
            </w:r>
          </w:p>
        </w:tc>
        <w:tc>
          <w:tcPr>
            <w:tcW w:type="dxa" w:w="259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Escopo, local, custos, fase e critérios eliminatórios.</w:t>
            </w:r>
          </w:p>
        </w:tc>
        <w:tc>
          <w:tcPr>
            <w:tcW w:type="dxa" w:w="144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4"/>
              </w:rPr>
              <w:t>Equipe técnica e aquisições.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</w:pPr>
      <w:r>
        <w:t>Referências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Lei nº 14.133, de 1º de abril de 2021. Lei de Licitações e Contratos Administrativos. Disponível em: https://www.planalto.gov.br/ccivil_03/_ato2019-2022/2021/lei/l14133.htm. Acesso em: 16 set. 2026.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Lei nº 13.709, de 14 de agosto de 2018. Lei Geral de Proteção de Dados Pessoais. Disponível em: https://www.planalto.gov.br/ccivil_03/_ato2015-2018/2018/lei/l13709.htm. Acesso em: 16 set. 2026.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Ministério da Saúde. Consulta Pública nº 04/2026: coleta de informações para formação de preços e requisitos aplicáveis às Emergency Medical Teams. Publicada em 13 ago. 2026; encerrada em 9 set. 2026. Disponível em: https://www.gov.br/saude/pt-br/acesso-a-informacao/participacao-social/consultas-publicas/2026/coleta-de-informacoes-para-formacao-de-precos-visando-atender-aos-requisitos-tecnicos-e-operacionais-aplicaveis-as-emt. Acesso em: 16 set. 2026.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Agência Nacional de Vigilância Sanitária. RDC nº 50, de 21 de fevereiro de 2002. Regulamento técnico para planejamento, programação, elaboração e avaliação de projetos físicos de estabelecimentos assistenciais de saúde.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Agência Nacional de Vigilância Sanitária. RDC nº 63, de 25 de novembro de 2011. Requisitos de boas práticas de funcionamento para os serviços de saúde.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Agência Nacional de Vigilância Sanitária. RDC nº 36, de 25 de julho de 2013. Ações para a segurança do paciente em serviços de saúde.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BRASIL. Agência Nacional de Vigilância Sanitária. RDC nº 222, de 28 de março de 2018. Boas práticas de gerenciamento dos resíduos de serviços de saúde.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MATO GROSSO. Decreto nº 1.525, de 23 de novembro de 2022. Regulamenta a Lei Federal nº 14.133/2021 no âmbito do Poder Executivo Estadual.</w:t>
      </w:r>
    </w:p>
    <w:p>
      <w:pPr>
        <w:widowControl/>
        <w:spacing w:after="140"/>
        <w:ind w:left="0" w:firstLine="0"/>
        <w:jc w:val="left"/>
      </w:pPr>
      <w:r>
        <w:rPr>
          <w:sz w:val="18"/>
        </w:rPr>
        <w:t>WORLD HEALTH ORGANIZATION. Classification and minimum standards for emergency medical teams. Geneva: WHO, 2021. Disponível em: https://www.who.int/publications/i/item/9789240029330. Acesso em: 16 set. 2026.</w:t>
      </w:r>
    </w:p>
    <w:p>
      <w:pPr>
        <w:widowControl/>
      </w:pPr>
      <w:r>
        <w:br w:type="page"/>
      </w:r>
    </w:p>
    <w:p>
      <w:pPr>
        <w:widowControl/>
        <w:jc w:val="left"/>
      </w:pPr>
      <w:r>
        <w:t>INSTITUTO BRASILEIRO DE GEOGRAFIA E ESTATÍSTICA. Mato Grosso: Cidades e Estados. População estimada em 2026. Disponível em: https://www.ibge.gov.br/cidades-e-estados/mt.html. Acesso em: 16 set. 2026.</w:t>
      </w:r>
    </w:p>
    <w:p>
      <w:pPr>
        <w:widowControl/>
        <w:jc w:val="left"/>
      </w:pPr>
      <w:r>
        <w:t>MATO GROSSO. Secretaria de Estado de Saúde. Resolução CIB/MT Ad Referendum nº 77, de 27 de agosto de 2026. Registra abrangência estadual de 142 municípios distribuídos em 16 Regiões de Saúde. Disponível em: https://www.saude.mt.gov.br/storage/files/vdu25efI9kwG57OCs00SdXC0r59O0u8UlRmKDQxJ.pdf. Acesso em: 16 set. 2026.</w:t>
      </w:r>
    </w:p>
    <w:p>
      <w:pPr>
        <w:widowControl/>
        <w:jc w:val="left"/>
      </w:pPr>
      <w:r>
        <w:t>MATO GROSSO. Corpo de Bombeiros Militar. Relatório Final da Temporada de Incêndios Florestais 2025. Cuiabá: CBMMT, jan. 2026. Disponível em: https://sema.mt.gov.br/site/phocadownload/CEGF/Temporada%20Incndios%20Florestais%20-2025%20Relatrio%20Final.pdf. Acesso em: 16 set. 2026.</w:t>
      </w:r>
    </w:p>
    <w:p>
      <w:pPr>
        <w:widowControl/>
        <w:jc w:val="left"/>
      </w:pPr>
      <w:r>
        <w:t>BRASIL. Centro Nacional de Monitoramento e Alertas de Desastres Naturais. Nota técnica sobre análise das condições de secas e previsões hidrológicas para a região do Pantanal. 7 jun. 2024. Disponível em: https://www.gov.br/cemaden/pt-br/nota-tecnica-sobre-analise-das-condicoes-de-secas-e-previsoes-hidrologicas-para-a-regiao-do-pananal. Acesso em: 16 set. 2026.</w:t>
      </w:r>
    </w:p>
    <w:p>
      <w:pPr>
        <w:widowControl/>
        <w:jc w:val="left"/>
      </w:pPr>
      <w:r>
        <w:t>MATO GROSSO. Secretaria de Estado de Saúde. Perfil dos óbitos por dengue e chikungunya em Mato Grosso em 2025. Dados do SINAN extraídos em 14 fev. 2025. Disponível em: https://www.saude.mt.gov.br/storage/files/GfVSYD5xsAA7vriPLWMGXn0y5kvWaKxQoDIEYFCz.pdf. Acesso em: 16 set. 2026.</w:t>
      </w: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A - Matriz resumida de módulos por nível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  <w:cantSplit/>
          <w:tblHeader w:val="true"/>
        </w:trPr>
        <w:tc>
          <w:tcPr>
            <w:tcW w:type="dxa" w:w="1800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Módulo</w:t>
            </w:r>
          </w:p>
        </w:tc>
        <w:tc>
          <w:tcPr>
            <w:tcW w:type="dxa" w:w="100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N1</w:t>
            </w:r>
          </w:p>
        </w:tc>
        <w:tc>
          <w:tcPr>
            <w:tcW w:type="dxa" w:w="100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N2</w:t>
            </w:r>
          </w:p>
        </w:tc>
        <w:tc>
          <w:tcPr>
            <w:tcW w:type="dxa" w:w="100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N3</w:t>
            </w:r>
          </w:p>
        </w:tc>
        <w:tc>
          <w:tcPr>
            <w:tcW w:type="dxa" w:w="100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N4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Comando, recepção e triagem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Ampliado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Sala de estabilização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2-4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4-10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Observação/internação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6-12 obs.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12-20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20-30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40-100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Consultórios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1-2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2-4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4+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Centro cirúrgico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-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Opcional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1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1-2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Isolamento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Fluxo separado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1-2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2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2+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POC/laboratório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Básico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Ampliado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Completo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Completo+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Imagem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USG opc.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USG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USG + RX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Ampliada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CME/esterilização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Processo local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Apoio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Ampliada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WASH e resíduos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Essencial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Ampliado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Completo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Completo+</w:t>
            </w:r>
          </w:p>
        </w:tc>
      </w:tr>
      <w:tr>
        <w:trPr>
          <w:cantSplit/>
          <w:cantSplit/>
        </w:trPr>
        <w:tc>
          <w:tcPr>
            <w:tcW w:type="dxa" w:w="1800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Energia N+1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Cargas críticas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</w:tr>
      <w:tr>
        <w:trPr>
          <w:cantSplit/>
          <w:cantSplit/>
        </w:trPr>
        <w:tc>
          <w:tcPr>
            <w:tcW w:type="dxa" w:w="1800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Satélite/móvel/rádio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Obrig.</w:t>
            </w:r>
          </w:p>
        </w:tc>
      </w:tr>
    </w:tbl>
    <w:p>
      <w:pPr>
        <w:widowControl/>
        <w:spacing w:after="0"/>
      </w:pP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B - Checklist de liberação operacional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/>
          <w:tblHeader w:val="true"/>
        </w:trPr>
        <w:tc>
          <w:tcPr>
            <w:tcW w:type="dxa" w:w="1296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Domínio</w:t>
            </w:r>
          </w:p>
        </w:tc>
        <w:tc>
          <w:tcPr>
            <w:tcW w:type="dxa" w:w="3528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Critérios mínimos</w:t>
            </w:r>
          </w:p>
        </w:tc>
        <w:tc>
          <w:tcPr>
            <w:tcW w:type="dxa" w:w="100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Situação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Estrutura e fluxo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Ancoragem, piso, acessibilidade, estanqueidade, sinalização, rotas e controle de acesso.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Energia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Rede, geradores, transferência, UPS, aterramento, proteção, carga e combustível.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Climatização/isolamento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Temperatura, pressão, trocas de ar, fluxo, filtros, alarmes e contingência.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Gases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Pureza/documentação, pressão, vazamento, alarmes, fontes e reserva.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Água/efluentes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Qualidade, reservação, vazão, drenagem, sanitários e descarte.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Equipamentos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Inventário, teste funcional, acessórios, calibração, bateria e reserva.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TI/comunicações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Satélite, móvel, rádio, Wi-Fi, VPN, sistemas, impressoras e modo offline.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Farmácia/insumos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Estoque, lote, validade, cadeia fria, controlados e kits.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Resíduos/limpeza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PGRSS, coletores, abrigo, rota, produtos e equipe.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Pessoas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Escalas, credenciais, EPI, treinamento, alimentação, descanso e saúde ocupacional.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Segurança</w:t>
            </w:r>
          </w:p>
        </w:tc>
        <w:tc>
          <w:tcPr>
            <w:tcW w:type="dxa" w:w="352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Incêndio, iluminação, evacuação, perímetro, incidentes e contatos.</w:t>
            </w:r>
          </w:p>
        </w:tc>
        <w:tc>
          <w:tcPr>
            <w:tcW w:type="dxa" w:w="100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  <w:tr>
        <w:trPr>
          <w:cantSplit/>
          <w:cantSplit/>
        </w:trPr>
        <w:tc>
          <w:tcPr>
            <w:tcW w:type="dxa" w:w="1296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Integração SUS</w:t>
            </w:r>
          </w:p>
        </w:tc>
        <w:tc>
          <w:tcPr>
            <w:tcW w:type="dxa" w:w="352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Regulação, SAMU, referência, vigilância, laboratório e comunicação pública.</w:t>
            </w:r>
          </w:p>
        </w:tc>
        <w:tc>
          <w:tcPr>
            <w:tcW w:type="dxa" w:w="100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5"/>
              </w:rPr>
              <w:t>☐ Conforme  ☐ NC  ☐ N/A</w:t>
            </w:r>
          </w:p>
        </w:tc>
      </w:tr>
    </w:tbl>
    <w:p>
      <w:pPr>
        <w:widowControl/>
        <w:spacing w:after="0"/>
      </w:pP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C - Perguntas mínimas para RFI/consulta ao mercado</w:t>
      </w:r>
    </w:p>
    <w:p>
      <w:pPr>
        <w:widowControl/>
        <w:ind w:left="510" w:hanging="227"/>
      </w:pPr>
      <w:r>
        <w:rPr>
          <w:b/>
        </w:rPr>
        <w:t xml:space="preserve">1. </w:t>
      </w:r>
      <w:r>
        <w:t>Qual tecnologia construtiva, vida útil, número de ciclos de montagem e condições de armazenamento?</w:t>
      </w:r>
    </w:p>
    <w:p>
      <w:pPr>
        <w:widowControl/>
        <w:ind w:left="340" w:hanging="340"/>
      </w:pPr>
      <w:r>
        <w:rPr>
          <w:b/>
        </w:rPr>
        <w:t xml:space="preserve">2. </w:t>
      </w:r>
      <w:r>
        <w:t>Qual peso, volume, número de veículos e sequência de cargas para cada nível?</w:t>
      </w:r>
    </w:p>
    <w:p>
      <w:pPr>
        <w:widowControl/>
        <w:ind w:left="340" w:hanging="340"/>
      </w:pPr>
      <w:r>
        <w:rPr>
          <w:b/>
        </w:rPr>
        <w:t xml:space="preserve">3. </w:t>
      </w:r>
      <w:r>
        <w:t>Qual prazo real de mobilização, viagem, montagem e comissionamento, por nível?</w:t>
      </w:r>
    </w:p>
    <w:p>
      <w:pPr>
        <w:widowControl/>
        <w:ind w:left="340" w:hanging="340"/>
      </w:pPr>
      <w:r>
        <w:rPr>
          <w:b/>
        </w:rPr>
        <w:t xml:space="preserve">4. </w:t>
      </w:r>
      <w:r>
        <w:t>Quais requisitos de terreno, equipamentos de movimentação e número de montadores?</w:t>
      </w:r>
    </w:p>
    <w:p>
      <w:pPr>
        <w:widowControl/>
        <w:ind w:left="340" w:hanging="340"/>
      </w:pPr>
      <w:r>
        <w:rPr>
          <w:b/>
        </w:rPr>
        <w:t xml:space="preserve">5. </w:t>
      </w:r>
      <w:r>
        <w:t>Como se comprova resistência a calor, chuva, vento, fogo, UV e cargas de piso?</w:t>
      </w:r>
    </w:p>
    <w:p>
      <w:pPr>
        <w:widowControl/>
        <w:ind w:left="340" w:hanging="340"/>
      </w:pPr>
      <w:r>
        <w:rPr>
          <w:b/>
        </w:rPr>
        <w:t xml:space="preserve">6. </w:t>
      </w:r>
      <w:r>
        <w:t>Como funcionam energia N+1, autonomia, abastecimento, UPS e telemetria?</w:t>
      </w:r>
    </w:p>
    <w:p>
      <w:pPr>
        <w:widowControl/>
        <w:ind w:left="340" w:hanging="340"/>
      </w:pPr>
      <w:r>
        <w:rPr>
          <w:b/>
        </w:rPr>
        <w:t xml:space="preserve">7. </w:t>
      </w:r>
      <w:r>
        <w:t>Qual solução de gases medicinais e qual consumo máximo demonstrado?</w:t>
      </w:r>
    </w:p>
    <w:p>
      <w:pPr>
        <w:widowControl/>
        <w:ind w:left="340" w:hanging="340"/>
      </w:pPr>
      <w:r>
        <w:rPr>
          <w:b/>
        </w:rPr>
        <w:t xml:space="preserve">8. </w:t>
      </w:r>
      <w:r>
        <w:t>Como se comprova pressão negativa, ACH, filtragem, alarmes e contingência?</w:t>
      </w:r>
    </w:p>
    <w:p>
      <w:pPr>
        <w:widowControl/>
        <w:ind w:left="340" w:hanging="340"/>
      </w:pPr>
      <w:r>
        <w:rPr>
          <w:b/>
        </w:rPr>
        <w:t xml:space="preserve">9. </w:t>
      </w:r>
      <w:r>
        <w:t>Qual capacidade de água, efluentes, sanitários, chuveiros e resíduos?</w:t>
      </w:r>
    </w:p>
    <w:p>
      <w:pPr>
        <w:widowControl/>
        <w:ind w:left="340" w:hanging="340"/>
      </w:pPr>
      <w:r>
        <w:rPr>
          <w:b/>
        </w:rPr>
        <w:t xml:space="preserve">10. </w:t>
      </w:r>
      <w:r>
        <w:t>Quais equipamentos, registros, calibrações, sobressalentes e assistência no Brasil?</w:t>
      </w:r>
    </w:p>
    <w:p>
      <w:pPr>
        <w:widowControl/>
        <w:ind w:left="340" w:hanging="340"/>
      </w:pPr>
      <w:r>
        <w:rPr>
          <w:b/>
        </w:rPr>
        <w:t xml:space="preserve">11. </w:t>
      </w:r>
      <w:r>
        <w:t>Como é fornecida a conectividade satelital e quais SLAs e franquias de dados?</w:t>
      </w:r>
    </w:p>
    <w:p>
      <w:pPr>
        <w:widowControl/>
        <w:ind w:left="340" w:hanging="340"/>
      </w:pPr>
      <w:r>
        <w:rPr>
          <w:b/>
        </w:rPr>
        <w:t xml:space="preserve">12. </w:t>
      </w:r>
      <w:r>
        <w:t>A solução opera offline e integra dados por APIs ou formatos abertos?</w:t>
      </w:r>
    </w:p>
    <w:p>
      <w:pPr>
        <w:widowControl/>
        <w:ind w:left="340" w:hanging="340"/>
      </w:pPr>
      <w:r>
        <w:rPr>
          <w:b/>
        </w:rPr>
        <w:t xml:space="preserve">13. </w:t>
      </w:r>
      <w:r>
        <w:t>Quais equipes podem ser fornecidas, em quanto tempo e com qual reserva?</w:t>
      </w:r>
    </w:p>
    <w:p>
      <w:pPr>
        <w:widowControl/>
        <w:ind w:left="340" w:hanging="340"/>
      </w:pPr>
      <w:r>
        <w:rPr>
          <w:b/>
        </w:rPr>
        <w:t xml:space="preserve">14. </w:t>
      </w:r>
      <w:r>
        <w:t>Quais itens podem ser ativados independentemente e como são precificados?</w:t>
      </w:r>
    </w:p>
    <w:p>
      <w:pPr>
        <w:widowControl/>
        <w:ind w:left="340" w:hanging="340"/>
      </w:pPr>
      <w:r>
        <w:rPr>
          <w:b/>
        </w:rPr>
        <w:t xml:space="preserve">15. </w:t>
      </w:r>
      <w:r>
        <w:t>O fornecedor aceita FAT, SAT, prova de conceito e exercícios periódicos?</w:t>
      </w:r>
    </w:p>
    <w:p>
      <w:pPr>
        <w:widowControl/>
        <w:ind w:left="340" w:hanging="340"/>
      </w:pPr>
      <w:r>
        <w:rPr>
          <w:b/>
        </w:rPr>
        <w:t xml:space="preserve">16. </w:t>
      </w:r>
      <w:r>
        <w:t>Quais custos de ciclo de vida, manutenção, atualização, seguro e reposição?</w:t>
      </w:r>
    </w:p>
    <w:p>
      <w:pPr>
        <w:widowControl/>
        <w:ind w:left="340" w:hanging="340"/>
      </w:pPr>
      <w:r>
        <w:rPr>
          <w:b/>
        </w:rPr>
        <w:t xml:space="preserve">17. </w:t>
      </w:r>
      <w:r>
        <w:t>Quais requisitos podem restringir a competição e quais equivalências são tecnicamente viáveis?</w:t>
      </w: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D - Estrutura mínima do Termo de Referência</w:t>
      </w:r>
    </w:p>
    <w:p>
      <w:pPr>
        <w:pStyle w:val="ListBullet"/>
        <w:widowControl/>
        <w:spacing w:after="70" w:line="259" w:lineRule="auto"/>
        <w:ind w:left="340" w:hanging="142"/>
      </w:pPr>
      <w:r>
        <w:t>Objeto e definições; fundamentação e vínculo com o ETP;</w:t>
      </w:r>
    </w:p>
    <w:p>
      <w:pPr>
        <w:pStyle w:val="ListBullet"/>
        <w:widowControl/>
        <w:spacing w:after="70" w:line="259" w:lineRule="auto"/>
        <w:ind w:left="340" w:hanging="142"/>
      </w:pPr>
      <w:r>
        <w:t>matriz N0-N4 e catálogo de módulos;</w:t>
      </w:r>
    </w:p>
    <w:p>
      <w:pPr>
        <w:pStyle w:val="ListBullet"/>
        <w:widowControl/>
        <w:spacing w:after="70" w:line="259" w:lineRule="auto"/>
        <w:ind w:left="340" w:hanging="142"/>
      </w:pPr>
      <w:r>
        <w:t>especificações funcionais e métodos de comprovação;</w:t>
      </w:r>
    </w:p>
    <w:p>
      <w:pPr>
        <w:pStyle w:val="ListBullet"/>
        <w:widowControl/>
        <w:spacing w:after="70" w:line="259" w:lineRule="auto"/>
        <w:ind w:left="340" w:hanging="142"/>
      </w:pPr>
      <w:r>
        <w:t>equipamentos, mobiliário, consumíveis e kits;</w:t>
      </w:r>
    </w:p>
    <w:p>
      <w:pPr>
        <w:pStyle w:val="ListBullet"/>
        <w:widowControl/>
        <w:spacing w:after="70" w:line="259" w:lineRule="auto"/>
        <w:ind w:left="340" w:hanging="142"/>
      </w:pPr>
      <w:r>
        <w:t>matriz de equipes por nível e turno;</w:t>
      </w:r>
    </w:p>
    <w:p>
      <w:pPr>
        <w:pStyle w:val="ListBullet"/>
        <w:widowControl/>
        <w:spacing w:after="70" w:line="259" w:lineRule="auto"/>
        <w:ind w:left="340" w:hanging="142"/>
      </w:pPr>
      <w:r>
        <w:t>logística, base, transporte, Site Assessment e mobilização;</w:t>
      </w:r>
    </w:p>
    <w:p>
      <w:pPr>
        <w:pStyle w:val="ListBullet"/>
        <w:widowControl/>
        <w:spacing w:after="70" w:line="259" w:lineRule="auto"/>
        <w:ind w:left="340" w:hanging="142"/>
      </w:pPr>
      <w:r>
        <w:t>comissionamento, FAT, SAT e prova de conceito;</w:t>
      </w:r>
    </w:p>
    <w:p>
      <w:pPr>
        <w:pStyle w:val="ListBullet"/>
        <w:widowControl/>
        <w:spacing w:after="70" w:line="259" w:lineRule="auto"/>
        <w:ind w:left="340" w:hanging="142"/>
      </w:pPr>
      <w:r>
        <w:t>prontidão, manutenção, calibração, treinamento e exercícios;</w:t>
      </w:r>
    </w:p>
    <w:p>
      <w:pPr>
        <w:pStyle w:val="ListBullet"/>
        <w:widowControl/>
        <w:spacing w:after="70" w:line="259" w:lineRule="auto"/>
        <w:ind w:left="340" w:hanging="142"/>
      </w:pPr>
      <w:r>
        <w:t>SLA, indicadores, relatórios, medição, glosas e sanções;</w:t>
      </w:r>
    </w:p>
    <w:p>
      <w:pPr>
        <w:pStyle w:val="ListBullet"/>
        <w:widowControl/>
        <w:spacing w:after="70" w:line="259" w:lineRule="auto"/>
        <w:ind w:left="340" w:hanging="142"/>
      </w:pPr>
      <w:r>
        <w:t>modelo econômico e planilha de preços unitários;</w:t>
      </w:r>
    </w:p>
    <w:p>
      <w:pPr>
        <w:pStyle w:val="ListBullet"/>
        <w:widowControl/>
        <w:spacing w:after="70" w:line="259" w:lineRule="auto"/>
        <w:ind w:left="340" w:hanging="142"/>
      </w:pPr>
      <w:r>
        <w:t>qualificação técnica, consórcio e subcontratação;</w:t>
      </w:r>
    </w:p>
    <w:p>
      <w:pPr>
        <w:pStyle w:val="ListBullet"/>
        <w:widowControl/>
        <w:spacing w:after="70" w:line="259" w:lineRule="auto"/>
        <w:ind w:left="340" w:hanging="142"/>
      </w:pPr>
      <w:r>
        <w:t>governança, segurança do paciente, LGPD e cibersegurança;</w:t>
      </w:r>
    </w:p>
    <w:p>
      <w:pPr>
        <w:pStyle w:val="ListBullet"/>
        <w:widowControl/>
        <w:spacing w:after="70" w:line="259" w:lineRule="auto"/>
        <w:ind w:left="340" w:hanging="142"/>
      </w:pPr>
      <w:r>
        <w:t>matriz de riscos, garantias, seguros e continuidade;</w:t>
      </w:r>
    </w:p>
    <w:p>
      <w:pPr>
        <w:pStyle w:val="ListBullet"/>
        <w:widowControl/>
        <w:spacing w:after="70" w:line="259" w:lineRule="auto"/>
        <w:ind w:left="340" w:hanging="142"/>
      </w:pPr>
      <w:r>
        <w:t>desmobilização, descontaminação, AAR e retorno à prontidão.</w:t>
      </w: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E - Registro de validações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  <w:tblHeader w:val="true"/>
        </w:trPr>
        <w:tc>
          <w:tcPr>
            <w:tcW w:type="dxa" w:w="1512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Área validadora</w:t>
            </w:r>
          </w:p>
        </w:tc>
        <w:tc>
          <w:tcPr>
            <w:tcW w:type="dxa" w:w="1548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Nome/função</w:t>
            </w:r>
          </w:p>
        </w:tc>
        <w:tc>
          <w:tcPr>
            <w:tcW w:type="dxa" w:w="827999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1944000"/>
            <w:shd w:fill="0B3A66"/>
            <w:vAlign w:val="center"/>
            <w:tcBorders>
              <w:top w:val="single" w:sz="5" w:space="0" w:color="0B3A66"/>
              <w:left w:val="single" w:sz="5" w:space="0" w:color="0B3A66"/>
              <w:bottom w:val="single" w:sz="5" w:space="0" w:color="0B3A66"/>
              <w:right w:val="single" w:sz="5" w:space="0" w:color="0B3A66"/>
              <w:insideH w:val="single" w:sz="5" w:space="0" w:color="0B3A66"/>
              <w:insideV w:val="single" w:sz="5" w:space="0" w:color="0B3A6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6"/>
              </w:rPr>
              <w:t>Parecer/ressalvas</w:t>
            </w:r>
          </w:p>
        </w:tc>
      </w:tr>
      <w:tr>
        <w:trPr>
          <w:cantSplit/>
          <w:cantSplit/>
        </w:trPr>
        <w:tc>
          <w:tcPr>
            <w:tcW w:type="dxa" w:w="15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Unidade requisitante</w:t>
            </w:r>
          </w:p>
        </w:tc>
        <w:tc>
          <w:tcPr>
            <w:tcW w:type="dxa" w:w="15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Atenção hospitalar</w:t>
            </w:r>
          </w:p>
        </w:tc>
        <w:tc>
          <w:tcPr>
            <w:tcW w:type="dxa" w:w="15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Urgência/regulação</w:t>
            </w:r>
          </w:p>
        </w:tc>
        <w:tc>
          <w:tcPr>
            <w:tcW w:type="dxa" w:w="15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Vigilância/CIEVS</w:t>
            </w:r>
          </w:p>
        </w:tc>
        <w:tc>
          <w:tcPr>
            <w:tcW w:type="dxa" w:w="15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Engenharia/manutenção</w:t>
            </w:r>
          </w:p>
        </w:tc>
        <w:tc>
          <w:tcPr>
            <w:tcW w:type="dxa" w:w="15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Vigilância sanitária/CCIH</w:t>
            </w:r>
          </w:p>
        </w:tc>
        <w:tc>
          <w:tcPr>
            <w:tcW w:type="dxa" w:w="15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STI/LGPD</w:t>
            </w:r>
          </w:p>
        </w:tc>
        <w:tc>
          <w:tcPr>
            <w:tcW w:type="dxa" w:w="15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Assistência farmacêutica/LACEN</w:t>
            </w:r>
          </w:p>
        </w:tc>
        <w:tc>
          <w:tcPr>
            <w:tcW w:type="dxa" w:w="15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Aquisições/orçamento</w:t>
            </w:r>
          </w:p>
        </w:tc>
        <w:tc>
          <w:tcPr>
            <w:tcW w:type="dxa" w:w="1548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  <w:tr>
        <w:trPr>
          <w:cantSplit/>
          <w:cantSplit/>
        </w:trPr>
        <w:tc>
          <w:tcPr>
            <w:tcW w:type="dxa" w:w="1512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  <w:t>Assessoria jurídica</w:t>
            </w:r>
          </w:p>
        </w:tc>
        <w:tc>
          <w:tcPr>
            <w:tcW w:type="dxa" w:w="1548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827999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  <w:tc>
          <w:tcPr>
            <w:tcW w:type="dxa" w:w="1944000"/>
            <w:shd w:fill="EEF5FA"/>
            <w:vAlign w:val="center"/>
            <w:tcBorders>
              <w:top w:val="single" w:sz="5" w:space="0" w:color="B7C7D6"/>
              <w:left w:val="single" w:sz="5" w:space="0" w:color="B7C7D6"/>
              <w:bottom w:val="single" w:sz="5" w:space="0" w:color="B7C7D6"/>
              <w:right w:val="single" w:sz="5" w:space="0" w:color="B7C7D6"/>
              <w:insideH w:val="single" w:sz="5" w:space="0" w:color="B7C7D6"/>
              <w:insideV w:val="single" w:sz="5" w:space="0" w:color="B7C7D6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Aptos" w:hAnsi="Aptos"/>
                <w:b w:val="0"/>
                <w:color w:val="243443"/>
                <w:sz w:val="16"/>
              </w:rPr>
            </w:r>
          </w:p>
        </w:tc>
      </w:tr>
    </w:tbl>
    <w:p>
      <w:pPr>
        <w:widowControl/>
        <w:spacing w:after="0"/>
      </w:pPr>
    </w:p>
    <w:p>
      <w:pPr>
        <w:widowControl/>
        <w:spacing w:before="200"/>
      </w:pPr>
    </w:p>
    <w:p>
      <w:pPr>
        <w:widowControl/>
      </w:pPr>
      <w:r>
        <w:br w:type="page"/>
      </w:r>
    </w:p>
    <w:p>
      <w:pPr>
        <w:pStyle w:val="Heading1"/>
        <w:keepNext/>
        <w:pageBreakBefore w:val="0"/>
        <w:widowControl/>
        <w:ind w:left="0" w:firstLine="0"/>
        <w:jc w:val="left"/>
      </w:pPr>
      <w:r>
        <w:t>ANEXO F - Base estadual de evidências</w:t>
      </w:r>
    </w:p>
    <w:p>
      <w:pPr>
        <w:widowControl/>
      </w:pPr>
      <w:r>
        <w:t>Este anexo estabelece o conjunto mínimo de dados necessário para confirmar o dimensionamento, os gatilhos de ativação, a localização logística, a frequência estimada de missões e o cenário de consumo utilizado na pesquisa de preços. As bases deverão ser entregues com dicionário, responsável, data de extração, período de referência, regras de cálculo e indicação de dado preliminar ou consolidado.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tblHeader w:val="true"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Base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Período e granularidade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Conteúdo mínimo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Finalidade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CIEVS-MT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2019-2026; evento e município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Sinal, detecção, notificação, verificação, resposta, encerramento, casos, óbitos, duração, recursos e ativação de COE/COES.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Frequência de missões, cenários e tempos de resposta.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CNES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Competência atual + série mensal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Estabelecimentos, leitos existentes/SUS, equipamentos, serviços, profissionais e gestão.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Capacidade instalada e vazios assistenciais.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IndicaSUS/Monitora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24-36 meses; diário ou semanal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Leitos elegíveis, operacionais, ocupados, bloqueados, admissões, altas, óbitos e espera no pronto-socorro.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Picos, capacidade residual e gatilhos N1-N4.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SISREG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24-36 meses; solicitação anonimizada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Origem, destino, prioridade, especialidade, leito, solicitação, autorização, transferência, recusa e cancelamento.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Pressão regional, espera e deslocamento assistencial.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S2iD/Defesa Civil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2015-2026; evento e município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COBRADE, decreto, pessoas afetadas, isolamento, danos, serviços essenciais e unidades de saúde atingidas.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Recorrência territorial e impacto de desastres.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Interrupções hospitalares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2021-2026; ocorrência e CNES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Energia, água, oxigênio, incêndio, alagamento, estrutura, TI, setores, leitos perdidos, transferências e duração.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Substituição parcial de unidades e módulos especializados.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SINAN/SIVEP/GAL/SIM/SIH/SIA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2019-2026; município e semana/mês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Casos, exames, hospitalizações, UTI, óbitos, positividade, tempo laboratorial e produção assistencial.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Perfil clínico, sazonalidade e kits assistenciais.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ARARAS/TITAN/VIGIAR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2019-2026; município e dia/semana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Calor, umidade, chuva, seca, focos, PM2,5, alertas, risco integrado, previsão e população exposta.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Antecipação, pré-posicionamento e acionamento climático.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SAMU/CBMMT/CIOPAER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2021-2026; ocorrência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Múltiplas vítimas, gravidade, tempos, recursos, destinos, transporte aéreo e dificuldades operacionais.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Módulo de trauma e logística de remoção.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Contratos e preços</w:t>
            </w:r>
          </w:p>
        </w:tc>
        <w:tc>
          <w:tcPr>
            <w:tcW w:type="dxa" w:w="19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Últimos 3-5 anos; item/contrato</w:t>
            </w:r>
          </w:p>
        </w:tc>
        <w:tc>
          <w:tcPr>
            <w:tcW w:type="dxa" w:w="396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Estruturas, geradores, gases, satélite, transporte, limpeza, resíduos, equipes, manutenção e mobilização.</w:t>
            </w:r>
          </w:p>
        </w:tc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Pesquisa de preços e custo total do ciclo de vida.</w:t>
            </w:r>
          </w:p>
        </w:tc>
      </w:tr>
    </w:tbl>
    <w:p>
      <w:pPr>
        <w:pStyle w:val="Heading2"/>
        <w:keepNext/>
        <w:pageBreakBefore w:val="0"/>
        <w:widowControl/>
      </w:pPr>
      <w:r>
        <w:t>F.1 Regras de qualidade e proveniência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cantSplit/>
          <w:tblHeader w:val="true"/>
          <w:tblHeader w:val="true"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B3A66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Aplicação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Identificadores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Código IBGE com sete dígitos; CNES preservado; identificador anonimizado para registros assistenciais.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Temporalidade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Datas no padrão AAAA-MM-DD; data e hora quando necessária; registrar competência e data de corte.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Ausência de dado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Usar N/A ou campo nulo; não converter ausência em zero.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Denominadores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Registrar leitos elegíveis, população, testes realizados e demais denominadores utilizados.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Versionamento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Guardar arquivo original, versão tratada, algoritmo/limiar, responsável e histórico de alterações.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Validação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Triangular fonte documental, sistema oficial e confirmação da área técnica responsável.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Proteção de dados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Remover nome, CPF, CNS, endereço e demais identificadores não necessários; aplicar controle de acesso e LGPD.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Reprodutibilidade</w:t>
            </w:r>
          </w:p>
        </w:tc>
        <w:tc>
          <w:tcPr>
            <w:tcW w:type="dxa" w:w="765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Aptos" w:hAnsi="Aptos"/>
                <w:sz w:val="18"/>
              </w:rPr>
              <w:t>Entregar dicionário de dados, fórmula dos indicadores, filtros, exclusões e script ou consulta quando disponível.</w:t>
            </w:r>
          </w:p>
        </w:tc>
      </w:tr>
    </w:tbl>
    <w:p>
      <w:pPr>
        <w:pStyle w:val="Heading2"/>
        <w:keepNext/>
        <w:pageBreakBefore w:val="0"/>
        <w:widowControl/>
      </w:pPr>
      <w:r>
        <w:t>F.2 Regra para atualização do ETP</w:t>
      </w:r>
    </w:p>
    <w:p>
      <w:pPr>
        <w:widowControl/>
      </w:pPr>
      <w:r>
        <w:t>Os dados públicos consolidados integram a justificativa atual. Após a recepção das bases internas, a equipe de planejamento deverá atualizar: a estimativa de acionamentos do item 14.1; os gatilhos de N1 a N4; a matriz regional de tempos rodoviários; a capacidade de leitos; os perfis de kits e equipes; e o cenário de consumo da pesquisa de preços. Toda atualização deverá manter a matriz de proveniência e registrar a aprovação das áreas responsáveis no Anexo E.</w:t>
      </w:r>
    </w:p>
    <w:p>
      <w:pPr>
        <w:pStyle w:val="Heading1"/>
        <w:keepNext/>
        <w:pageBreakBefore w:val="0"/>
        <w:widowControl/>
      </w:pPr>
      <w:r>
        <w:t>Encaminhamento</w:t>
      </w:r>
    </w:p>
    <w:p>
      <w:pPr>
        <w:widowControl/>
      </w:pPr>
      <w:r>
        <w:t>Submeta-se este documento-base à autoridade competente para constituição da equipe de planejamento e autorização do aprofundamento técnico, da consulta ao mercado e da pesquisa de preços.</w:t>
      </w:r>
    </w:p>
    <w:p>
      <w:pPr>
        <w:widowControl/>
        <w:spacing w:after="2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4762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shd w:fill="0B3A6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br/>
              <w:br/>
              <w:t>________________________________________</w:t>
              <w:br/>
              <w:t>Equipe de Planejamento da Contratação</w:t>
            </w:r>
          </w:p>
        </w:tc>
        <w:tc>
          <w:tcPr>
            <w:tcW w:type="dxa" w:w="4762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shd w:fill="0B3A6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7"/>
              </w:rPr>
              <w:br/>
              <w:br/>
              <w:t>________________________________________</w:t>
              <w:br/>
              <w:t>Equipe de Planejamento da Contratação</w:t>
            </w:r>
          </w:p>
        </w:tc>
      </w:tr>
      <w:tr>
        <w:trPr>
          <w:cantSplit/>
        </w:trPr>
        <w:tc>
          <w:tcPr>
            <w:tcW w:type="dxa" w:w="4762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5B6770"/>
                <w:sz w:val="17"/>
              </w:rPr>
              <w:t>Elaboração técnica</w:t>
            </w:r>
          </w:p>
        </w:tc>
        <w:tc>
          <w:tcPr>
            <w:tcW w:type="dxa" w:w="4762"/>
            <w:vAlign w:val="center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5B6770"/>
                <w:sz w:val="17"/>
              </w:rPr>
              <w:t>Aprovação da autoridade competente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even" r:id="rId11"/>
      <w:footerReference w:type="first" r:id="rId12"/>
      <w:pgSz w:w="11906" w:h="16838"/>
      <w:pgMar w:top="1134" w:right="1134" w:bottom="1020" w:left="124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75"/>
      <w:gridCol w:w="3175"/>
      <w:gridCol w:w="3175"/>
    </w:tblGrid>
    <w:tr>
      <w:tc>
        <w:tcPr>
          <w:tcW w:type="dxa" w:w="3175"/>
          <w:vAlign w:val="center"/>
          <w:tc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cBorders>
        </w:tcPr>
        <w:p>
          <w:pPr>
            <w:spacing w:after="0" w:before="0" w:line="240" w:lineRule="auto"/>
          </w:pPr>
          <w:r/>
          <w:r>
            <w:rPr>
              <w:rFonts w:ascii="Aptos" w:hAnsi="Aptos"/>
              <w:b w:val="0"/>
              <w:color w:val="5B6770"/>
              <w:sz w:val="15"/>
            </w:rPr>
            <w:t>ETP - UHMR/SES-MT</w:t>
          </w:r>
        </w:p>
      </w:tc>
      <w:tc>
        <w:tcPr>
          <w:tcW w:type="dxa" w:w="3175"/>
          <w:vAlign w:val="center"/>
          <w:tc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cBorders>
        </w:tcPr>
        <w:p>
          <w:pPr>
            <w:spacing w:after="0" w:before="0" w:line="240" w:lineRule="auto"/>
            <w:jc w:val="center"/>
          </w:pPr>
          <w:r/>
          <w:r>
            <w:rPr>
              <w:rFonts w:ascii="Aptos" w:hAnsi="Aptos"/>
              <w:b w:val="0"/>
              <w:color w:val="5B6770"/>
              <w:sz w:val="15"/>
            </w:rPr>
            <w:t>Versão consolidada | 16 set. 2026</w:t>
          </w:r>
        </w:p>
      </w:tc>
      <w:tc>
        <w:tcPr>
          <w:tcW w:type="dxa" w:w="3175"/>
          <w:tc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cBorders>
        </w:tcPr>
        <w:p>
          <w:pPr>
            <w:jc w:val="center"/>
          </w:pPr>
          <w:r>
            <w:fldChar w:fldCharType="begin"/>
            <w:instrText xml:space="preserve"> PAGE 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0B3A66"/>
        <w:sz w:val="17"/>
      </w:rPr>
      <w:t>SES-MT  |  PLANEJAMENTO DE CONTRATAÇÃO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  <w:jc w:val="both"/>
    </w:pPr>
    <w:rPr>
      <w:rFonts w:ascii="Aptos" w:hAnsi="Aptos"/>
      <w:color w:val="2434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btitleCustom">
    <w:name w:val="Subtitle Custom"/>
    <w:pPr>
      <w:spacing w:after="160"/>
      <w:jc w:val="center"/>
    </w:pPr>
    <w:rPr>
      <w:rFonts w:ascii="Aptos" w:hAnsi="Aptos"/>
      <w:color w:val="000000"/>
      <w:sz w:val="26"/>
    </w:rPr>
  </w:style>
  <w:style w:type="paragraph" w:customStyle="1" w:styleId="SmallText">
    <w:name w:val="Small Text"/>
    <w:pPr>
      <w:spacing w:after="60"/>
    </w:pPr>
    <w:rPr>
      <w:rFonts w:ascii="Aptos" w:hAnsi="Aptos"/>
      <w:color w:val="5B677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Técnico Preliminar Unidade Hospitalar Modular de Resposta a Emergências</dc:title>
  <dc:subject>Versão consolidada para planejamento da contratação da SES-MT</dc:subject>
  <dc:creator>Secretaria de Estado de Saúde de Mato Grosso</dc:creator>
  <cp:keywords>ETP, UHMR, hospital modular, emergência, SES-MT, CIEVS-MT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