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80"/>
        <w:jc w:val="center"/>
      </w:pPr>
      <w:r>
        <w:rPr>
          <w:b/>
          <w:sz w:val="24"/>
        </w:rPr>
        <w:t>GOVERNO DO ESTADO DE MATO GROSSO</w:t>
      </w:r>
    </w:p>
    <w:p>
      <w:pPr>
        <w:jc w:val="center"/>
      </w:pPr>
      <w:r>
        <w:rPr>
          <w:b/>
          <w:sz w:val="22"/>
        </w:rPr>
        <w:t>SECRETARIA DE ESTADO DE SAÚDE</w:t>
      </w:r>
    </w:p>
    <w:p>
      <w:pPr>
        <w:pStyle w:val="Title"/>
        <w:spacing w:before="1100"/>
        <w:jc w:val="center"/>
      </w:pPr>
      <w:r>
        <w:t>Termo de Referência</w:t>
      </w:r>
    </w:p>
    <w:p>
      <w:pPr>
        <w:pStyle w:val="Subtitle"/>
        <w:jc w:val="center"/>
      </w:pPr>
      <w:r>
        <w:t>Unidade Hospitalar Modular de Resposta a Emergências</w:t>
      </w:r>
    </w:p>
    <w:p>
      <w:pPr>
        <w:spacing w:before="480"/>
        <w:jc w:val="center"/>
      </w:pPr>
      <w:r>
        <w:rPr>
          <w:b/>
          <w:color w:val="C00000"/>
          <w:sz w:val="20"/>
        </w:rPr>
        <w:t>Minuta completa para instrução e validação</w:t>
      </w:r>
    </w:p>
    <w:p>
      <w:pPr>
        <w:spacing w:before="1400"/>
        <w:jc w:val="center"/>
      </w:pPr>
      <w:r>
        <w:rPr>
          <w:sz w:val="20"/>
        </w:rPr>
        <w:t>Cuiabá MT</w:t>
        <w:br/>
        <w:t>17 de setembro de 2026</w:t>
      </w:r>
    </w:p>
    <w:p>
      <w:r>
        <w:br w:type="page"/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29"/>
        <w:gridCol w:w="4929"/>
      </w:tblGrid>
      <w:tr>
        <w:trPr>
          <w:tblHeader w:val="true"/>
        </w:trPr>
        <w:tc>
          <w:tcPr>
            <w:tcW w:type="dxa" w:w="4929"/>
            <w:shd w:fill="1F4E78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Campo</w:t>
            </w:r>
          </w:p>
        </w:tc>
        <w:tc>
          <w:tcPr>
            <w:tcW w:type="dxa" w:w="4929"/>
            <w:shd w:fill="1F4E78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Informação</w:t>
            </w:r>
          </w:p>
        </w:tc>
      </w:tr>
      <w:tr>
        <w:tc>
          <w:tcPr>
            <w:tcW w:type="dxa" w:w="2381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Unidade demandante</w:t>
            </w:r>
          </w:p>
        </w:tc>
        <w:tc>
          <w:tcPr>
            <w:tcW w:type="dxa" w:w="6803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sz w:val="17"/>
              </w:rPr>
              <w:t>[A DEFINIR PELA SES MT]</w:t>
            </w:r>
          </w:p>
        </w:tc>
      </w:tr>
      <w:tr>
        <w:tc>
          <w:tcPr>
            <w:tcW w:type="dxa" w:w="2381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center"/>
            </w:pPr>
            <w:r>
              <w:rPr>
                <w:sz w:val="17"/>
              </w:rPr>
              <w:t>Processo</w:t>
            </w:r>
          </w:p>
        </w:tc>
        <w:tc>
          <w:tcPr>
            <w:tcW w:type="dxa" w:w="6803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sz w:val="17"/>
              </w:rPr>
              <w:t>[A DEFINIR]</w:t>
            </w:r>
          </w:p>
        </w:tc>
      </w:tr>
      <w:tr>
        <w:tc>
          <w:tcPr>
            <w:tcW w:type="dxa" w:w="2381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Responsável técnico</w:t>
            </w:r>
          </w:p>
        </w:tc>
        <w:tc>
          <w:tcPr>
            <w:tcW w:type="dxa" w:w="6803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sz w:val="17"/>
              </w:rPr>
              <w:t>[A DEFINIR]</w:t>
            </w:r>
          </w:p>
        </w:tc>
      </w:tr>
      <w:tr>
        <w:tc>
          <w:tcPr>
            <w:tcW w:type="dxa" w:w="2381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center"/>
            </w:pPr>
            <w:r>
              <w:rPr>
                <w:sz w:val="17"/>
              </w:rPr>
              <w:t>Referência</w:t>
            </w:r>
          </w:p>
        </w:tc>
        <w:tc>
          <w:tcPr>
            <w:tcW w:type="dxa" w:w="6803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sz w:val="17"/>
              </w:rPr>
              <w:t>ETP consolidado da UHMR constante dos autos</w:t>
            </w:r>
          </w:p>
        </w:tc>
      </w:tr>
      <w:tr>
        <w:tc>
          <w:tcPr>
            <w:tcW w:type="dxa" w:w="2381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Situação</w:t>
            </w:r>
          </w:p>
        </w:tc>
        <w:tc>
          <w:tcPr>
            <w:tcW w:type="dxa" w:w="6803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sz w:val="17"/>
              </w:rPr>
              <w:t>Minuta técnica não apta à publicação sem fechamento dos campos materiais</w:t>
            </w:r>
          </w:p>
        </w:tc>
      </w:tr>
    </w:tbl>
    <w:p>
      <w:pPr>
        <w:spacing w:after="0"/>
      </w:pPr>
    </w:p>
    <w:p>
      <w:pPr>
        <w:pStyle w:val="Heading1"/>
      </w:pPr>
      <w:r>
        <w:t>1. Objeto</w:t>
      </w:r>
    </w:p>
    <w:p>
      <w:r>
        <w:t>Contratação de solução integrada, modular, escalável e mobilizável para prontidão, transporte, implantação, operação técnica, manutenção e desmobilização de Unidade Hospitalar Modular de Resposta a Emergências, incluindo infraestrutura temporária, equipamentos médico hospitalares, mobiliário, energia, climatização, gases medicinais, água e saneamento, telecomunicações, tecnologia da informação, conectividade satelital, logística e apoio operacional e, quando expressamente acionadas, equipes e insumos.</w:t>
      </w:r>
    </w:p>
    <w:p>
      <w:r>
        <w:t>A UHMR apoiará emergências em saúde pública, desastres naturais e tecnológicos, incidentes com múltiplas vítimas, interrupção de serviços hospitalares, epidemias, eventos de massa e desassistência territorial no Estado de Mato Grosso.</w:t>
      </w:r>
    </w:p>
    <w:p>
      <w:pPr>
        <w:pStyle w:val="Heading2"/>
      </w:pPr>
      <w:r>
        <w:t>1.1 Natureza e classificação</w:t>
      </w:r>
    </w:p>
    <w:p>
      <w:r>
        <w:t>A natureza do objeto, a classificação como comum ou especial, a presença de serviços de engenharia, a modalidade, o critério de julgamento e o regime de execução serão definidos em nota própria após consulta ao mercado. Este Termo de Referência descreve resultados e requisitos mínimos e não antecipa a decisão jurídica.</w:t>
      </w:r>
    </w:p>
    <w:p>
      <w:pPr>
        <w:pStyle w:val="Heading2"/>
      </w:pPr>
      <w:r>
        <w:t>1.2 Itens e parcelamento</w:t>
      </w:r>
    </w:p>
    <w:p>
      <w:r>
        <w:t>A hipótese de referência é lote funcional integrado com preços unitários por componente. A decisão final deverá comparar lote único, agrupamento funcional e parcelamento, considerando competição, responsabilidade pelo SLA, interoperabilidade, riscos de interface e capacidade do mercado.</w:t>
      </w:r>
    </w:p>
    <w:p>
      <w:pPr>
        <w:pStyle w:val="Heading1"/>
      </w:pPr>
      <w:r>
        <w:t>2. Fundamentação</w:t>
      </w:r>
    </w:p>
    <w:p>
      <w:r>
        <w:t>A contratação decorre da necessidade de ampliar ou substituir temporariamente capacidade assistencial quando a rede estiver interrompida, danificada, isolada ou saturada. O ETP demonstra que tendas isoladas não resolvem o problema: a resposta depende de infraestrutura, energia, climatização, água, gases, equipamentos, comunicações, suprimentos, manutenção, equipes e comando integrados.</w:t>
      </w:r>
    </w:p>
    <w:p>
      <w:pPr>
        <w:pStyle w:val="Heading2"/>
      </w:pPr>
      <w:r>
        <w:t>2.1 Resultados pretendidos</w:t>
      </w:r>
    </w:p>
    <w:p>
      <w:pPr>
        <w:pStyle w:val="ListBullet"/>
        <w:ind w:left="340" w:hanging="142"/>
      </w:pPr>
      <w:r>
        <w:t>reduzir o tempo entre o acionamento e o início seguro da assistência;</w:t>
      </w:r>
    </w:p>
    <w:p>
      <w:pPr>
        <w:pStyle w:val="ListBullet"/>
        <w:ind w:left="340" w:hanging="142"/>
      </w:pPr>
      <w:r>
        <w:t>preservar continuidade de serviços essenciais durante emergências;</w:t>
      </w:r>
    </w:p>
    <w:p>
      <w:pPr>
        <w:pStyle w:val="ListBullet"/>
        <w:ind w:left="340" w:hanging="142"/>
      </w:pPr>
      <w:r>
        <w:t>oferecer capacidade escalonável, sem contratação emergencial improvisada;</w:t>
      </w:r>
    </w:p>
    <w:p>
      <w:pPr>
        <w:pStyle w:val="ListBullet"/>
        <w:ind w:left="340" w:hanging="142"/>
      </w:pPr>
      <w:r>
        <w:t>garantir autonomia e redundância para áreas remotas ou com infraestrutura comprometida;</w:t>
      </w:r>
    </w:p>
    <w:p>
      <w:pPr>
        <w:pStyle w:val="ListBullet"/>
        <w:ind w:left="340" w:hanging="142"/>
      </w:pPr>
      <w:r>
        <w:t>padronizar inventário, mobilização, comissionamento, medição e responsabilização;</w:t>
      </w:r>
    </w:p>
    <w:p>
      <w:pPr>
        <w:pStyle w:val="ListBullet"/>
        <w:ind w:left="340" w:hanging="142"/>
      </w:pPr>
      <w:r>
        <w:t>integrar a resposta à regulação, vigilância, assistência, SAMU, Defesa Civil e COES MT.</w:t>
      </w:r>
    </w:p>
    <w:p>
      <w:pPr>
        <w:pStyle w:val="Heading1"/>
      </w:pPr>
      <w:r>
        <w:t>3. Descrição da solução</w:t>
      </w:r>
    </w:p>
    <w:p>
      <w:r>
        <w:t>A solução compreende o ciclo completo de prontidão, missão e recomposição. O fornecedor deverá coordenar interfaces e demonstrar capacidade operacional do conjunto. A SES MT poderá ativar um nível inicial e ampliar ou reduzir a estrutura sem interromper indevidamente a assistência.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72"/>
        <w:gridCol w:w="1972"/>
        <w:gridCol w:w="1972"/>
        <w:gridCol w:w="1972"/>
        <w:gridCol w:w="1972"/>
      </w:tblGrid>
      <w:tr>
        <w:trPr>
          <w:tblHeader w:val="true"/>
        </w:trPr>
        <w:tc>
          <w:tcPr>
            <w:tcW w:type="dxa" w:w="1972"/>
            <w:shd w:fill="1F4E78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Nível</w:t>
            </w:r>
          </w:p>
        </w:tc>
        <w:tc>
          <w:tcPr>
            <w:tcW w:type="dxa" w:w="1972"/>
            <w:shd w:fill="1F4E78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Denominação</w:t>
            </w:r>
          </w:p>
        </w:tc>
        <w:tc>
          <w:tcPr>
            <w:tcW w:type="dxa" w:w="1972"/>
            <w:shd w:fill="1F4E78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Capacidade indicativa</w:t>
            </w:r>
          </w:p>
        </w:tc>
        <w:tc>
          <w:tcPr>
            <w:tcW w:type="dxa" w:w="1972"/>
            <w:shd w:fill="1F4E78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Escopo</w:t>
            </w:r>
          </w:p>
        </w:tc>
        <w:tc>
          <w:tcPr>
            <w:tcW w:type="dxa" w:w="1972"/>
            <w:shd w:fill="1F4E78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Meta</w:t>
            </w:r>
          </w:p>
        </w:tc>
      </w:tr>
      <w:tr>
        <w:tc>
          <w:tcPr>
            <w:tcW w:type="dxa" w:w="680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sz w:val="15"/>
              </w:rPr>
              <w:t>N0</w:t>
            </w:r>
          </w:p>
        </w:tc>
        <w:tc>
          <w:tcPr>
            <w:tcW w:type="dxa" w:w="1417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sz w:val="15"/>
              </w:rPr>
              <w:t>Prontidão</w:t>
            </w:r>
          </w:p>
        </w:tc>
        <w:tc>
          <w:tcPr>
            <w:tcW w:type="dxa" w:w="2268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sz w:val="15"/>
              </w:rPr>
              <w:t>Sem emergência ativa</w:t>
            </w:r>
          </w:p>
        </w:tc>
        <w:tc>
          <w:tcPr>
            <w:tcW w:type="dxa" w:w="3798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sz w:val="15"/>
              </w:rPr>
              <w:t>Armazenagem, inventário, testes, manutenção, capacitação e simulação</w:t>
            </w:r>
          </w:p>
        </w:tc>
        <w:tc>
          <w:tcPr>
            <w:tcW w:type="dxa" w:w="1020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sz w:val="15"/>
              </w:rPr>
              <w:t>Permanente</w:t>
            </w:r>
          </w:p>
        </w:tc>
      </w:tr>
      <w:tr>
        <w:tc>
          <w:tcPr>
            <w:tcW w:type="dxa" w:w="680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center"/>
            </w:pPr>
            <w:r>
              <w:rPr>
                <w:sz w:val="15"/>
              </w:rPr>
              <w:t>N1</w:t>
            </w:r>
          </w:p>
        </w:tc>
        <w:tc>
          <w:tcPr>
            <w:tcW w:type="dxa" w:w="1417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sz w:val="15"/>
              </w:rPr>
              <w:t>Resposta rápida</w:t>
            </w:r>
          </w:p>
        </w:tc>
        <w:tc>
          <w:tcPr>
            <w:tcW w:type="dxa" w:w="2268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sz w:val="15"/>
              </w:rPr>
              <w:t>2 a 4 posições críticas e 6 a 12 de observação</w:t>
            </w:r>
          </w:p>
        </w:tc>
        <w:tc>
          <w:tcPr>
            <w:tcW w:type="dxa" w:w="3798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sz w:val="15"/>
              </w:rPr>
              <w:t>Comando, triagem, estabilização, consultas, farmácia e diagnóstico rápido</w:t>
            </w:r>
          </w:p>
        </w:tc>
        <w:tc>
          <w:tcPr>
            <w:tcW w:type="dxa" w:w="1020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sz w:val="15"/>
              </w:rPr>
              <w:t>6 a 12 h</w:t>
            </w:r>
          </w:p>
        </w:tc>
      </w:tr>
      <w:tr>
        <w:tc>
          <w:tcPr>
            <w:tcW w:type="dxa" w:w="680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sz w:val="15"/>
              </w:rPr>
              <w:t>N2</w:t>
            </w:r>
          </w:p>
        </w:tc>
        <w:tc>
          <w:tcPr>
            <w:tcW w:type="dxa" w:w="1417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sz w:val="15"/>
              </w:rPr>
              <w:t>Assistência ampliada</w:t>
            </w:r>
          </w:p>
        </w:tc>
        <w:tc>
          <w:tcPr>
            <w:tcW w:type="dxa" w:w="2268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sz w:val="15"/>
              </w:rPr>
              <w:t>12 a 20 leitos e 4 posições críticas</w:t>
            </w:r>
          </w:p>
        </w:tc>
        <w:tc>
          <w:tcPr>
            <w:tcW w:type="dxa" w:w="3798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sz w:val="15"/>
              </w:rPr>
              <w:t>N1, internação, laboratório, imagem básica e isolamento acionável</w:t>
            </w:r>
          </w:p>
        </w:tc>
        <w:tc>
          <w:tcPr>
            <w:tcW w:type="dxa" w:w="1020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sz w:val="15"/>
              </w:rPr>
              <w:t>Até 18 h</w:t>
            </w:r>
          </w:p>
        </w:tc>
      </w:tr>
      <w:tr>
        <w:tc>
          <w:tcPr>
            <w:tcW w:type="dxa" w:w="680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center"/>
            </w:pPr>
            <w:r>
              <w:rPr>
                <w:sz w:val="15"/>
              </w:rPr>
              <w:t>N3</w:t>
            </w:r>
          </w:p>
        </w:tc>
        <w:tc>
          <w:tcPr>
            <w:tcW w:type="dxa" w:w="1417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sz w:val="15"/>
              </w:rPr>
              <w:t>Hospital modular</w:t>
            </w:r>
          </w:p>
        </w:tc>
        <w:tc>
          <w:tcPr>
            <w:tcW w:type="dxa" w:w="2268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sz w:val="15"/>
              </w:rPr>
              <w:t>18 a 30 leitos, 4 posições críticas e 1 sala cirúrgica</w:t>
            </w:r>
          </w:p>
        </w:tc>
        <w:tc>
          <w:tcPr>
            <w:tcW w:type="dxa" w:w="3798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sz w:val="15"/>
              </w:rPr>
              <w:t>Referência funcional EMT Tipo 2, CME, imagem, POC e WASH</w:t>
            </w:r>
          </w:p>
        </w:tc>
        <w:tc>
          <w:tcPr>
            <w:tcW w:type="dxa" w:w="1020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sz w:val="15"/>
              </w:rPr>
              <w:t>Até 24 h</w:t>
            </w:r>
          </w:p>
        </w:tc>
      </w:tr>
      <w:tr>
        <w:tc>
          <w:tcPr>
            <w:tcW w:type="dxa" w:w="680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sz w:val="15"/>
              </w:rPr>
              <w:t>N4</w:t>
            </w:r>
          </w:p>
        </w:tc>
        <w:tc>
          <w:tcPr>
            <w:tcW w:type="dxa" w:w="1417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sz w:val="15"/>
              </w:rPr>
              <w:t>Expansão</w:t>
            </w:r>
          </w:p>
        </w:tc>
        <w:tc>
          <w:tcPr>
            <w:tcW w:type="dxa" w:w="2268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sz w:val="15"/>
              </w:rPr>
              <w:t>Total de 40 a 100 leitos, conforme configuração</w:t>
            </w:r>
          </w:p>
        </w:tc>
        <w:tc>
          <w:tcPr>
            <w:tcW w:type="dxa" w:w="3798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sz w:val="15"/>
              </w:rPr>
              <w:t>N3, expansão de leitos, segunda sala, cuidados intensivos e especialidades</w:t>
            </w:r>
          </w:p>
        </w:tc>
        <w:tc>
          <w:tcPr>
            <w:tcW w:type="dxa" w:w="1020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sz w:val="15"/>
              </w:rPr>
              <w:t>36 a 48 h</w:t>
            </w:r>
          </w:p>
        </w:tc>
      </w:tr>
    </w:tbl>
    <w:p>
      <w:pPr>
        <w:spacing w:after="0"/>
      </w:pPr>
    </w:p>
    <w:p>
      <w:pPr>
        <w:pStyle w:val="Heading2"/>
      </w:pPr>
      <w:r>
        <w:t>3.1 Regras de escalonamento</w:t>
      </w:r>
    </w:p>
    <w:p>
      <w:pPr>
        <w:pStyle w:val="ListBullet"/>
        <w:ind w:left="340" w:hanging="142"/>
      </w:pPr>
      <w:r>
        <w:t>os níveis são acumulativos e configuráveis;</w:t>
      </w:r>
    </w:p>
    <w:p>
      <w:pPr>
        <w:pStyle w:val="ListBullet"/>
        <w:ind w:left="340" w:hanging="142"/>
      </w:pPr>
      <w:r>
        <w:t>a capacidade exata será indicada na Ordem de Acionamento;</w:t>
      </w:r>
    </w:p>
    <w:p>
      <w:pPr>
        <w:pStyle w:val="ListBullet"/>
        <w:ind w:left="340" w:hanging="142"/>
      </w:pPr>
      <w:r>
        <w:t>a ampliação dependerá de disponibilidade contratada, liberação do sítio e rotas;</w:t>
      </w:r>
    </w:p>
    <w:p>
      <w:pPr>
        <w:pStyle w:val="ListBullet"/>
        <w:ind w:left="340" w:hanging="142"/>
      </w:pPr>
      <w:r>
        <w:t>módulos não ativados não gerarão diária operacional, salvo parcela de prontidão;</w:t>
      </w:r>
    </w:p>
    <w:p>
      <w:pPr>
        <w:pStyle w:val="ListBullet"/>
        <w:ind w:left="340" w:hanging="142"/>
      </w:pPr>
      <w:r>
        <w:t>a retração ocorrerá somente após segurança assistencial e autorização da SES MT;</w:t>
      </w:r>
    </w:p>
    <w:p>
      <w:pPr>
        <w:pStyle w:val="ListBullet"/>
        <w:ind w:left="340" w:hanging="142"/>
      </w:pPr>
      <w:r>
        <w:t>a configuração N4 deverá explicitar se inclui UTI completa, posições críticas ou especialidades.</w:t>
      </w:r>
    </w:p>
    <w:p>
      <w:pPr>
        <w:pStyle w:val="Heading1"/>
      </w:pPr>
      <w:r>
        <w:t>4. Critérios para acionamento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29"/>
        <w:gridCol w:w="4929"/>
      </w:tblGrid>
      <w:tr>
        <w:trPr>
          <w:tblHeader w:val="true"/>
        </w:trPr>
        <w:tc>
          <w:tcPr>
            <w:tcW w:type="dxa" w:w="4929"/>
            <w:shd w:fill="1F4E78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Dimensão</w:t>
            </w:r>
          </w:p>
        </w:tc>
        <w:tc>
          <w:tcPr>
            <w:tcW w:type="dxa" w:w="4929"/>
            <w:shd w:fill="1F4E78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Variáveis de decisão</w:t>
            </w:r>
          </w:p>
        </w:tc>
      </w:tr>
      <w:tr>
        <w:tc>
          <w:tcPr>
            <w:tcW w:type="dxa" w:w="4929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  <w:t>Magnitude</w:t>
            </w:r>
          </w:p>
        </w:tc>
        <w:tc>
          <w:tcPr>
            <w:tcW w:type="dxa" w:w="4929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sz w:val="16"/>
              </w:rPr>
              <w:t>Vítimas, demanda diária, projeção, gravidade e grupos vulneráveis</w:t>
            </w:r>
          </w:p>
        </w:tc>
      </w:tr>
      <w:tr>
        <w:tc>
          <w:tcPr>
            <w:tcW w:type="dxa" w:w="4929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center"/>
            </w:pPr>
            <w:r>
              <w:rPr>
                <w:sz w:val="16"/>
              </w:rPr>
              <w:t>Rede</w:t>
            </w:r>
          </w:p>
        </w:tc>
        <w:tc>
          <w:tcPr>
            <w:tcW w:type="dxa" w:w="4929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sz w:val="16"/>
              </w:rPr>
              <w:t>Leitos indisponíveis, ocupação, capacidade residual, retaguarda e regulação</w:t>
            </w:r>
          </w:p>
        </w:tc>
      </w:tr>
      <w:tr>
        <w:tc>
          <w:tcPr>
            <w:tcW w:type="dxa" w:w="4929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  <w:t>Tempo</w:t>
            </w:r>
          </w:p>
        </w:tc>
        <w:tc>
          <w:tcPr>
            <w:tcW w:type="dxa" w:w="4929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sz w:val="16"/>
              </w:rPr>
              <w:t>Duração esperada, sazonalidade e possibilidade de agravamento</w:t>
            </w:r>
          </w:p>
        </w:tc>
      </w:tr>
      <w:tr>
        <w:tc>
          <w:tcPr>
            <w:tcW w:type="dxa" w:w="4929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center"/>
            </w:pPr>
            <w:r>
              <w:rPr>
                <w:sz w:val="16"/>
              </w:rPr>
              <w:t>Território</w:t>
            </w:r>
          </w:p>
        </w:tc>
        <w:tc>
          <w:tcPr>
            <w:tcW w:type="dxa" w:w="4929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sz w:val="16"/>
              </w:rPr>
              <w:t>Acesso, distância, isolamento, clima, segurança e comunicação</w:t>
            </w:r>
          </w:p>
        </w:tc>
      </w:tr>
      <w:tr>
        <w:tc>
          <w:tcPr>
            <w:tcW w:type="dxa" w:w="4929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  <w:t>Necessidade clínica</w:t>
            </w:r>
          </w:p>
        </w:tc>
        <w:tc>
          <w:tcPr>
            <w:tcW w:type="dxa" w:w="4929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sz w:val="16"/>
              </w:rPr>
              <w:t>Cirurgia, cuidados críticos, isolamento, diagnóstico e internação</w:t>
            </w:r>
          </w:p>
        </w:tc>
      </w:tr>
      <w:tr>
        <w:tc>
          <w:tcPr>
            <w:tcW w:type="dxa" w:w="4929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center"/>
            </w:pPr>
            <w:r>
              <w:rPr>
                <w:sz w:val="16"/>
              </w:rPr>
              <w:t>Autonomia</w:t>
            </w:r>
          </w:p>
        </w:tc>
        <w:tc>
          <w:tcPr>
            <w:tcW w:type="dxa" w:w="4929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sz w:val="16"/>
              </w:rPr>
              <w:t>Energia, água, saneamento, combustível, gases e suprimentos locais</w:t>
            </w:r>
          </w:p>
        </w:tc>
      </w:tr>
    </w:tbl>
    <w:p>
      <w:pPr>
        <w:spacing w:after="0"/>
      </w:pPr>
    </w:p>
    <w:p>
      <w:pPr>
        <w:pStyle w:val="Heading1"/>
      </w:pPr>
      <w:r>
        <w:t>5. Requisitos da infraestrutura</w:t>
      </w:r>
    </w:p>
    <w:p>
      <w:pPr>
        <w:pStyle w:val="Heading2"/>
      </w:pPr>
      <w:r>
        <w:t>5.1 Estruturas e ambientes</w:t>
      </w:r>
    </w:p>
    <w:p>
      <w:pPr>
        <w:pStyle w:val="ListBullet"/>
        <w:ind w:left="340" w:hanging="142"/>
      </w:pPr>
      <w:r>
        <w:t>tendas hospitalares, módulos rígidos, contêineres clínicos ou solução híbrida;</w:t>
      </w:r>
    </w:p>
    <w:p>
      <w:pPr>
        <w:pStyle w:val="ListBullet"/>
        <w:ind w:left="340" w:hanging="142"/>
      </w:pPr>
      <w:r>
        <w:t>piso rígido, nivelável, lavável, antiderrapante e acessível;</w:t>
      </w:r>
    </w:p>
    <w:p>
      <w:pPr>
        <w:pStyle w:val="ListBullet"/>
        <w:ind w:left="340" w:hanging="142"/>
      </w:pPr>
      <w:r>
        <w:t>superfícies resistentes à limpeza e desinfecção;</w:t>
      </w:r>
    </w:p>
    <w:p>
      <w:pPr>
        <w:pStyle w:val="ListBullet"/>
        <w:ind w:left="340" w:hanging="142"/>
      </w:pPr>
      <w:r>
        <w:t>proteção contra chuva, vento, poeira, calor, radiação solar e pragas;</w:t>
      </w:r>
    </w:p>
    <w:p>
      <w:pPr>
        <w:pStyle w:val="ListBullet"/>
        <w:ind w:left="340" w:hanging="142"/>
      </w:pPr>
      <w:r>
        <w:t>conexões protegidas entre ambientes e circulação segura;</w:t>
      </w:r>
    </w:p>
    <w:p>
      <w:pPr>
        <w:pStyle w:val="ListBullet"/>
        <w:ind w:left="340" w:hanging="142"/>
      </w:pPr>
      <w:r>
        <w:t>fluxos limpo e sujo e separação de pacientes conforme risco;</w:t>
      </w:r>
    </w:p>
    <w:p>
      <w:pPr>
        <w:pStyle w:val="ListBullet"/>
        <w:ind w:left="340" w:hanging="142"/>
      </w:pPr>
      <w:r>
        <w:t>ancoragem e estabilidade comprovadas para o envelope climático contratado;</w:t>
      </w:r>
    </w:p>
    <w:p>
      <w:pPr>
        <w:pStyle w:val="ListBullet"/>
        <w:ind w:left="340" w:hanging="142"/>
      </w:pPr>
      <w:r>
        <w:t>expansão ou retração sem perda de utilidades críticas.</w:t>
      </w:r>
    </w:p>
    <w:p>
      <w:pPr>
        <w:pStyle w:val="Heading2"/>
      </w:pPr>
      <w:r>
        <w:t>5.2 Programa assistencial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tcW w:type="dxa" w:w="3286"/>
            <w:shd w:fill="1F4E78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Módulo</w:t>
            </w:r>
          </w:p>
        </w:tc>
        <w:tc>
          <w:tcPr>
            <w:tcW w:type="dxa" w:w="3286"/>
            <w:shd w:fill="1F4E78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Nível mínimo</w:t>
            </w:r>
          </w:p>
        </w:tc>
        <w:tc>
          <w:tcPr>
            <w:tcW w:type="dxa" w:w="3286"/>
            <w:shd w:fill="1F4E78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Requisitos funcionais</w:t>
            </w:r>
          </w:p>
        </w:tc>
      </w:tr>
      <w:tr>
        <w:tc>
          <w:tcPr>
            <w:tcW w:type="dxa" w:w="3286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  <w:t>Comando e registro</w:t>
            </w:r>
          </w:p>
        </w:tc>
        <w:tc>
          <w:tcPr>
            <w:tcW w:type="dxa" w:w="3286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sz w:val="16"/>
              </w:rPr>
              <w:t>N1</w:t>
            </w:r>
          </w:p>
        </w:tc>
        <w:tc>
          <w:tcPr>
            <w:tcW w:type="dxa" w:w="3286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sz w:val="16"/>
              </w:rPr>
              <w:t>Coordenação, cadastro, comunicação, situação e integração com regulação</w:t>
            </w:r>
          </w:p>
        </w:tc>
      </w:tr>
      <w:tr>
        <w:tc>
          <w:tcPr>
            <w:tcW w:type="dxa" w:w="3286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center"/>
            </w:pPr>
            <w:r>
              <w:rPr>
                <w:sz w:val="16"/>
              </w:rPr>
              <w:t>Triagem</w:t>
            </w:r>
          </w:p>
        </w:tc>
        <w:tc>
          <w:tcPr>
            <w:tcW w:type="dxa" w:w="3286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sz w:val="16"/>
              </w:rPr>
              <w:t>N1</w:t>
            </w:r>
          </w:p>
        </w:tc>
        <w:tc>
          <w:tcPr>
            <w:tcW w:type="dxa" w:w="3286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sz w:val="16"/>
              </w:rPr>
              <w:t>Classificação de risco, fluxo protegido e identificação</w:t>
            </w:r>
          </w:p>
        </w:tc>
      </w:tr>
      <w:tr>
        <w:tc>
          <w:tcPr>
            <w:tcW w:type="dxa" w:w="3286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  <w:t>Estabilização</w:t>
            </w:r>
          </w:p>
        </w:tc>
        <w:tc>
          <w:tcPr>
            <w:tcW w:type="dxa" w:w="3286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sz w:val="16"/>
              </w:rPr>
              <w:t>N1</w:t>
            </w:r>
          </w:p>
        </w:tc>
        <w:tc>
          <w:tcPr>
            <w:tcW w:type="dxa" w:w="3286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sz w:val="16"/>
              </w:rPr>
              <w:t>2 a 4 posições críticas, vias aéreas, ventilação, desfibrilação e infusão</w:t>
            </w:r>
          </w:p>
        </w:tc>
      </w:tr>
      <w:tr>
        <w:tc>
          <w:tcPr>
            <w:tcW w:type="dxa" w:w="3286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center"/>
            </w:pPr>
            <w:r>
              <w:rPr>
                <w:sz w:val="16"/>
              </w:rPr>
              <w:t>Observação</w:t>
            </w:r>
          </w:p>
        </w:tc>
        <w:tc>
          <w:tcPr>
            <w:tcW w:type="dxa" w:w="3286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sz w:val="16"/>
              </w:rPr>
              <w:t>N1</w:t>
            </w:r>
          </w:p>
        </w:tc>
        <w:tc>
          <w:tcPr>
            <w:tcW w:type="dxa" w:w="3286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sz w:val="16"/>
              </w:rPr>
              <w:t>6 a 12 posições, oxigênio, energia e posto de enfermagem</w:t>
            </w:r>
          </w:p>
        </w:tc>
      </w:tr>
      <w:tr>
        <w:tc>
          <w:tcPr>
            <w:tcW w:type="dxa" w:w="3286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  <w:t>Consultórios</w:t>
            </w:r>
          </w:p>
        </w:tc>
        <w:tc>
          <w:tcPr>
            <w:tcW w:type="dxa" w:w="3286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sz w:val="16"/>
              </w:rPr>
              <w:t>N1</w:t>
            </w:r>
          </w:p>
        </w:tc>
        <w:tc>
          <w:tcPr>
            <w:tcW w:type="dxa" w:w="3286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sz w:val="16"/>
              </w:rPr>
              <w:t>Configuração por demanda, inclusive pediatria quando acionada</w:t>
            </w:r>
          </w:p>
        </w:tc>
      </w:tr>
      <w:tr>
        <w:tc>
          <w:tcPr>
            <w:tcW w:type="dxa" w:w="3286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center"/>
            </w:pPr>
            <w:r>
              <w:rPr>
                <w:sz w:val="16"/>
              </w:rPr>
              <w:t>Internação</w:t>
            </w:r>
          </w:p>
        </w:tc>
        <w:tc>
          <w:tcPr>
            <w:tcW w:type="dxa" w:w="3286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sz w:val="16"/>
              </w:rPr>
              <w:t>N2</w:t>
            </w:r>
          </w:p>
        </w:tc>
        <w:tc>
          <w:tcPr>
            <w:tcW w:type="dxa" w:w="3286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sz w:val="16"/>
              </w:rPr>
              <w:t>12 a 20 leitos no N2 e 18 a 30 no N3, com privacidade e setorização</w:t>
            </w:r>
          </w:p>
        </w:tc>
      </w:tr>
      <w:tr>
        <w:tc>
          <w:tcPr>
            <w:tcW w:type="dxa" w:w="3286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  <w:t>Isolamento</w:t>
            </w:r>
          </w:p>
        </w:tc>
        <w:tc>
          <w:tcPr>
            <w:tcW w:type="dxa" w:w="3286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sz w:val="16"/>
              </w:rPr>
              <w:t>N2 acionável</w:t>
            </w:r>
          </w:p>
        </w:tc>
        <w:tc>
          <w:tcPr>
            <w:tcW w:type="dxa" w:w="3286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sz w:val="16"/>
              </w:rPr>
              <w:t>Ambientes independentes; pressão negativa para transmissão aérea</w:t>
            </w:r>
          </w:p>
        </w:tc>
      </w:tr>
      <w:tr>
        <w:tc>
          <w:tcPr>
            <w:tcW w:type="dxa" w:w="3286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center"/>
            </w:pPr>
            <w:r>
              <w:rPr>
                <w:sz w:val="16"/>
              </w:rPr>
              <w:t>Centro cirúrgico</w:t>
            </w:r>
          </w:p>
        </w:tc>
        <w:tc>
          <w:tcPr>
            <w:tcW w:type="dxa" w:w="3286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sz w:val="16"/>
              </w:rPr>
              <w:t>N3</w:t>
            </w:r>
          </w:p>
        </w:tc>
        <w:tc>
          <w:tcPr>
            <w:tcW w:type="dxa" w:w="3286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sz w:val="16"/>
              </w:rPr>
              <w:t>1 sala, anestesia, recuperação e apoio de esterilização</w:t>
            </w:r>
          </w:p>
        </w:tc>
      </w:tr>
      <w:tr>
        <w:tc>
          <w:tcPr>
            <w:tcW w:type="dxa" w:w="3286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  <w:t>CME</w:t>
            </w:r>
          </w:p>
        </w:tc>
        <w:tc>
          <w:tcPr>
            <w:tcW w:type="dxa" w:w="3286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sz w:val="16"/>
              </w:rPr>
              <w:t>N3</w:t>
            </w:r>
          </w:p>
        </w:tc>
        <w:tc>
          <w:tcPr>
            <w:tcW w:type="dxa" w:w="3286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sz w:val="16"/>
              </w:rPr>
              <w:t>Fluxo sujo e limpo e capacidade compatível</w:t>
            </w:r>
          </w:p>
        </w:tc>
      </w:tr>
      <w:tr>
        <w:tc>
          <w:tcPr>
            <w:tcW w:type="dxa" w:w="3286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center"/>
            </w:pPr>
            <w:r>
              <w:rPr>
                <w:sz w:val="16"/>
              </w:rPr>
              <w:t>Imagem</w:t>
            </w:r>
          </w:p>
        </w:tc>
        <w:tc>
          <w:tcPr>
            <w:tcW w:type="dxa" w:w="3286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sz w:val="16"/>
              </w:rPr>
              <w:t>N2 N3</w:t>
            </w:r>
          </w:p>
        </w:tc>
        <w:tc>
          <w:tcPr>
            <w:tcW w:type="dxa" w:w="3286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sz w:val="16"/>
              </w:rPr>
              <w:t>Ultrassom portátil e radiografia digital móvel no N3</w:t>
            </w:r>
          </w:p>
        </w:tc>
      </w:tr>
      <w:tr>
        <w:tc>
          <w:tcPr>
            <w:tcW w:type="dxa" w:w="3286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  <w:t>Laboratório POC</w:t>
            </w:r>
          </w:p>
        </w:tc>
        <w:tc>
          <w:tcPr>
            <w:tcW w:type="dxa" w:w="3286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sz w:val="16"/>
              </w:rPr>
              <w:t>N1 N3</w:t>
            </w:r>
          </w:p>
        </w:tc>
        <w:tc>
          <w:tcPr>
            <w:tcW w:type="dxa" w:w="3286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sz w:val="16"/>
              </w:rPr>
              <w:t>Painel definido por perfil, controle de qualidade e interface autorizada</w:t>
            </w:r>
          </w:p>
        </w:tc>
      </w:tr>
      <w:tr>
        <w:tc>
          <w:tcPr>
            <w:tcW w:type="dxa" w:w="3286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center"/>
            </w:pPr>
            <w:r>
              <w:rPr>
                <w:sz w:val="16"/>
              </w:rPr>
              <w:t>Cuidados intensivos</w:t>
            </w:r>
          </w:p>
        </w:tc>
        <w:tc>
          <w:tcPr>
            <w:tcW w:type="dxa" w:w="3286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sz w:val="16"/>
              </w:rPr>
              <w:t>N4 opcional</w:t>
            </w:r>
          </w:p>
        </w:tc>
        <w:tc>
          <w:tcPr>
            <w:tcW w:type="dxa" w:w="3286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sz w:val="16"/>
              </w:rPr>
              <w:t>Módulo específico, equipe, gases, energia e retaguarda</w:t>
            </w:r>
          </w:p>
        </w:tc>
      </w:tr>
    </w:tbl>
    <w:p>
      <w:pPr>
        <w:spacing w:after="0"/>
      </w:pPr>
    </w:p>
    <w:p>
      <w:pPr>
        <w:pStyle w:val="Heading2"/>
      </w:pPr>
      <w:r>
        <w:t>5.3 Isolamento e climatização</w:t>
      </w:r>
    </w:p>
    <w:p>
      <w:r>
        <w:t>O N3 deverá permitir, como referência, dois leitos de isolamento independentes. Quando acionado para transmissão aérea, o sistema deverá manter diferencial de pressão, trocas de ar, fluxo, exaustão ou filtragem, alarmes e contingência conforme projeto aprovado e normas aplicáveis. Os valores de 2,5 Pa, 12 trocas por hora e HEPA 99,97 por cento para partículas de 0,3 micrômetro serão tratados como benchmark da consulta federal e confirmados pela engenharia e vigilância sanitária antes da publicação.</w:t>
      </w:r>
    </w:p>
    <w:p>
      <w:pPr>
        <w:pStyle w:val="Heading1"/>
      </w:pPr>
      <w:r>
        <w:t>6. Utilidades críticas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tcW w:type="dxa" w:w="3286"/>
            <w:shd w:fill="1F4E78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Sistema</w:t>
            </w:r>
          </w:p>
        </w:tc>
        <w:tc>
          <w:tcPr>
            <w:tcW w:type="dxa" w:w="3286"/>
            <w:shd w:fill="1F4E78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Requisito mínimo</w:t>
            </w:r>
          </w:p>
        </w:tc>
        <w:tc>
          <w:tcPr>
            <w:tcW w:type="dxa" w:w="3286"/>
            <w:shd w:fill="1F4E78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Aceitação</w:t>
            </w:r>
          </w:p>
        </w:tc>
      </w:tr>
      <w:tr>
        <w:tc>
          <w:tcPr>
            <w:tcW w:type="dxa" w:w="3286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  <w:t>Energia</w:t>
            </w:r>
          </w:p>
        </w:tc>
        <w:tc>
          <w:tcPr>
            <w:tcW w:type="dxa" w:w="3286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sz w:val="16"/>
              </w:rPr>
              <w:t>Fonte principal, geradores redundantes, transferência, aterramento, proteção, UPS e combustível</w:t>
            </w:r>
          </w:p>
        </w:tc>
        <w:tc>
          <w:tcPr>
            <w:tcW w:type="dxa" w:w="3286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sz w:val="16"/>
              </w:rPr>
              <w:t>Teste em carga e falha simulada</w:t>
            </w:r>
          </w:p>
        </w:tc>
      </w:tr>
      <w:tr>
        <w:tc>
          <w:tcPr>
            <w:tcW w:type="dxa" w:w="3286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center"/>
            </w:pPr>
            <w:r>
              <w:rPr>
                <w:sz w:val="16"/>
              </w:rPr>
              <w:t>Gases</w:t>
            </w:r>
          </w:p>
        </w:tc>
        <w:tc>
          <w:tcPr>
            <w:tcW w:type="dxa" w:w="3286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sz w:val="16"/>
              </w:rPr>
              <w:t>Oxigênio, aspiração e, quando necessário, ar medicinal; fonte e reserva</w:t>
            </w:r>
          </w:p>
        </w:tc>
        <w:tc>
          <w:tcPr>
            <w:tcW w:type="dxa" w:w="3286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sz w:val="16"/>
              </w:rPr>
              <w:t>Cálculo de demanda, estanqueidade e alarmes</w:t>
            </w:r>
          </w:p>
        </w:tc>
      </w:tr>
      <w:tr>
        <w:tc>
          <w:tcPr>
            <w:tcW w:type="dxa" w:w="3286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  <w:t>HVAC</w:t>
            </w:r>
          </w:p>
        </w:tc>
        <w:tc>
          <w:tcPr>
            <w:tcW w:type="dxa" w:w="3286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sz w:val="16"/>
              </w:rPr>
              <w:t>Temperatura e umidade compatíveis, renovação e controle por ambiente</w:t>
            </w:r>
          </w:p>
        </w:tc>
        <w:tc>
          <w:tcPr>
            <w:tcW w:type="dxa" w:w="3286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sz w:val="16"/>
              </w:rPr>
              <w:t>Medição ambiental e contingência</w:t>
            </w:r>
          </w:p>
        </w:tc>
      </w:tr>
      <w:tr>
        <w:tc>
          <w:tcPr>
            <w:tcW w:type="dxa" w:w="3286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center"/>
            </w:pPr>
            <w:r>
              <w:rPr>
                <w:sz w:val="16"/>
              </w:rPr>
              <w:t>Água</w:t>
            </w:r>
          </w:p>
        </w:tc>
        <w:tc>
          <w:tcPr>
            <w:tcW w:type="dxa" w:w="3286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sz w:val="16"/>
              </w:rPr>
              <w:t>Recebimento ou tratamento, reservação, distribuição e controle de qualidade</w:t>
            </w:r>
          </w:p>
        </w:tc>
        <w:tc>
          <w:tcPr>
            <w:tcW w:type="dxa" w:w="3286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sz w:val="16"/>
              </w:rPr>
              <w:t>Laudos, volumes e inspeção</w:t>
            </w:r>
          </w:p>
        </w:tc>
      </w:tr>
      <w:tr>
        <w:tc>
          <w:tcPr>
            <w:tcW w:type="dxa" w:w="3286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  <w:t>Efluentes</w:t>
            </w:r>
          </w:p>
        </w:tc>
        <w:tc>
          <w:tcPr>
            <w:tcW w:type="dxa" w:w="3286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sz w:val="16"/>
              </w:rPr>
              <w:t>Coleta, armazenamento ou tratamento e destinação regular</w:t>
            </w:r>
          </w:p>
        </w:tc>
        <w:tc>
          <w:tcPr>
            <w:tcW w:type="dxa" w:w="3286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sz w:val="16"/>
              </w:rPr>
              <w:t>Teste, licenças e registros</w:t>
            </w:r>
          </w:p>
        </w:tc>
      </w:tr>
      <w:tr>
        <w:tc>
          <w:tcPr>
            <w:tcW w:type="dxa" w:w="3286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center"/>
            </w:pPr>
            <w:r>
              <w:rPr>
                <w:sz w:val="16"/>
              </w:rPr>
              <w:t>Incêndio</w:t>
            </w:r>
          </w:p>
        </w:tc>
        <w:tc>
          <w:tcPr>
            <w:tcW w:type="dxa" w:w="3286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sz w:val="16"/>
              </w:rPr>
              <w:t>Detecção, extintores, rotas, sinalização e plano</w:t>
            </w:r>
          </w:p>
        </w:tc>
        <w:tc>
          <w:tcPr>
            <w:tcW w:type="dxa" w:w="3286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sz w:val="16"/>
              </w:rPr>
              <w:t>Inspeção e simulado</w:t>
            </w:r>
          </w:p>
        </w:tc>
      </w:tr>
    </w:tbl>
    <w:p>
      <w:pPr>
        <w:spacing w:after="0"/>
      </w:pPr>
    </w:p>
    <w:p>
      <w:pPr>
        <w:pStyle w:val="Heading2"/>
      </w:pPr>
      <w:r>
        <w:t>6.1 Autonomia</w:t>
      </w:r>
    </w:p>
    <w:p>
      <w:r>
        <w:t>A configuração deverá iniciar missão com autonomia mínima de 72 horas para itens críticos e plano de reabastecimento contínuo. A eventual exigência de 14 dias de autossuficiência deverá ser dimensionada por sistema e justificada, evitando confundir estoque inicial com capacidade logística de sustentação.</w:t>
      </w:r>
    </w:p>
    <w:p>
      <w:pPr>
        <w:pStyle w:val="Heading1"/>
      </w:pPr>
      <w:r>
        <w:t>7. Telecomunicações, TI e dados</w:t>
      </w:r>
    </w:p>
    <w:p>
      <w:pPr>
        <w:pStyle w:val="ListBullet"/>
        <w:ind w:left="340" w:hanging="142"/>
      </w:pPr>
      <w:r>
        <w:t>conectividade satelital de rápida implantação com energia de contingência;</w:t>
      </w:r>
    </w:p>
    <w:p>
      <w:pPr>
        <w:pStyle w:val="ListBullet"/>
        <w:ind w:left="340" w:hanging="142"/>
      </w:pPr>
      <w:r>
        <w:t>roteador multioperadora e redundância móvel quando houver cobertura;</w:t>
      </w:r>
    </w:p>
    <w:p>
      <w:pPr>
        <w:pStyle w:val="ListBullet"/>
        <w:ind w:left="340" w:hanging="142"/>
      </w:pPr>
      <w:r>
        <w:t>radiocomunicação compatível com a operação local, mediante frequências autorizadas;</w:t>
      </w:r>
    </w:p>
    <w:p>
      <w:pPr>
        <w:pStyle w:val="ListBullet"/>
        <w:ind w:left="340" w:hanging="142"/>
      </w:pPr>
      <w:r>
        <w:t>redes clínica, administrativa, equipamentos e visitantes segregadas;</w:t>
      </w:r>
    </w:p>
    <w:p>
      <w:pPr>
        <w:pStyle w:val="ListBullet"/>
        <w:ind w:left="340" w:hanging="142"/>
      </w:pPr>
      <w:r>
        <w:t>firewall, VPN, gestão de acesso, registros, cópia de segurança e contingência offline;</w:t>
      </w:r>
    </w:p>
    <w:p>
      <w:pPr>
        <w:pStyle w:val="ListBullet"/>
        <w:ind w:left="340" w:hanging="142"/>
      </w:pPr>
      <w:r>
        <w:t>computadores, tablets, impressão, telefonia e videoconferência conforme nível;</w:t>
      </w:r>
    </w:p>
    <w:p>
      <w:pPr>
        <w:pStyle w:val="ListBullet"/>
        <w:ind w:left="340" w:hanging="142"/>
      </w:pPr>
      <w:r>
        <w:t>integrações apenas por interfaces disponibilizadas e autorizadas pela SES MT;</w:t>
      </w:r>
    </w:p>
    <w:p>
      <w:pPr>
        <w:pStyle w:val="ListBullet"/>
        <w:ind w:left="340" w:hanging="142"/>
      </w:pPr>
      <w:r>
        <w:t>tratamento de dados pessoais conforme LGPD, política de segurança e plano de incidentes.</w:t>
      </w:r>
    </w:p>
    <w:p>
      <w:pPr>
        <w:pStyle w:val="Heading1"/>
      </w:pPr>
      <w:r>
        <w:t>8. Equipamentos, medicamentos e insumos</w:t>
      </w:r>
    </w:p>
    <w:p>
      <w:r>
        <w:t>Os quantitativos serão definidos no catálogo de módulos e planilha de dimensionamento. Equipamentos de suporte à vida terão unidade reserva ou contingência equivalente. Medicamentos e materiais serão organizados em kits por nível e período, com rastreabilidade de lote, validade, consumo, paciente e reposição.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tcW w:type="dxa" w:w="3286"/>
            <w:shd w:fill="1F4E78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Kit</w:t>
            </w:r>
          </w:p>
        </w:tc>
        <w:tc>
          <w:tcPr>
            <w:tcW w:type="dxa" w:w="3286"/>
            <w:shd w:fill="1F4E78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Cobertura de referência</w:t>
            </w:r>
          </w:p>
        </w:tc>
        <w:tc>
          <w:tcPr>
            <w:tcW w:type="dxa" w:w="3286"/>
            <w:shd w:fill="1F4E78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Regra</w:t>
            </w:r>
          </w:p>
        </w:tc>
      </w:tr>
      <w:tr>
        <w:tc>
          <w:tcPr>
            <w:tcW w:type="dxa" w:w="3286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  <w:t>N1</w:t>
            </w:r>
          </w:p>
        </w:tc>
        <w:tc>
          <w:tcPr>
            <w:tcW w:type="dxa" w:w="3286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sz w:val="16"/>
              </w:rPr>
              <w:t>24 horas</w:t>
            </w:r>
          </w:p>
        </w:tc>
        <w:tc>
          <w:tcPr>
            <w:tcW w:type="dxa" w:w="3286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sz w:val="16"/>
              </w:rPr>
              <w:t>Atendimento, estabilização, POC e procedimentos</w:t>
            </w:r>
          </w:p>
        </w:tc>
      </w:tr>
      <w:tr>
        <w:tc>
          <w:tcPr>
            <w:tcW w:type="dxa" w:w="3286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center"/>
            </w:pPr>
            <w:r>
              <w:rPr>
                <w:sz w:val="16"/>
              </w:rPr>
              <w:t>N2</w:t>
            </w:r>
          </w:p>
        </w:tc>
        <w:tc>
          <w:tcPr>
            <w:tcW w:type="dxa" w:w="3286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sz w:val="16"/>
              </w:rPr>
              <w:t>72 horas</w:t>
            </w:r>
          </w:p>
        </w:tc>
        <w:tc>
          <w:tcPr>
            <w:tcW w:type="dxa" w:w="3286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sz w:val="16"/>
              </w:rPr>
              <w:t>N1, internação e suporte respiratório</w:t>
            </w:r>
          </w:p>
        </w:tc>
      </w:tr>
      <w:tr>
        <w:tc>
          <w:tcPr>
            <w:tcW w:type="dxa" w:w="3286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  <w:t>N3</w:t>
            </w:r>
          </w:p>
        </w:tc>
        <w:tc>
          <w:tcPr>
            <w:tcW w:type="dxa" w:w="3286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sz w:val="16"/>
              </w:rPr>
              <w:t>7 dias</w:t>
            </w:r>
          </w:p>
        </w:tc>
        <w:tc>
          <w:tcPr>
            <w:tcW w:type="dxa" w:w="3286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sz w:val="16"/>
              </w:rPr>
              <w:t>Internação, cirurgia, CME, diagnóstico e apoio</w:t>
            </w:r>
          </w:p>
        </w:tc>
      </w:tr>
      <w:tr>
        <w:tc>
          <w:tcPr>
            <w:tcW w:type="dxa" w:w="3286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center"/>
            </w:pPr>
            <w:r>
              <w:rPr>
                <w:sz w:val="16"/>
              </w:rPr>
              <w:t>Reposição</w:t>
            </w:r>
          </w:p>
        </w:tc>
        <w:tc>
          <w:tcPr>
            <w:tcW w:type="dxa" w:w="3286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sz w:val="16"/>
              </w:rPr>
              <w:t>Durante a missão</w:t>
            </w:r>
          </w:p>
        </w:tc>
        <w:tc>
          <w:tcPr>
            <w:tcW w:type="dxa" w:w="3286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sz w:val="16"/>
              </w:rPr>
              <w:t>Ponto de ressuprimento e prazo por criticidade</w:t>
            </w:r>
          </w:p>
        </w:tc>
      </w:tr>
    </w:tbl>
    <w:p>
      <w:pPr>
        <w:spacing w:after="0"/>
      </w:pPr>
    </w:p>
    <w:p>
      <w:pPr>
        <w:pStyle w:val="Heading1"/>
      </w:pPr>
      <w:r>
        <w:t>9. Equipes</w:t>
      </w:r>
    </w:p>
    <w:p>
      <w:r>
        <w:t>O TR final deverá definir se as equipes assistenciais integram o objeto. A matriz abaixo é referência de funções, não quantitativo fechado. O dimensionamento respeitará jornada, conselhos profissionais, perfil clínico, leitos, produção e retaguarda.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tcW w:type="dxa" w:w="3286"/>
            <w:shd w:fill="1F4E78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Grupo</w:t>
            </w:r>
          </w:p>
        </w:tc>
        <w:tc>
          <w:tcPr>
            <w:tcW w:type="dxa" w:w="3286"/>
            <w:shd w:fill="1F4E78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Funções de referência</w:t>
            </w:r>
          </w:p>
        </w:tc>
        <w:tc>
          <w:tcPr>
            <w:tcW w:type="dxa" w:w="3286"/>
            <w:shd w:fill="1F4E78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Aplicação</w:t>
            </w:r>
          </w:p>
        </w:tc>
      </w:tr>
      <w:tr>
        <w:tc>
          <w:tcPr>
            <w:tcW w:type="dxa" w:w="3286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  <w:t>Comando</w:t>
            </w:r>
          </w:p>
        </w:tc>
        <w:tc>
          <w:tcPr>
            <w:tcW w:type="dxa" w:w="3286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sz w:val="16"/>
              </w:rPr>
              <w:t>Coordenador da missão, direção clínica, enfermagem, logística, administração e segurança</w:t>
            </w:r>
          </w:p>
        </w:tc>
        <w:tc>
          <w:tcPr>
            <w:tcW w:type="dxa" w:w="3286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sz w:val="16"/>
              </w:rPr>
              <w:t>Todos os níveis conforme porte</w:t>
            </w:r>
          </w:p>
        </w:tc>
      </w:tr>
      <w:tr>
        <w:tc>
          <w:tcPr>
            <w:tcW w:type="dxa" w:w="3286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center"/>
            </w:pPr>
            <w:r>
              <w:rPr>
                <w:sz w:val="16"/>
              </w:rPr>
              <w:t>Assistência</w:t>
            </w:r>
          </w:p>
        </w:tc>
        <w:tc>
          <w:tcPr>
            <w:tcW w:type="dxa" w:w="3286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sz w:val="16"/>
              </w:rPr>
              <w:t>Médicos, enfermeiros, técnicos, fisioterapia, farmácia, psicologia e serviço social</w:t>
            </w:r>
          </w:p>
        </w:tc>
        <w:tc>
          <w:tcPr>
            <w:tcW w:type="dxa" w:w="3286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sz w:val="16"/>
              </w:rPr>
              <w:t>Conforme nível e perfil</w:t>
            </w:r>
          </w:p>
        </w:tc>
      </w:tr>
      <w:tr>
        <w:tc>
          <w:tcPr>
            <w:tcW w:type="dxa" w:w="3286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  <w:t>Cirurgia</w:t>
            </w:r>
          </w:p>
        </w:tc>
        <w:tc>
          <w:tcPr>
            <w:tcW w:type="dxa" w:w="3286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sz w:val="16"/>
              </w:rPr>
              <w:t>Cirurgião, anestesiologista, enfermagem e apoio</w:t>
            </w:r>
          </w:p>
        </w:tc>
        <w:tc>
          <w:tcPr>
            <w:tcW w:type="dxa" w:w="3286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sz w:val="16"/>
              </w:rPr>
              <w:t>N3 e N4</w:t>
            </w:r>
          </w:p>
        </w:tc>
      </w:tr>
      <w:tr>
        <w:tc>
          <w:tcPr>
            <w:tcW w:type="dxa" w:w="3286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center"/>
            </w:pPr>
            <w:r>
              <w:rPr>
                <w:sz w:val="16"/>
              </w:rPr>
              <w:t>Diagnóstico</w:t>
            </w:r>
          </w:p>
        </w:tc>
        <w:tc>
          <w:tcPr>
            <w:tcW w:type="dxa" w:w="3286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sz w:val="16"/>
              </w:rPr>
              <w:t>Laboratório, radiologia e ultrassonografia</w:t>
            </w:r>
          </w:p>
        </w:tc>
        <w:tc>
          <w:tcPr>
            <w:tcW w:type="dxa" w:w="3286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sz w:val="16"/>
              </w:rPr>
              <w:t>N2 a N4</w:t>
            </w:r>
          </w:p>
        </w:tc>
      </w:tr>
      <w:tr>
        <w:tc>
          <w:tcPr>
            <w:tcW w:type="dxa" w:w="3286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  <w:t>Técnica</w:t>
            </w:r>
          </w:p>
        </w:tc>
        <w:tc>
          <w:tcPr>
            <w:tcW w:type="dxa" w:w="3286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sz w:val="16"/>
              </w:rPr>
              <w:t>Engenharia clínica, elétrica, mecânica, HVAC, gases, TI e telecom</w:t>
            </w:r>
          </w:p>
        </w:tc>
        <w:tc>
          <w:tcPr>
            <w:tcW w:type="dxa" w:w="3286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sz w:val="16"/>
              </w:rPr>
              <w:t>N0 e missões</w:t>
            </w:r>
          </w:p>
        </w:tc>
      </w:tr>
      <w:tr>
        <w:tc>
          <w:tcPr>
            <w:tcW w:type="dxa" w:w="3286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center"/>
            </w:pPr>
            <w:r>
              <w:rPr>
                <w:sz w:val="16"/>
              </w:rPr>
              <w:t>Apoio</w:t>
            </w:r>
          </w:p>
        </w:tc>
        <w:tc>
          <w:tcPr>
            <w:tcW w:type="dxa" w:w="3286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sz w:val="16"/>
              </w:rPr>
              <w:t>Logística, limpeza, alimentação, resíduos, WASH e segurança</w:t>
            </w:r>
          </w:p>
        </w:tc>
        <w:tc>
          <w:tcPr>
            <w:tcW w:type="dxa" w:w="3286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sz w:val="16"/>
              </w:rPr>
              <w:t>Conforme nível</w:t>
            </w:r>
          </w:p>
        </w:tc>
      </w:tr>
    </w:tbl>
    <w:p>
      <w:pPr>
        <w:spacing w:after="0"/>
      </w:pPr>
    </w:p>
    <w:p>
      <w:pPr>
        <w:pStyle w:val="Heading1"/>
      </w:pPr>
      <w:r>
        <w:t>10. Logística e mobilização</w:t>
      </w:r>
    </w:p>
    <w:p>
      <w:r>
        <w:t>A contratada responderá pela cadeia door to field: armazenagem, separação, carregamento, transporte, descarga, montagem, comissionamento, operação técnica, reposição, desmontagem e retorno. Todos os volumes deverão possuir identificação, peso, cubagem, destino, criticidade e rastreabilidade.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tcW w:type="dxa" w:w="3286"/>
            <w:shd w:fill="1F4E78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Marco</w:t>
            </w:r>
          </w:p>
        </w:tc>
        <w:tc>
          <w:tcPr>
            <w:tcW w:type="dxa" w:w="3286"/>
            <w:shd w:fill="1F4E78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Meta de referência</w:t>
            </w:r>
          </w:p>
        </w:tc>
        <w:tc>
          <w:tcPr>
            <w:tcW w:type="dxa" w:w="3286"/>
            <w:shd w:fill="1F4E78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Evidência</w:t>
            </w:r>
          </w:p>
        </w:tc>
      </w:tr>
      <w:tr>
        <w:tc>
          <w:tcPr>
            <w:tcW w:type="dxa" w:w="3286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  <w:t>Confirmação da ordem</w:t>
            </w:r>
          </w:p>
        </w:tc>
        <w:tc>
          <w:tcPr>
            <w:tcW w:type="dxa" w:w="3286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sz w:val="16"/>
              </w:rPr>
              <w:t>15 min</w:t>
            </w:r>
          </w:p>
        </w:tc>
        <w:tc>
          <w:tcPr>
            <w:tcW w:type="dxa" w:w="3286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sz w:val="16"/>
              </w:rPr>
              <w:t>Registro eletrônico</w:t>
            </w:r>
          </w:p>
        </w:tc>
      </w:tr>
      <w:tr>
        <w:tc>
          <w:tcPr>
            <w:tcW w:type="dxa" w:w="3286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center"/>
            </w:pPr>
            <w:r>
              <w:rPr>
                <w:sz w:val="16"/>
              </w:rPr>
              <w:t>Contato com gestor</w:t>
            </w:r>
          </w:p>
        </w:tc>
        <w:tc>
          <w:tcPr>
            <w:tcW w:type="dxa" w:w="3286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sz w:val="16"/>
              </w:rPr>
              <w:t>30 min</w:t>
            </w:r>
          </w:p>
        </w:tc>
        <w:tc>
          <w:tcPr>
            <w:tcW w:type="dxa" w:w="3286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sz w:val="16"/>
              </w:rPr>
              <w:t>Ata ou registro</w:t>
            </w:r>
          </w:p>
        </w:tc>
      </w:tr>
      <w:tr>
        <w:tc>
          <w:tcPr>
            <w:tcW w:type="dxa" w:w="3286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  <w:t>Plano de mobilização</w:t>
            </w:r>
          </w:p>
        </w:tc>
        <w:tc>
          <w:tcPr>
            <w:tcW w:type="dxa" w:w="3286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sz w:val="16"/>
              </w:rPr>
              <w:t>2 h</w:t>
            </w:r>
          </w:p>
        </w:tc>
        <w:tc>
          <w:tcPr>
            <w:tcW w:type="dxa" w:w="3286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sz w:val="16"/>
              </w:rPr>
              <w:t>Plano submetido</w:t>
            </w:r>
          </w:p>
        </w:tc>
      </w:tr>
      <w:tr>
        <w:tc>
          <w:tcPr>
            <w:tcW w:type="dxa" w:w="3286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sz w:val="16"/>
              </w:rPr>
              <w:t>Primeiros recursos em trânsito</w:t>
            </w:r>
          </w:p>
        </w:tc>
        <w:tc>
          <w:tcPr>
            <w:tcW w:type="dxa" w:w="3286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sz w:val="16"/>
              </w:rPr>
              <w:t>6 h</w:t>
            </w:r>
          </w:p>
        </w:tc>
        <w:tc>
          <w:tcPr>
            <w:tcW w:type="dxa" w:w="3286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sz w:val="16"/>
              </w:rPr>
              <w:t>Telemetria e manifesto</w:t>
            </w:r>
          </w:p>
        </w:tc>
      </w:tr>
      <w:tr>
        <w:tc>
          <w:tcPr>
            <w:tcW w:type="dxa" w:w="3286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  <w:t>N1</w:t>
            </w:r>
          </w:p>
        </w:tc>
        <w:tc>
          <w:tcPr>
            <w:tcW w:type="dxa" w:w="3286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sz w:val="16"/>
              </w:rPr>
              <w:t>Até 12 h</w:t>
            </w:r>
          </w:p>
        </w:tc>
        <w:tc>
          <w:tcPr>
            <w:tcW w:type="dxa" w:w="3286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sz w:val="16"/>
              </w:rPr>
              <w:t>TLO parcial</w:t>
            </w:r>
          </w:p>
        </w:tc>
      </w:tr>
      <w:tr>
        <w:tc>
          <w:tcPr>
            <w:tcW w:type="dxa" w:w="3286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center"/>
            </w:pPr>
            <w:r>
              <w:rPr>
                <w:sz w:val="16"/>
              </w:rPr>
              <w:t>N2</w:t>
            </w:r>
          </w:p>
        </w:tc>
        <w:tc>
          <w:tcPr>
            <w:tcW w:type="dxa" w:w="3286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sz w:val="16"/>
              </w:rPr>
              <w:t>Até 18 h após chegada ao sítio</w:t>
            </w:r>
          </w:p>
        </w:tc>
        <w:tc>
          <w:tcPr>
            <w:tcW w:type="dxa" w:w="3286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sz w:val="16"/>
              </w:rPr>
              <w:t>TLO do nível</w:t>
            </w:r>
          </w:p>
        </w:tc>
      </w:tr>
      <w:tr>
        <w:tc>
          <w:tcPr>
            <w:tcW w:type="dxa" w:w="3286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  <w:t>N3</w:t>
            </w:r>
          </w:p>
        </w:tc>
        <w:tc>
          <w:tcPr>
            <w:tcW w:type="dxa" w:w="3286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sz w:val="16"/>
              </w:rPr>
              <w:t>Até 24 h após chegada ao sítio liberado</w:t>
            </w:r>
          </w:p>
        </w:tc>
        <w:tc>
          <w:tcPr>
            <w:tcW w:type="dxa" w:w="3286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sz w:val="16"/>
              </w:rPr>
              <w:t>TLO do nível</w:t>
            </w:r>
          </w:p>
        </w:tc>
      </w:tr>
      <w:tr>
        <w:tc>
          <w:tcPr>
            <w:tcW w:type="dxa" w:w="3286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center"/>
            </w:pPr>
            <w:r>
              <w:rPr>
                <w:sz w:val="16"/>
              </w:rPr>
              <w:t>N4</w:t>
            </w:r>
          </w:p>
        </w:tc>
        <w:tc>
          <w:tcPr>
            <w:tcW w:type="dxa" w:w="3286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sz w:val="16"/>
              </w:rPr>
              <w:t>36 a 48 h conforme configuração</w:t>
            </w:r>
          </w:p>
        </w:tc>
        <w:tc>
          <w:tcPr>
            <w:tcW w:type="dxa" w:w="3286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sz w:val="16"/>
              </w:rPr>
              <w:t>TLO de expansão</w:t>
            </w:r>
          </w:p>
        </w:tc>
      </w:tr>
    </w:tbl>
    <w:p>
      <w:pPr>
        <w:spacing w:after="0"/>
      </w:pPr>
    </w:p>
    <w:p>
      <w:pPr>
        <w:pStyle w:val="Heading2"/>
      </w:pPr>
      <w:r>
        <w:t>10.1 Avaliação do sítio</w:t>
      </w:r>
    </w:p>
    <w:p>
      <w:r>
        <w:t>A implantação dependerá de Site Assessment com coordenadas, acessos, área útil, drenagem, riscos, segurança, energia, água, comunicações, resíduos, fluxo de ambulâncias, área de pouso quando aplicável e hospital de referência. A SES MT formalizará a liberação do local e os condicionantes.</w:t>
      </w:r>
    </w:p>
    <w:p>
      <w:pPr>
        <w:pStyle w:val="Heading1"/>
      </w:pPr>
      <w:r>
        <w:t>11. Comissionamento e liberação</w:t>
      </w:r>
    </w:p>
    <w:p>
      <w:r>
        <w:t>Antes da admissão de pacientes serão testados estrutura, energia, transferência, UPS, iluminação, HVAC, gases, pressão diferencial quando aplicável, equipamentos, água, efluentes, incêndio, comunicações, TI, farmácia e fluxos. A abertura dependerá do Termo de Liberação Operacional assinado pela fiscalização e pelo responsável técnico da contratada.</w:t>
      </w:r>
    </w:p>
    <w:p>
      <w:pPr>
        <w:pStyle w:val="Heading1"/>
      </w:pPr>
      <w:r>
        <w:t>12. Prontidão e manutenção</w:t>
      </w:r>
    </w:p>
    <w:p>
      <w:pPr>
        <w:pStyle w:val="ListBullet"/>
        <w:ind w:left="340" w:hanging="142"/>
      </w:pPr>
      <w:r>
        <w:t>inventário e rastreabilidade mensal;</w:t>
      </w:r>
    </w:p>
    <w:p>
      <w:pPr>
        <w:pStyle w:val="ListBullet"/>
        <w:ind w:left="340" w:hanging="142"/>
      </w:pPr>
      <w:r>
        <w:t>testes de geradores, climatização, gases, satélite, rádio e equipamentos;</w:t>
      </w:r>
    </w:p>
    <w:p>
      <w:pPr>
        <w:pStyle w:val="ListBullet"/>
        <w:ind w:left="340" w:hanging="142"/>
      </w:pPr>
      <w:r>
        <w:t>manutenção preventiva e corretiva com SLA por criticidade;</w:t>
      </w:r>
    </w:p>
    <w:p>
      <w:pPr>
        <w:pStyle w:val="ListBullet"/>
        <w:ind w:left="340" w:hanging="142"/>
      </w:pPr>
      <w:r>
        <w:t>calibração com rastreabilidade metrológica e RBC quando aplicável;</w:t>
      </w:r>
    </w:p>
    <w:p>
      <w:pPr>
        <w:pStyle w:val="ListBullet"/>
        <w:ind w:left="340" w:hanging="142"/>
      </w:pPr>
      <w:r>
        <w:t>controle de validade, rotação e reposição de estoques;</w:t>
      </w:r>
    </w:p>
    <w:p>
      <w:pPr>
        <w:pStyle w:val="ListBullet"/>
        <w:ind w:left="340" w:hanging="142"/>
      </w:pPr>
      <w:r>
        <w:t>exercícios parciais periódicos e exercício completo anual;</w:t>
      </w:r>
    </w:p>
    <w:p>
      <w:pPr>
        <w:pStyle w:val="ListBullet"/>
        <w:ind w:left="340" w:hanging="142"/>
      </w:pPr>
      <w:r>
        <w:t>relatório de disponibilidade por módulo e plano de correção.</w:t>
      </w:r>
    </w:p>
    <w:p>
      <w:pPr>
        <w:pStyle w:val="Heading1"/>
      </w:pPr>
      <w:r>
        <w:t>13. Desmobilização</w:t>
      </w:r>
    </w:p>
    <w:p>
      <w:pPr>
        <w:pStyle w:val="ListNumber"/>
        <w:ind w:left="397" w:hanging="159"/>
      </w:pPr>
      <w:r>
        <w:t>redução progressiva da capacidade e suspensão coordenada de novas admissões;</w:t>
      </w:r>
    </w:p>
    <w:p>
      <w:pPr>
        <w:pStyle w:val="ListNumber"/>
        <w:ind w:left="397" w:hanging="159"/>
      </w:pPr>
      <w:r>
        <w:t>alta ou transferência segura dos pacientes;</w:t>
      </w:r>
    </w:p>
    <w:p>
      <w:pPr>
        <w:pStyle w:val="ListNumber"/>
        <w:ind w:left="397" w:hanging="159"/>
      </w:pPr>
      <w:r>
        <w:t>inventário, descontaminação, resíduos e encerramento dos registros;</w:t>
      </w:r>
    </w:p>
    <w:p>
      <w:pPr>
        <w:pStyle w:val="ListNumber"/>
        <w:ind w:left="397" w:hanging="159"/>
      </w:pPr>
      <w:r>
        <w:t>desmontagem, acondicionamento, transporte e recomposição do sítio;</w:t>
      </w:r>
    </w:p>
    <w:p>
      <w:pPr>
        <w:pStyle w:val="ListNumber"/>
        <w:ind w:left="397" w:hanging="159"/>
      </w:pPr>
      <w:r>
        <w:t>manutenção pós missão, reposição de estoque e retorno ao N0;</w:t>
      </w:r>
    </w:p>
    <w:p>
      <w:pPr>
        <w:pStyle w:val="ListNumber"/>
        <w:ind w:left="397" w:hanging="159"/>
      </w:pPr>
      <w:r>
        <w:t>After Action Review com tempos, consumo, falhas, incidentes, custos e melhorias.</w:t>
      </w:r>
    </w:p>
    <w:p>
      <w:pPr>
        <w:pStyle w:val="Heading1"/>
      </w:pPr>
      <w:r>
        <w:t>14. Modelo de execução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tcW w:type="dxa" w:w="3286"/>
            <w:shd w:fill="1F4E78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Fase</w:t>
            </w:r>
          </w:p>
        </w:tc>
        <w:tc>
          <w:tcPr>
            <w:tcW w:type="dxa" w:w="3286"/>
            <w:shd w:fill="1F4E78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Entregável</w:t>
            </w:r>
          </w:p>
        </w:tc>
        <w:tc>
          <w:tcPr>
            <w:tcW w:type="dxa" w:w="3286"/>
            <w:shd w:fill="1F4E78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Aceite</w:t>
            </w:r>
          </w:p>
        </w:tc>
      </w:tr>
      <w:tr>
        <w:tc>
          <w:tcPr>
            <w:tcW w:type="dxa" w:w="3286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  <w:t>Implantação do N0</w:t>
            </w:r>
          </w:p>
        </w:tc>
        <w:tc>
          <w:tcPr>
            <w:tcW w:type="dxa" w:w="3286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sz w:val="16"/>
              </w:rPr>
              <w:t>Base, inventário, plano, equipe, testes e treinamento</w:t>
            </w:r>
          </w:p>
        </w:tc>
        <w:tc>
          <w:tcPr>
            <w:tcW w:type="dxa" w:w="3286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sz w:val="16"/>
              </w:rPr>
              <w:t>Termo de prontidão inicial</w:t>
            </w:r>
          </w:p>
        </w:tc>
      </w:tr>
      <w:tr>
        <w:tc>
          <w:tcPr>
            <w:tcW w:type="dxa" w:w="3286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center"/>
            </w:pPr>
            <w:r>
              <w:rPr>
                <w:sz w:val="16"/>
              </w:rPr>
              <w:t>Acionamento</w:t>
            </w:r>
          </w:p>
        </w:tc>
        <w:tc>
          <w:tcPr>
            <w:tcW w:type="dxa" w:w="3286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sz w:val="16"/>
              </w:rPr>
              <w:t>Plano de mobilização e manifesto</w:t>
            </w:r>
          </w:p>
        </w:tc>
        <w:tc>
          <w:tcPr>
            <w:tcW w:type="dxa" w:w="3286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sz w:val="16"/>
              </w:rPr>
              <w:t>Autorização de deslocamento</w:t>
            </w:r>
          </w:p>
        </w:tc>
      </w:tr>
      <w:tr>
        <w:tc>
          <w:tcPr>
            <w:tcW w:type="dxa" w:w="3286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  <w:t>Montagem</w:t>
            </w:r>
          </w:p>
        </w:tc>
        <w:tc>
          <w:tcPr>
            <w:tcW w:type="dxa" w:w="3286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sz w:val="16"/>
              </w:rPr>
              <w:t>Estrutura e utilidades</w:t>
            </w:r>
          </w:p>
        </w:tc>
        <w:tc>
          <w:tcPr>
            <w:tcW w:type="dxa" w:w="3286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sz w:val="16"/>
              </w:rPr>
              <w:t>SAT e TLO</w:t>
            </w:r>
          </w:p>
        </w:tc>
      </w:tr>
      <w:tr>
        <w:tc>
          <w:tcPr>
            <w:tcW w:type="dxa" w:w="3286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center"/>
            </w:pPr>
            <w:r>
              <w:rPr>
                <w:sz w:val="16"/>
              </w:rPr>
              <w:t>Operação</w:t>
            </w:r>
          </w:p>
        </w:tc>
        <w:tc>
          <w:tcPr>
            <w:tcW w:type="dxa" w:w="3286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sz w:val="16"/>
              </w:rPr>
              <w:t>Capacidade disponível e relatórios</w:t>
            </w:r>
          </w:p>
        </w:tc>
        <w:tc>
          <w:tcPr>
            <w:tcW w:type="dxa" w:w="3286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sz w:val="16"/>
              </w:rPr>
              <w:t>Medição diária ou mensal</w:t>
            </w:r>
          </w:p>
        </w:tc>
      </w:tr>
      <w:tr>
        <w:tc>
          <w:tcPr>
            <w:tcW w:type="dxa" w:w="3286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  <w:t>Desmobilização</w:t>
            </w:r>
          </w:p>
        </w:tc>
        <w:tc>
          <w:tcPr>
            <w:tcW w:type="dxa" w:w="3286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sz w:val="16"/>
              </w:rPr>
              <w:t>Retirada e recomposição</w:t>
            </w:r>
          </w:p>
        </w:tc>
        <w:tc>
          <w:tcPr>
            <w:tcW w:type="dxa" w:w="3286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sz w:val="16"/>
              </w:rPr>
              <w:t>Termo de encerramento da missão</w:t>
            </w:r>
          </w:p>
        </w:tc>
      </w:tr>
      <w:tr>
        <w:tc>
          <w:tcPr>
            <w:tcW w:type="dxa" w:w="3286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center"/>
            </w:pPr>
            <w:r>
              <w:rPr>
                <w:sz w:val="16"/>
              </w:rPr>
              <w:t>Recomposição</w:t>
            </w:r>
          </w:p>
        </w:tc>
        <w:tc>
          <w:tcPr>
            <w:tcW w:type="dxa" w:w="3286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sz w:val="16"/>
              </w:rPr>
              <w:t>Estoque, manutenção e lições</w:t>
            </w:r>
          </w:p>
        </w:tc>
        <w:tc>
          <w:tcPr>
            <w:tcW w:type="dxa" w:w="3286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sz w:val="16"/>
              </w:rPr>
              <w:t>Retorno ao N0</w:t>
            </w:r>
          </w:p>
        </w:tc>
      </w:tr>
    </w:tbl>
    <w:p>
      <w:pPr>
        <w:spacing w:after="0"/>
      </w:pPr>
    </w:p>
    <w:p>
      <w:pPr>
        <w:pStyle w:val="Heading1"/>
      </w:pPr>
      <w:r>
        <w:t>15. Modelo de gestão e governança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29"/>
        <w:gridCol w:w="4929"/>
      </w:tblGrid>
      <w:tr>
        <w:trPr>
          <w:tblHeader w:val="true"/>
        </w:trPr>
        <w:tc>
          <w:tcPr>
            <w:tcW w:type="dxa" w:w="4929"/>
            <w:shd w:fill="1F4E78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Instância</w:t>
            </w:r>
          </w:p>
        </w:tc>
        <w:tc>
          <w:tcPr>
            <w:tcW w:type="dxa" w:w="4929"/>
            <w:shd w:fill="1F4E78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Responsabilidade</w:t>
            </w:r>
          </w:p>
        </w:tc>
      </w:tr>
      <w:tr>
        <w:tc>
          <w:tcPr>
            <w:tcW w:type="dxa" w:w="4929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  <w:t>SES MT COES</w:t>
            </w:r>
          </w:p>
        </w:tc>
        <w:tc>
          <w:tcPr>
            <w:tcW w:type="dxa" w:w="4929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sz w:val="16"/>
              </w:rPr>
              <w:t>Decisão estratégica, nível, prioridade e integração estadual</w:t>
            </w:r>
          </w:p>
        </w:tc>
      </w:tr>
      <w:tr>
        <w:tc>
          <w:tcPr>
            <w:tcW w:type="dxa" w:w="4929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center"/>
            </w:pPr>
            <w:r>
              <w:rPr>
                <w:sz w:val="16"/>
              </w:rPr>
              <w:t>Gestor do contrato</w:t>
            </w:r>
          </w:p>
        </w:tc>
        <w:tc>
          <w:tcPr>
            <w:tcW w:type="dxa" w:w="4929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sz w:val="16"/>
              </w:rPr>
              <w:t>Coordenação contratual, ordens, pagamentos e riscos</w:t>
            </w:r>
          </w:p>
        </w:tc>
      </w:tr>
      <w:tr>
        <w:tc>
          <w:tcPr>
            <w:tcW w:type="dxa" w:w="4929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  <w:t>Fiscal técnico</w:t>
            </w:r>
          </w:p>
        </w:tc>
        <w:tc>
          <w:tcPr>
            <w:tcW w:type="dxa" w:w="4929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sz w:val="16"/>
              </w:rPr>
              <w:t>Conformidade, SAT, TLO, SLA e manutenção</w:t>
            </w:r>
          </w:p>
        </w:tc>
      </w:tr>
      <w:tr>
        <w:tc>
          <w:tcPr>
            <w:tcW w:type="dxa" w:w="4929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center"/>
            </w:pPr>
            <w:r>
              <w:rPr>
                <w:sz w:val="16"/>
              </w:rPr>
              <w:t>Fiscal assistencial</w:t>
            </w:r>
          </w:p>
        </w:tc>
        <w:tc>
          <w:tcPr>
            <w:tcW w:type="dxa" w:w="4929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sz w:val="16"/>
              </w:rPr>
              <w:t>Fluxos, capacidade, segurança e interface clínica</w:t>
            </w:r>
          </w:p>
        </w:tc>
      </w:tr>
      <w:tr>
        <w:tc>
          <w:tcPr>
            <w:tcW w:type="dxa" w:w="4929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  <w:t>Fiscal administrativo</w:t>
            </w:r>
          </w:p>
        </w:tc>
        <w:tc>
          <w:tcPr>
            <w:tcW w:type="dxa" w:w="4929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sz w:val="16"/>
              </w:rPr>
              <w:t>Documentos, equipe, encargos, faturamento e garantias</w:t>
            </w:r>
          </w:p>
        </w:tc>
      </w:tr>
      <w:tr>
        <w:tc>
          <w:tcPr>
            <w:tcW w:type="dxa" w:w="4929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center"/>
            </w:pPr>
            <w:r>
              <w:rPr>
                <w:sz w:val="16"/>
              </w:rPr>
              <w:t>Coordenação da contratada</w:t>
            </w:r>
          </w:p>
        </w:tc>
        <w:tc>
          <w:tcPr>
            <w:tcW w:type="dxa" w:w="4929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sz w:val="16"/>
              </w:rPr>
              <w:t>Resultado integrado, comunicação e correção</w:t>
            </w:r>
          </w:p>
        </w:tc>
      </w:tr>
    </w:tbl>
    <w:p>
      <w:pPr>
        <w:spacing w:after="0"/>
      </w:pPr>
    </w:p>
    <w:p>
      <w:pPr>
        <w:pStyle w:val="Heading1"/>
      </w:pPr>
      <w:r>
        <w:t>16. Medição e pagamento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tcW w:type="dxa" w:w="3286"/>
            <w:shd w:fill="1F4E78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Parcela</w:t>
            </w:r>
          </w:p>
        </w:tc>
        <w:tc>
          <w:tcPr>
            <w:tcW w:type="dxa" w:w="3286"/>
            <w:shd w:fill="1F4E78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Unidade</w:t>
            </w:r>
          </w:p>
        </w:tc>
        <w:tc>
          <w:tcPr>
            <w:tcW w:type="dxa" w:w="3286"/>
            <w:shd w:fill="1F4E78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Condição de medição</w:t>
            </w:r>
          </w:p>
        </w:tc>
      </w:tr>
      <w:tr>
        <w:tc>
          <w:tcPr>
            <w:tcW w:type="dxa" w:w="3286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  <w:t>Prontidão</w:t>
            </w:r>
          </w:p>
        </w:tc>
        <w:tc>
          <w:tcPr>
            <w:tcW w:type="dxa" w:w="3286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sz w:val="16"/>
              </w:rPr>
              <w:t>Mês</w:t>
            </w:r>
          </w:p>
        </w:tc>
        <w:tc>
          <w:tcPr>
            <w:tcW w:type="dxa" w:w="3286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sz w:val="16"/>
              </w:rPr>
              <w:t>Disponibilidade, inventário, manutenção e testes</w:t>
            </w:r>
          </w:p>
        </w:tc>
      </w:tr>
      <w:tr>
        <w:tc>
          <w:tcPr>
            <w:tcW w:type="dxa" w:w="3286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center"/>
            </w:pPr>
            <w:r>
              <w:rPr>
                <w:sz w:val="16"/>
              </w:rPr>
              <w:t>Mobilização</w:t>
            </w:r>
          </w:p>
        </w:tc>
        <w:tc>
          <w:tcPr>
            <w:tcW w:type="dxa" w:w="3286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sz w:val="16"/>
              </w:rPr>
              <w:t>Acionamento por nível</w:t>
            </w:r>
          </w:p>
        </w:tc>
        <w:tc>
          <w:tcPr>
            <w:tcW w:type="dxa" w:w="3286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sz w:val="16"/>
              </w:rPr>
              <w:t>Marcos de mobilização cumpridos</w:t>
            </w:r>
          </w:p>
        </w:tc>
      </w:tr>
      <w:tr>
        <w:tc>
          <w:tcPr>
            <w:tcW w:type="dxa" w:w="3286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  <w:t>Transporte</w:t>
            </w:r>
          </w:p>
        </w:tc>
        <w:tc>
          <w:tcPr>
            <w:tcW w:type="dxa" w:w="3286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sz w:val="16"/>
              </w:rPr>
              <w:t>Faixa ou km validado</w:t>
            </w:r>
          </w:p>
        </w:tc>
        <w:tc>
          <w:tcPr>
            <w:tcW w:type="dxa" w:w="3286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sz w:val="16"/>
              </w:rPr>
              <w:t>Rota e telemetria</w:t>
            </w:r>
          </w:p>
        </w:tc>
      </w:tr>
      <w:tr>
        <w:tc>
          <w:tcPr>
            <w:tcW w:type="dxa" w:w="3286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center"/>
            </w:pPr>
            <w:r>
              <w:rPr>
                <w:sz w:val="16"/>
              </w:rPr>
              <w:t>Instalação</w:t>
            </w:r>
          </w:p>
        </w:tc>
        <w:tc>
          <w:tcPr>
            <w:tcW w:type="dxa" w:w="3286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sz w:val="16"/>
              </w:rPr>
              <w:t>Nível implantado</w:t>
            </w:r>
          </w:p>
        </w:tc>
        <w:tc>
          <w:tcPr>
            <w:tcW w:type="dxa" w:w="3286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sz w:val="16"/>
              </w:rPr>
              <w:t>SAT e TLO</w:t>
            </w:r>
          </w:p>
        </w:tc>
      </w:tr>
      <w:tr>
        <w:tc>
          <w:tcPr>
            <w:tcW w:type="dxa" w:w="3286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  <w:t>Operação técnica</w:t>
            </w:r>
          </w:p>
        </w:tc>
        <w:tc>
          <w:tcPr>
            <w:tcW w:type="dxa" w:w="3286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sz w:val="16"/>
              </w:rPr>
              <w:t>Diária por nível</w:t>
            </w:r>
          </w:p>
        </w:tc>
        <w:tc>
          <w:tcPr>
            <w:tcW w:type="dxa" w:w="3286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sz w:val="16"/>
              </w:rPr>
              <w:t>Capacidade operacional</w:t>
            </w:r>
          </w:p>
        </w:tc>
      </w:tr>
      <w:tr>
        <w:tc>
          <w:tcPr>
            <w:tcW w:type="dxa" w:w="3286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center"/>
            </w:pPr>
            <w:r>
              <w:rPr>
                <w:sz w:val="16"/>
              </w:rPr>
              <w:t>Equipe</w:t>
            </w:r>
          </w:p>
        </w:tc>
        <w:tc>
          <w:tcPr>
            <w:tcW w:type="dxa" w:w="3286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sz w:val="16"/>
              </w:rPr>
              <w:t>Pacote de 24 horas</w:t>
            </w:r>
          </w:p>
        </w:tc>
        <w:tc>
          <w:tcPr>
            <w:tcW w:type="dxa" w:w="3286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sz w:val="16"/>
              </w:rPr>
              <w:t>Escala e registros</w:t>
            </w:r>
          </w:p>
        </w:tc>
      </w:tr>
      <w:tr>
        <w:tc>
          <w:tcPr>
            <w:tcW w:type="dxa" w:w="3286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  <w:t>Consumo</w:t>
            </w:r>
          </w:p>
        </w:tc>
        <w:tc>
          <w:tcPr>
            <w:tcW w:type="dxa" w:w="3286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sz w:val="16"/>
              </w:rPr>
              <w:t>Kit ou unidade</w:t>
            </w:r>
          </w:p>
        </w:tc>
        <w:tc>
          <w:tcPr>
            <w:tcW w:type="dxa" w:w="3286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sz w:val="16"/>
              </w:rPr>
              <w:t>Entrega ou consumo rastreado</w:t>
            </w:r>
          </w:p>
        </w:tc>
      </w:tr>
      <w:tr>
        <w:tc>
          <w:tcPr>
            <w:tcW w:type="dxa" w:w="3286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center"/>
            </w:pPr>
            <w:r>
              <w:rPr>
                <w:sz w:val="16"/>
              </w:rPr>
              <w:t>Expansão</w:t>
            </w:r>
          </w:p>
        </w:tc>
        <w:tc>
          <w:tcPr>
            <w:tcW w:type="dxa" w:w="3286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sz w:val="16"/>
              </w:rPr>
              <w:t>Módulo dia</w:t>
            </w:r>
          </w:p>
        </w:tc>
        <w:tc>
          <w:tcPr>
            <w:tcW w:type="dxa" w:w="3286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sz w:val="16"/>
              </w:rPr>
              <w:t>Módulo aceito</w:t>
            </w:r>
          </w:p>
        </w:tc>
      </w:tr>
      <w:tr>
        <w:tc>
          <w:tcPr>
            <w:tcW w:type="dxa" w:w="3286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  <w:t>Desmobilização</w:t>
            </w:r>
          </w:p>
        </w:tc>
        <w:tc>
          <w:tcPr>
            <w:tcW w:type="dxa" w:w="3286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sz w:val="16"/>
              </w:rPr>
              <w:t>Evento</w:t>
            </w:r>
          </w:p>
        </w:tc>
        <w:tc>
          <w:tcPr>
            <w:tcW w:type="dxa" w:w="3286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sz w:val="16"/>
              </w:rPr>
              <w:t>Encerramento aceito</w:t>
            </w:r>
          </w:p>
        </w:tc>
      </w:tr>
      <w:tr>
        <w:tc>
          <w:tcPr>
            <w:tcW w:type="dxa" w:w="3286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center"/>
            </w:pPr>
            <w:r>
              <w:rPr>
                <w:sz w:val="16"/>
              </w:rPr>
              <w:t>Treinamento</w:t>
            </w:r>
          </w:p>
        </w:tc>
        <w:tc>
          <w:tcPr>
            <w:tcW w:type="dxa" w:w="3286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sz w:val="16"/>
              </w:rPr>
              <w:t>Evento</w:t>
            </w:r>
          </w:p>
        </w:tc>
        <w:tc>
          <w:tcPr>
            <w:tcW w:type="dxa" w:w="3286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sz w:val="16"/>
              </w:rPr>
              <w:t>Exercício avaliado</w:t>
            </w:r>
          </w:p>
        </w:tc>
      </w:tr>
    </w:tbl>
    <w:p>
      <w:pPr>
        <w:spacing w:after="0"/>
      </w:pPr>
    </w:p>
    <w:p>
      <w:pPr>
        <w:pStyle w:val="Heading1"/>
      </w:pPr>
      <w:r>
        <w:t>17. Acordo de níveis de serviço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tcW w:type="dxa" w:w="3286"/>
            <w:shd w:fill="1F4E78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Indicador</w:t>
            </w:r>
          </w:p>
        </w:tc>
        <w:tc>
          <w:tcPr>
            <w:tcW w:type="dxa" w:w="3286"/>
            <w:shd w:fill="1F4E78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Meta de referência</w:t>
            </w:r>
          </w:p>
        </w:tc>
        <w:tc>
          <w:tcPr>
            <w:tcW w:type="dxa" w:w="3286"/>
            <w:shd w:fill="1F4E78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Fonte</w:t>
            </w:r>
          </w:p>
        </w:tc>
      </w:tr>
      <w:tr>
        <w:tc>
          <w:tcPr>
            <w:tcW w:type="dxa" w:w="3286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  <w:t>Disponibilidade da solução</w:t>
            </w:r>
          </w:p>
        </w:tc>
        <w:tc>
          <w:tcPr>
            <w:tcW w:type="dxa" w:w="3286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sz w:val="16"/>
              </w:rPr>
              <w:t>99 por cento ou superior</w:t>
            </w:r>
          </w:p>
        </w:tc>
        <w:tc>
          <w:tcPr>
            <w:tcW w:type="dxa" w:w="3286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sz w:val="16"/>
              </w:rPr>
              <w:t>Relatório N0</w:t>
            </w:r>
          </w:p>
        </w:tc>
      </w:tr>
      <w:tr>
        <w:tc>
          <w:tcPr>
            <w:tcW w:type="dxa" w:w="3286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center"/>
            </w:pPr>
            <w:r>
              <w:rPr>
                <w:sz w:val="16"/>
              </w:rPr>
              <w:t>Energia crítica em missão</w:t>
            </w:r>
          </w:p>
        </w:tc>
        <w:tc>
          <w:tcPr>
            <w:tcW w:type="dxa" w:w="3286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sz w:val="16"/>
              </w:rPr>
              <w:t>99,9 por cento ou superior</w:t>
            </w:r>
          </w:p>
        </w:tc>
        <w:tc>
          <w:tcPr>
            <w:tcW w:type="dxa" w:w="3286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sz w:val="16"/>
              </w:rPr>
              <w:t>Telemetria</w:t>
            </w:r>
          </w:p>
        </w:tc>
      </w:tr>
      <w:tr>
        <w:tc>
          <w:tcPr>
            <w:tcW w:type="dxa" w:w="3286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sz w:val="16"/>
              </w:rPr>
              <w:t>Comunicação principal ou redundante</w:t>
            </w:r>
          </w:p>
        </w:tc>
        <w:tc>
          <w:tcPr>
            <w:tcW w:type="dxa" w:w="3286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sz w:val="16"/>
              </w:rPr>
              <w:t>99 por cento ou superior</w:t>
            </w:r>
          </w:p>
        </w:tc>
        <w:tc>
          <w:tcPr>
            <w:tcW w:type="dxa" w:w="3286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sz w:val="16"/>
              </w:rPr>
              <w:t>Monitoramento</w:t>
            </w:r>
          </w:p>
        </w:tc>
      </w:tr>
      <w:tr>
        <w:tc>
          <w:tcPr>
            <w:tcW w:type="dxa" w:w="3286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sz w:val="16"/>
              </w:rPr>
              <w:t>Equipamentos críticos funcionais</w:t>
            </w:r>
          </w:p>
        </w:tc>
        <w:tc>
          <w:tcPr>
            <w:tcW w:type="dxa" w:w="3286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sz w:val="16"/>
              </w:rPr>
              <w:t>100 por cento</w:t>
            </w:r>
          </w:p>
        </w:tc>
        <w:tc>
          <w:tcPr>
            <w:tcW w:type="dxa" w:w="3286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sz w:val="16"/>
              </w:rPr>
              <w:t>Checklist e testes</w:t>
            </w:r>
          </w:p>
        </w:tc>
      </w:tr>
      <w:tr>
        <w:tc>
          <w:tcPr>
            <w:tcW w:type="dxa" w:w="3286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  <w:t>Insumos dentro da validade</w:t>
            </w:r>
          </w:p>
        </w:tc>
        <w:tc>
          <w:tcPr>
            <w:tcW w:type="dxa" w:w="3286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sz w:val="16"/>
              </w:rPr>
              <w:t>100 por cento</w:t>
            </w:r>
          </w:p>
        </w:tc>
        <w:tc>
          <w:tcPr>
            <w:tcW w:type="dxa" w:w="3286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sz w:val="16"/>
              </w:rPr>
              <w:t>Inventário</w:t>
            </w:r>
          </w:p>
        </w:tc>
      </w:tr>
      <w:tr>
        <w:tc>
          <w:tcPr>
            <w:tcW w:type="dxa" w:w="3286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center"/>
            </w:pPr>
            <w:r>
              <w:rPr>
                <w:sz w:val="16"/>
              </w:rPr>
              <w:t>Rastreabilidade patrimonial</w:t>
            </w:r>
          </w:p>
        </w:tc>
        <w:tc>
          <w:tcPr>
            <w:tcW w:type="dxa" w:w="3286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sz w:val="16"/>
              </w:rPr>
              <w:t>100 por cento</w:t>
            </w:r>
          </w:p>
        </w:tc>
        <w:tc>
          <w:tcPr>
            <w:tcW w:type="dxa" w:w="3286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sz w:val="16"/>
              </w:rPr>
              <w:t>Manifesto</w:t>
            </w:r>
          </w:p>
        </w:tc>
      </w:tr>
      <w:tr>
        <w:tc>
          <w:tcPr>
            <w:tcW w:type="dxa" w:w="3286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  <w:t>Relógios de mobilização</w:t>
            </w:r>
          </w:p>
        </w:tc>
        <w:tc>
          <w:tcPr>
            <w:tcW w:type="dxa" w:w="3286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sz w:val="16"/>
              </w:rPr>
              <w:t>Conforme nível</w:t>
            </w:r>
          </w:p>
        </w:tc>
        <w:tc>
          <w:tcPr>
            <w:tcW w:type="dxa" w:w="3286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sz w:val="16"/>
              </w:rPr>
              <w:t>Marcos eletrônicos</w:t>
            </w:r>
          </w:p>
        </w:tc>
      </w:tr>
    </w:tbl>
    <w:p>
      <w:pPr>
        <w:spacing w:after="0"/>
      </w:pPr>
    </w:p>
    <w:p>
      <w:r>
        <w:t>As metas finais, faixas de glosa, tolerâncias, exclusões e tetos serão preenchidos após simulação econômica. Glosa de medição não substituirá sanção ou indenização quando cabível.</w:t>
      </w:r>
    </w:p>
    <w:p>
      <w:pPr>
        <w:pStyle w:val="Heading1"/>
      </w:pPr>
      <w:r>
        <w:t>18. Obrigações da contratada</w:t>
      </w:r>
    </w:p>
    <w:p>
      <w:pPr>
        <w:pStyle w:val="ListBullet"/>
        <w:ind w:left="340" w:hanging="142"/>
      </w:pPr>
      <w:r>
        <w:t>manter capacidade, licenças, responsáveis, equipe e seguros exigidos;</w:t>
      </w:r>
    </w:p>
    <w:p>
      <w:pPr>
        <w:pStyle w:val="ListBullet"/>
        <w:ind w:left="340" w:hanging="142"/>
      </w:pPr>
      <w:r>
        <w:t>cumprir prazos, projetos, protocolos, normas sanitárias e segurança do trabalho;</w:t>
      </w:r>
    </w:p>
    <w:p>
      <w:pPr>
        <w:pStyle w:val="ListBullet"/>
        <w:ind w:left="340" w:hanging="142"/>
      </w:pPr>
      <w:r>
        <w:t>proteger dados e comunicar incidentes;</w:t>
      </w:r>
    </w:p>
    <w:p>
      <w:pPr>
        <w:pStyle w:val="ListBullet"/>
        <w:ind w:left="340" w:hanging="142"/>
      </w:pPr>
      <w:r>
        <w:t>fornecer registros, acesso à fiscalização e informações de custo e desempenho;</w:t>
      </w:r>
    </w:p>
    <w:p>
      <w:pPr>
        <w:pStyle w:val="ListBullet"/>
        <w:ind w:left="340" w:hanging="142"/>
      </w:pPr>
      <w:r>
        <w:t>corrigir falhas e substituir recursos incompatíveis ou indisponíveis;</w:t>
      </w:r>
    </w:p>
    <w:p>
      <w:pPr>
        <w:pStyle w:val="ListBullet"/>
        <w:ind w:left="340" w:hanging="142"/>
      </w:pPr>
      <w:r>
        <w:t>manter plano de continuidade, contingência e cadeia de suprimentos;</w:t>
      </w:r>
    </w:p>
    <w:p>
      <w:pPr>
        <w:pStyle w:val="ListBullet"/>
        <w:ind w:left="340" w:hanging="142"/>
      </w:pPr>
      <w:r>
        <w:t>responder por subcontratados e danos que lhe forem imputáveis;</w:t>
      </w:r>
    </w:p>
    <w:p>
      <w:pPr>
        <w:pStyle w:val="ListBullet"/>
        <w:ind w:left="340" w:hanging="142"/>
      </w:pPr>
      <w:r>
        <w:t>participar de treinamentos, simulados, AAR e melhoria contínua.</w:t>
      </w:r>
    </w:p>
    <w:p>
      <w:pPr>
        <w:pStyle w:val="Heading1"/>
      </w:pPr>
      <w:r>
        <w:t>19. Obrigações da SES MT</w:t>
      </w:r>
    </w:p>
    <w:p>
      <w:pPr>
        <w:pStyle w:val="ListBullet"/>
        <w:ind w:left="340" w:hanging="142"/>
      </w:pPr>
      <w:r>
        <w:t>emitir ordens, designar governança e definir o nível de ativação;</w:t>
      </w:r>
    </w:p>
    <w:p>
      <w:pPr>
        <w:pStyle w:val="ListBullet"/>
        <w:ind w:left="340" w:hanging="142"/>
      </w:pPr>
      <w:r>
        <w:t>disponibilizar ou liberar sítio compatível e segurança do perímetro, conforme matriz;</w:t>
      </w:r>
    </w:p>
    <w:p>
      <w:pPr>
        <w:pStyle w:val="ListBullet"/>
        <w:ind w:left="340" w:hanging="142"/>
      </w:pPr>
      <w:r>
        <w:t>informar riscos, interfaces, referências e condições conhecidas;</w:t>
      </w:r>
    </w:p>
    <w:p>
      <w:pPr>
        <w:pStyle w:val="ListBullet"/>
        <w:ind w:left="340" w:hanging="142"/>
      </w:pPr>
      <w:r>
        <w:t>integrar regulação, assistência, vigilância, SAMU e demais órgãos;</w:t>
      </w:r>
    </w:p>
    <w:p>
      <w:pPr>
        <w:pStyle w:val="ListBullet"/>
        <w:ind w:left="340" w:hanging="142"/>
      </w:pPr>
      <w:r>
        <w:t>acompanhar, fiscalizar, atestar e pagar as parcelas aceitas;</w:t>
      </w:r>
    </w:p>
    <w:p>
      <w:pPr>
        <w:pStyle w:val="ListBullet"/>
        <w:ind w:left="340" w:hanging="142"/>
      </w:pPr>
      <w:r>
        <w:t>fornecer credenciais e interfaces institucionais autorizadas;</w:t>
      </w:r>
    </w:p>
    <w:p>
      <w:pPr>
        <w:pStyle w:val="ListBullet"/>
        <w:ind w:left="340" w:hanging="142"/>
      </w:pPr>
      <w:r>
        <w:t>decidir sobre expansão, retração e desmobilização.</w:t>
      </w:r>
    </w:p>
    <w:p>
      <w:pPr>
        <w:pStyle w:val="Heading1"/>
      </w:pPr>
      <w:r>
        <w:t>20. Seleção e habilitação</w:t>
      </w:r>
    </w:p>
    <w:p>
      <w:r>
        <w:t>A forma de seleção será definida após a classificação do objeto. A habilitação técnica se limitará às parcelas de maior relevância e admitirá somatório ou complementaridade quando tecnicamente possível. Não se exigirá propriedade prévia de base, frota ou ativos se o mesmo resultado puder ser garantido por compromisso verificável até o início da execução.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tcW w:type="dxa" w:w="3286"/>
            <w:shd w:fill="1F4E78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Parcela relevante proposta</w:t>
            </w:r>
          </w:p>
        </w:tc>
        <w:tc>
          <w:tcPr>
            <w:tcW w:type="dxa" w:w="3286"/>
            <w:shd w:fill="1F4E78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Comprovação possível</w:t>
            </w:r>
          </w:p>
        </w:tc>
        <w:tc>
          <w:tcPr>
            <w:tcW w:type="dxa" w:w="3286"/>
            <w:shd w:fill="1F4E78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Decisão pendente</w:t>
            </w:r>
          </w:p>
        </w:tc>
      </w:tr>
      <w:tr>
        <w:tc>
          <w:tcPr>
            <w:tcW w:type="dxa" w:w="3286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  <w:t>Estrutura modular de saúde</w:t>
            </w:r>
          </w:p>
        </w:tc>
        <w:tc>
          <w:tcPr>
            <w:tcW w:type="dxa" w:w="3286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sz w:val="16"/>
              </w:rPr>
              <w:t>Atestado de implantação e comissionamento</w:t>
            </w:r>
          </w:p>
        </w:tc>
        <w:tc>
          <w:tcPr>
            <w:tcW w:type="dxa" w:w="3286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sz w:val="16"/>
              </w:rPr>
              <w:t>Capacidade mínima</w:t>
            </w:r>
          </w:p>
        </w:tc>
      </w:tr>
      <w:tr>
        <w:tc>
          <w:tcPr>
            <w:tcW w:type="dxa" w:w="3286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center"/>
            </w:pPr>
            <w:r>
              <w:rPr>
                <w:sz w:val="16"/>
              </w:rPr>
              <w:t>Logística de contingência</w:t>
            </w:r>
          </w:p>
        </w:tc>
        <w:tc>
          <w:tcPr>
            <w:tcW w:type="dxa" w:w="3286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sz w:val="16"/>
              </w:rPr>
              <w:t>Atestado de mobilização em ambiente remoto</w:t>
            </w:r>
          </w:p>
        </w:tc>
        <w:tc>
          <w:tcPr>
            <w:tcW w:type="dxa" w:w="3286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sz w:val="16"/>
              </w:rPr>
              <w:t>Escala e somatório</w:t>
            </w:r>
          </w:p>
        </w:tc>
      </w:tr>
      <w:tr>
        <w:tc>
          <w:tcPr>
            <w:tcW w:type="dxa" w:w="3286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  <w:t>Energia e HVAC</w:t>
            </w:r>
          </w:p>
        </w:tc>
        <w:tc>
          <w:tcPr>
            <w:tcW w:type="dxa" w:w="3286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sz w:val="16"/>
              </w:rPr>
              <w:t>Atestado e responsabilidade técnica</w:t>
            </w:r>
          </w:p>
        </w:tc>
        <w:tc>
          <w:tcPr>
            <w:tcW w:type="dxa" w:w="3286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sz w:val="16"/>
              </w:rPr>
              <w:t>Relevância quantitativa</w:t>
            </w:r>
          </w:p>
        </w:tc>
      </w:tr>
      <w:tr>
        <w:tc>
          <w:tcPr>
            <w:tcW w:type="dxa" w:w="3286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center"/>
            </w:pPr>
            <w:r>
              <w:rPr>
                <w:sz w:val="16"/>
              </w:rPr>
              <w:t>Gases medicinais</w:t>
            </w:r>
          </w:p>
        </w:tc>
        <w:tc>
          <w:tcPr>
            <w:tcW w:type="dxa" w:w="3286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sz w:val="16"/>
              </w:rPr>
              <w:t>Atestado, projeto e RT</w:t>
            </w:r>
          </w:p>
        </w:tc>
        <w:tc>
          <w:tcPr>
            <w:tcW w:type="dxa" w:w="3286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sz w:val="16"/>
              </w:rPr>
              <w:t>Forma de participação</w:t>
            </w:r>
          </w:p>
        </w:tc>
      </w:tr>
      <w:tr>
        <w:tc>
          <w:tcPr>
            <w:tcW w:type="dxa" w:w="3286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  <w:t>Telecomunicações</w:t>
            </w:r>
          </w:p>
        </w:tc>
        <w:tc>
          <w:tcPr>
            <w:tcW w:type="dxa" w:w="3286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sz w:val="16"/>
              </w:rPr>
              <w:t>Atestado de solução crítica</w:t>
            </w:r>
          </w:p>
        </w:tc>
        <w:tc>
          <w:tcPr>
            <w:tcW w:type="dxa" w:w="3286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sz w:val="16"/>
              </w:rPr>
              <w:t>Requisito mínimo</w:t>
            </w:r>
          </w:p>
        </w:tc>
      </w:tr>
      <w:tr>
        <w:tc>
          <w:tcPr>
            <w:tcW w:type="dxa" w:w="3286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center"/>
            </w:pPr>
            <w:r>
              <w:rPr>
                <w:sz w:val="16"/>
              </w:rPr>
              <w:t>Operação assistencial</w:t>
            </w:r>
          </w:p>
        </w:tc>
        <w:tc>
          <w:tcPr>
            <w:tcW w:type="dxa" w:w="3286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sz w:val="16"/>
              </w:rPr>
              <w:t>Atestado e licenças</w:t>
            </w:r>
          </w:p>
        </w:tc>
        <w:tc>
          <w:tcPr>
            <w:tcW w:type="dxa" w:w="3286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sz w:val="16"/>
              </w:rPr>
              <w:t>Somente se incluída</w:t>
            </w:r>
          </w:p>
        </w:tc>
      </w:tr>
    </w:tbl>
    <w:p>
      <w:pPr>
        <w:spacing w:after="0"/>
      </w:pPr>
    </w:p>
    <w:p>
      <w:pPr>
        <w:pStyle w:val="Heading1"/>
      </w:pPr>
      <w:r>
        <w:t>21. Prova de conceito</w:t>
      </w:r>
    </w:p>
    <w:p>
      <w:r>
        <w:t>A decisão de exigir prova de conceito será motivada. Quando adotada, será realizada com o licitante provisoriamente classificado em primeiro lugar, segundo roteiro publicado, sem revelar solução proprietária de outros concorrentes.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tcW w:type="dxa" w:w="3286"/>
            <w:shd w:fill="1F4E78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Ensaio</w:t>
            </w:r>
          </w:p>
        </w:tc>
        <w:tc>
          <w:tcPr>
            <w:tcW w:type="dxa" w:w="3286"/>
            <w:shd w:fill="1F4E78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Critério mínimo</w:t>
            </w:r>
          </w:p>
        </w:tc>
        <w:tc>
          <w:tcPr>
            <w:tcW w:type="dxa" w:w="3286"/>
            <w:shd w:fill="1F4E78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Registro</w:t>
            </w:r>
          </w:p>
        </w:tc>
      </w:tr>
      <w:tr>
        <w:tc>
          <w:tcPr>
            <w:tcW w:type="dxa" w:w="3286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  <w:t>Montagem representativa</w:t>
            </w:r>
          </w:p>
        </w:tc>
        <w:tc>
          <w:tcPr>
            <w:tcW w:type="dxa" w:w="3286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sz w:val="16"/>
              </w:rPr>
              <w:t>Sequência, equipe e tempo demonstrados</w:t>
            </w:r>
          </w:p>
        </w:tc>
        <w:tc>
          <w:tcPr>
            <w:tcW w:type="dxa" w:w="3286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sz w:val="16"/>
              </w:rPr>
              <w:t>Cronometragem e vídeo</w:t>
            </w:r>
          </w:p>
        </w:tc>
      </w:tr>
      <w:tr>
        <w:tc>
          <w:tcPr>
            <w:tcW w:type="dxa" w:w="3286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center"/>
            </w:pPr>
            <w:r>
              <w:rPr>
                <w:sz w:val="16"/>
              </w:rPr>
              <w:t>Energia</w:t>
            </w:r>
          </w:p>
        </w:tc>
        <w:tc>
          <w:tcPr>
            <w:tcW w:type="dxa" w:w="3286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sz w:val="16"/>
              </w:rPr>
              <w:t>Partida, carga, transferência e UPS</w:t>
            </w:r>
          </w:p>
        </w:tc>
        <w:tc>
          <w:tcPr>
            <w:tcW w:type="dxa" w:w="3286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sz w:val="16"/>
              </w:rPr>
              <w:t>Relatório elétrico</w:t>
            </w:r>
          </w:p>
        </w:tc>
      </w:tr>
      <w:tr>
        <w:tc>
          <w:tcPr>
            <w:tcW w:type="dxa" w:w="3286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  <w:t>HVAC e isolamento</w:t>
            </w:r>
          </w:p>
        </w:tc>
        <w:tc>
          <w:tcPr>
            <w:tcW w:type="dxa" w:w="3286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sz w:val="16"/>
              </w:rPr>
              <w:t>Condições e alarmes conforme projeto</w:t>
            </w:r>
          </w:p>
        </w:tc>
        <w:tc>
          <w:tcPr>
            <w:tcW w:type="dxa" w:w="3286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sz w:val="16"/>
              </w:rPr>
              <w:t>Medições</w:t>
            </w:r>
          </w:p>
        </w:tc>
      </w:tr>
      <w:tr>
        <w:tc>
          <w:tcPr>
            <w:tcW w:type="dxa" w:w="3286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center"/>
            </w:pPr>
            <w:r>
              <w:rPr>
                <w:sz w:val="16"/>
              </w:rPr>
              <w:t>Gases</w:t>
            </w:r>
          </w:p>
        </w:tc>
        <w:tc>
          <w:tcPr>
            <w:tcW w:type="dxa" w:w="3286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sz w:val="16"/>
              </w:rPr>
              <w:t>Capacidade, estanqueidade e reserva</w:t>
            </w:r>
          </w:p>
        </w:tc>
        <w:tc>
          <w:tcPr>
            <w:tcW w:type="dxa" w:w="3286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sz w:val="16"/>
              </w:rPr>
              <w:t>Laudo</w:t>
            </w:r>
          </w:p>
        </w:tc>
      </w:tr>
      <w:tr>
        <w:tc>
          <w:tcPr>
            <w:tcW w:type="dxa" w:w="3286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  <w:t>Comunicação</w:t>
            </w:r>
          </w:p>
        </w:tc>
        <w:tc>
          <w:tcPr>
            <w:tcW w:type="dxa" w:w="3286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sz w:val="16"/>
              </w:rPr>
              <w:t>Satélite, redundância e redes segregadas</w:t>
            </w:r>
          </w:p>
        </w:tc>
        <w:tc>
          <w:tcPr>
            <w:tcW w:type="dxa" w:w="3286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sz w:val="16"/>
              </w:rPr>
              <w:t>Teste de disponibilidade</w:t>
            </w:r>
          </w:p>
        </w:tc>
      </w:tr>
      <w:tr>
        <w:tc>
          <w:tcPr>
            <w:tcW w:type="dxa" w:w="3286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center"/>
            </w:pPr>
            <w:r>
              <w:rPr>
                <w:sz w:val="16"/>
              </w:rPr>
              <w:t>Rastreabilidade</w:t>
            </w:r>
          </w:p>
        </w:tc>
        <w:tc>
          <w:tcPr>
            <w:tcW w:type="dxa" w:w="3286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sz w:val="16"/>
              </w:rPr>
              <w:t>Item, volume, manifesto e inventário</w:t>
            </w:r>
          </w:p>
        </w:tc>
        <w:tc>
          <w:tcPr>
            <w:tcW w:type="dxa" w:w="3286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sz w:val="16"/>
              </w:rPr>
              <w:t>Exportação de registros</w:t>
            </w:r>
          </w:p>
        </w:tc>
      </w:tr>
      <w:tr>
        <w:tc>
          <w:tcPr>
            <w:tcW w:type="dxa" w:w="3286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  <w:t>Fluxo assistencial</w:t>
            </w:r>
          </w:p>
        </w:tc>
        <w:tc>
          <w:tcPr>
            <w:tcW w:type="dxa" w:w="3286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sz w:val="16"/>
              </w:rPr>
              <w:t>Triagem, estabilização e transferência simuladas</w:t>
            </w:r>
          </w:p>
        </w:tc>
        <w:tc>
          <w:tcPr>
            <w:tcW w:type="dxa" w:w="3286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sz w:val="16"/>
              </w:rPr>
              <w:t>Checklist</w:t>
            </w:r>
          </w:p>
        </w:tc>
      </w:tr>
    </w:tbl>
    <w:p>
      <w:pPr>
        <w:spacing w:after="0"/>
      </w:pPr>
    </w:p>
    <w:p>
      <w:pPr>
        <w:pStyle w:val="Heading1"/>
      </w:pPr>
      <w:r>
        <w:t>22. Matriz de riscos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tcW w:type="dxa" w:w="3286"/>
            <w:shd w:fill="1F4E78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Risco</w:t>
            </w:r>
          </w:p>
        </w:tc>
        <w:tc>
          <w:tcPr>
            <w:tcW w:type="dxa" w:w="3286"/>
            <w:shd w:fill="1F4E78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Alocação proposta</w:t>
            </w:r>
          </w:p>
        </w:tc>
        <w:tc>
          <w:tcPr>
            <w:tcW w:type="dxa" w:w="3286"/>
            <w:shd w:fill="1F4E78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Resposta</w:t>
            </w:r>
          </w:p>
        </w:tc>
      </w:tr>
      <w:tr>
        <w:tc>
          <w:tcPr>
            <w:tcW w:type="dxa" w:w="3286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sz w:val="16"/>
              </w:rPr>
              <w:t>Falha de equipamento ou manutenção</w:t>
            </w:r>
          </w:p>
        </w:tc>
        <w:tc>
          <w:tcPr>
            <w:tcW w:type="dxa" w:w="3286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sz w:val="16"/>
              </w:rPr>
              <w:t>Contratada</w:t>
            </w:r>
          </w:p>
        </w:tc>
        <w:tc>
          <w:tcPr>
            <w:tcW w:type="dxa" w:w="3286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sz w:val="16"/>
              </w:rPr>
              <w:t>Reserva, correção e continuidade</w:t>
            </w:r>
          </w:p>
        </w:tc>
      </w:tr>
      <w:tr>
        <w:tc>
          <w:tcPr>
            <w:tcW w:type="dxa" w:w="3286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sz w:val="16"/>
              </w:rPr>
              <w:t>Atraso imputável na montagem</w:t>
            </w:r>
          </w:p>
        </w:tc>
        <w:tc>
          <w:tcPr>
            <w:tcW w:type="dxa" w:w="3286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sz w:val="16"/>
              </w:rPr>
              <w:t>Contratada</w:t>
            </w:r>
          </w:p>
        </w:tc>
        <w:tc>
          <w:tcPr>
            <w:tcW w:type="dxa" w:w="3286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sz w:val="16"/>
              </w:rPr>
              <w:t>Recuperação, glosa e sanção</w:t>
            </w:r>
          </w:p>
        </w:tc>
      </w:tr>
      <w:tr>
        <w:tc>
          <w:tcPr>
            <w:tcW w:type="dxa" w:w="3286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sz w:val="16"/>
              </w:rPr>
              <w:t>Ruptura de estoque contratado</w:t>
            </w:r>
          </w:p>
        </w:tc>
        <w:tc>
          <w:tcPr>
            <w:tcW w:type="dxa" w:w="3286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sz w:val="16"/>
              </w:rPr>
              <w:t>Contratada</w:t>
            </w:r>
          </w:p>
        </w:tc>
        <w:tc>
          <w:tcPr>
            <w:tcW w:type="dxa" w:w="3286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sz w:val="16"/>
              </w:rPr>
              <w:t>Reposição e contingência</w:t>
            </w:r>
          </w:p>
        </w:tc>
      </w:tr>
      <w:tr>
        <w:tc>
          <w:tcPr>
            <w:tcW w:type="dxa" w:w="3286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sz w:val="16"/>
              </w:rPr>
              <w:t>Sítio inadequado indicado pela SES MT</w:t>
            </w:r>
          </w:p>
        </w:tc>
        <w:tc>
          <w:tcPr>
            <w:tcW w:type="dxa" w:w="3286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sz w:val="16"/>
              </w:rPr>
              <w:t>Administração</w:t>
            </w:r>
          </w:p>
        </w:tc>
        <w:tc>
          <w:tcPr>
            <w:tcW w:type="dxa" w:w="3286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sz w:val="16"/>
              </w:rPr>
              <w:t>Preparação ou relocação e ajuste de prazo</w:t>
            </w:r>
          </w:p>
        </w:tc>
      </w:tr>
      <w:tr>
        <w:tc>
          <w:tcPr>
            <w:tcW w:type="dxa" w:w="3286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sz w:val="16"/>
              </w:rPr>
              <w:t>Bloqueio extraordinário de rota</w:t>
            </w:r>
          </w:p>
        </w:tc>
        <w:tc>
          <w:tcPr>
            <w:tcW w:type="dxa" w:w="3286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sz w:val="16"/>
              </w:rPr>
              <w:t>Conforme causa</w:t>
            </w:r>
          </w:p>
        </w:tc>
        <w:tc>
          <w:tcPr>
            <w:tcW w:type="dxa" w:w="3286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sz w:val="16"/>
              </w:rPr>
              <w:t>Rota alternativa e reprogramação</w:t>
            </w:r>
          </w:p>
        </w:tc>
      </w:tr>
      <w:tr>
        <w:tc>
          <w:tcPr>
            <w:tcW w:type="dxa" w:w="3286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sz w:val="16"/>
              </w:rPr>
              <w:t>Clima acima do envelope contratado</w:t>
            </w:r>
          </w:p>
        </w:tc>
        <w:tc>
          <w:tcPr>
            <w:tcW w:type="dxa" w:w="3286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sz w:val="16"/>
              </w:rPr>
              <w:t>Conforme matriz final</w:t>
            </w:r>
          </w:p>
        </w:tc>
        <w:tc>
          <w:tcPr>
            <w:tcW w:type="dxa" w:w="3286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sz w:val="16"/>
              </w:rPr>
              <w:t>Reforço, suspensão segura ou relocação</w:t>
            </w:r>
          </w:p>
        </w:tc>
      </w:tr>
      <w:tr>
        <w:tc>
          <w:tcPr>
            <w:tcW w:type="dxa" w:w="3286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sz w:val="16"/>
              </w:rPr>
              <w:t>Segurança pública do perímetro</w:t>
            </w:r>
          </w:p>
        </w:tc>
        <w:tc>
          <w:tcPr>
            <w:tcW w:type="dxa" w:w="3286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sz w:val="16"/>
              </w:rPr>
              <w:t>Administração em regra</w:t>
            </w:r>
          </w:p>
        </w:tc>
        <w:tc>
          <w:tcPr>
            <w:tcW w:type="dxa" w:w="3286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sz w:val="16"/>
              </w:rPr>
              <w:t>Coordenação institucional</w:t>
            </w:r>
          </w:p>
        </w:tc>
      </w:tr>
      <w:tr>
        <w:tc>
          <w:tcPr>
            <w:tcW w:type="dxa" w:w="3286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sz w:val="16"/>
              </w:rPr>
              <w:t>Dano por montagem inadequada</w:t>
            </w:r>
          </w:p>
        </w:tc>
        <w:tc>
          <w:tcPr>
            <w:tcW w:type="dxa" w:w="3286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sz w:val="16"/>
              </w:rPr>
              <w:t>Contratada</w:t>
            </w:r>
          </w:p>
        </w:tc>
        <w:tc>
          <w:tcPr>
            <w:tcW w:type="dxa" w:w="3286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sz w:val="16"/>
              </w:rPr>
              <w:t>Reparação</w:t>
            </w:r>
          </w:p>
        </w:tc>
      </w:tr>
      <w:tr>
        <w:tc>
          <w:tcPr>
            <w:tcW w:type="dxa" w:w="3286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sz w:val="16"/>
              </w:rPr>
              <w:t>Mudança extraordinária de escopo</w:t>
            </w:r>
          </w:p>
        </w:tc>
        <w:tc>
          <w:tcPr>
            <w:tcW w:type="dxa" w:w="3286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sz w:val="16"/>
              </w:rPr>
              <w:t>Administração</w:t>
            </w:r>
          </w:p>
        </w:tc>
        <w:tc>
          <w:tcPr>
            <w:tcW w:type="dxa" w:w="3286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sz w:val="16"/>
              </w:rPr>
              <w:t>Ordem e recomposição do equilíbrio</w:t>
            </w:r>
          </w:p>
        </w:tc>
      </w:tr>
    </w:tbl>
    <w:p>
      <w:pPr>
        <w:spacing w:after="0"/>
      </w:pPr>
    </w:p>
    <w:p>
      <w:pPr>
        <w:pStyle w:val="Heading1"/>
      </w:pPr>
      <w:r>
        <w:t>23. Sustentabilidade e resíduos</w:t>
      </w:r>
    </w:p>
    <w:p>
      <w:pPr>
        <w:pStyle w:val="ListBullet"/>
        <w:ind w:left="340" w:hanging="142"/>
      </w:pPr>
      <w:r>
        <w:t>PGRSS compatível com unidades temporárias e todos os grupos gerados;</w:t>
      </w:r>
    </w:p>
    <w:p>
      <w:pPr>
        <w:pStyle w:val="ListBullet"/>
        <w:ind w:left="340" w:hanging="142"/>
      </w:pPr>
      <w:r>
        <w:t>segregação, acondicionamento, armazenamento, transporte e destinação licenciada;</w:t>
      </w:r>
    </w:p>
    <w:p>
      <w:pPr>
        <w:pStyle w:val="ListBullet"/>
        <w:ind w:left="340" w:hanging="142"/>
      </w:pPr>
      <w:r>
        <w:t>uso racional de energia, combustível e água;</w:t>
      </w:r>
    </w:p>
    <w:p>
      <w:pPr>
        <w:pStyle w:val="ListBullet"/>
        <w:ind w:left="340" w:hanging="142"/>
      </w:pPr>
      <w:r>
        <w:t>controle de emissões, ruído, efluentes, derramamentos e recuperação do sítio;</w:t>
      </w:r>
    </w:p>
    <w:p>
      <w:pPr>
        <w:pStyle w:val="ListBullet"/>
        <w:ind w:left="340" w:hanging="142"/>
      </w:pPr>
      <w:r>
        <w:t>preferência por materiais duráveis, reparáveis e reutilizáveis sem restringir competição.</w:t>
      </w:r>
    </w:p>
    <w:p>
      <w:pPr>
        <w:pStyle w:val="Heading1"/>
      </w:pPr>
      <w:r>
        <w:t>24. Vigência, reajuste e garantias</w:t>
      </w:r>
    </w:p>
    <w:p>
      <w:r>
        <w:t>O prazo inicial, as prorrogações, a data base, o índice, a repactuação de mão de obra, a garantia de proposta e a garantia contratual serão definidos após classificação e orçamento. A minuta contratual separará custos de mercado, custos de mão de obra e eventos de reequilíbrio.</w:t>
      </w:r>
    </w:p>
    <w:p>
      <w:pPr>
        <w:pStyle w:val="Heading1"/>
      </w:pPr>
      <w:r>
        <w:t>25. Estimativa e adequação orçamentária</w:t>
      </w:r>
    </w:p>
    <w:p>
      <w:r>
        <w:t>Valor estimado: R$ [A DEFINIR]. A memória de cálculo deverá usar a planilha de componentes A a J, quantitativos, frequência de acionamento e pesquisa de mercado. Dotação, fonte, programa, elemento e cronograma financeiro serão inseridos antes da publicação.</w:t>
      </w:r>
    </w:p>
    <w:p>
      <w:pPr>
        <w:pStyle w:val="Heading1"/>
      </w:pPr>
      <w:r>
        <w:t>26. Recebimento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tcW w:type="dxa" w:w="3286"/>
            <w:shd w:fill="1F4E78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Objeto de aceite</w:t>
            </w:r>
          </w:p>
        </w:tc>
        <w:tc>
          <w:tcPr>
            <w:tcW w:type="dxa" w:w="3286"/>
            <w:shd w:fill="1F4E78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Provisório</w:t>
            </w:r>
          </w:p>
        </w:tc>
        <w:tc>
          <w:tcPr>
            <w:tcW w:type="dxa" w:w="3286"/>
            <w:shd w:fill="1F4E78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Definitivo</w:t>
            </w:r>
          </w:p>
        </w:tc>
      </w:tr>
      <w:tr>
        <w:tc>
          <w:tcPr>
            <w:tcW w:type="dxa" w:w="3286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  <w:t>Implantação do N0</w:t>
            </w:r>
          </w:p>
        </w:tc>
        <w:tc>
          <w:tcPr>
            <w:tcW w:type="dxa" w:w="3286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sz w:val="16"/>
              </w:rPr>
              <w:t>Entrega documental e testes</w:t>
            </w:r>
          </w:p>
        </w:tc>
        <w:tc>
          <w:tcPr>
            <w:tcW w:type="dxa" w:w="3286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sz w:val="16"/>
              </w:rPr>
              <w:t>Após correções e exercício inicial</w:t>
            </w:r>
          </w:p>
        </w:tc>
      </w:tr>
      <w:tr>
        <w:tc>
          <w:tcPr>
            <w:tcW w:type="dxa" w:w="3286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center"/>
            </w:pPr>
            <w:r>
              <w:rPr>
                <w:sz w:val="16"/>
              </w:rPr>
              <w:t>Cada missão</w:t>
            </w:r>
          </w:p>
        </w:tc>
        <w:tc>
          <w:tcPr>
            <w:tcW w:type="dxa" w:w="3286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sz w:val="16"/>
              </w:rPr>
              <w:t>TLO e medições</w:t>
            </w:r>
          </w:p>
        </w:tc>
        <w:tc>
          <w:tcPr>
            <w:tcW w:type="dxa" w:w="3286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sz w:val="16"/>
              </w:rPr>
              <w:t>Após desmobilização e AAR</w:t>
            </w:r>
          </w:p>
        </w:tc>
      </w:tr>
      <w:tr>
        <w:tc>
          <w:tcPr>
            <w:tcW w:type="dxa" w:w="3286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  <w:t>Contrato</w:t>
            </w:r>
          </w:p>
        </w:tc>
        <w:tc>
          <w:tcPr>
            <w:tcW w:type="dxa" w:w="3286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sz w:val="16"/>
              </w:rPr>
              <w:t>Encerramento das prestações</w:t>
            </w:r>
          </w:p>
        </w:tc>
        <w:tc>
          <w:tcPr>
            <w:tcW w:type="dxa" w:w="3286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sz w:val="16"/>
              </w:rPr>
              <w:t>Após obrigações remanescentes</w:t>
            </w:r>
          </w:p>
        </w:tc>
      </w:tr>
    </w:tbl>
    <w:p>
      <w:pPr>
        <w:spacing w:after="0"/>
      </w:pPr>
    </w:p>
    <w:p>
      <w:pPr>
        <w:pStyle w:val="Heading1"/>
      </w:pPr>
      <w:r>
        <w:t>27. Anexos integrantes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29"/>
        <w:gridCol w:w="4929"/>
      </w:tblGrid>
      <w:tr>
        <w:trPr>
          <w:tblHeader w:val="true"/>
        </w:trPr>
        <w:tc>
          <w:tcPr>
            <w:tcW w:type="dxa" w:w="4929"/>
            <w:shd w:fill="1F4E78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Anexo</w:t>
            </w:r>
          </w:p>
        </w:tc>
        <w:tc>
          <w:tcPr>
            <w:tcW w:type="dxa" w:w="4929"/>
            <w:shd w:fill="1F4E78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Conteúdo</w:t>
            </w:r>
          </w:p>
        </w:tc>
      </w:tr>
      <w:tr>
        <w:tc>
          <w:tcPr>
            <w:tcW w:type="dxa" w:w="4929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  <w:t>A</w:t>
            </w:r>
          </w:p>
        </w:tc>
        <w:tc>
          <w:tcPr>
            <w:tcW w:type="dxa" w:w="4929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sz w:val="16"/>
              </w:rPr>
              <w:t>Matriz de níveis N0 a N4</w:t>
            </w:r>
          </w:p>
        </w:tc>
      </w:tr>
      <w:tr>
        <w:tc>
          <w:tcPr>
            <w:tcW w:type="dxa" w:w="4929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center"/>
            </w:pPr>
            <w:r>
              <w:rPr>
                <w:sz w:val="16"/>
              </w:rPr>
              <w:t>B</w:t>
            </w:r>
          </w:p>
        </w:tc>
        <w:tc>
          <w:tcPr>
            <w:tcW w:type="dxa" w:w="4929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sz w:val="16"/>
              </w:rPr>
              <w:t>Catálogo de módulos, equipamentos e kits</w:t>
            </w:r>
          </w:p>
        </w:tc>
      </w:tr>
      <w:tr>
        <w:tc>
          <w:tcPr>
            <w:tcW w:type="dxa" w:w="4929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  <w:t>C</w:t>
            </w:r>
          </w:p>
        </w:tc>
        <w:tc>
          <w:tcPr>
            <w:tcW w:type="dxa" w:w="4929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sz w:val="16"/>
              </w:rPr>
              <w:t>Matriz de equipes e escalas</w:t>
            </w:r>
          </w:p>
        </w:tc>
      </w:tr>
      <w:tr>
        <w:tc>
          <w:tcPr>
            <w:tcW w:type="dxa" w:w="4929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center"/>
            </w:pPr>
            <w:r>
              <w:rPr>
                <w:sz w:val="16"/>
              </w:rPr>
              <w:t>D</w:t>
            </w:r>
          </w:p>
        </w:tc>
        <w:tc>
          <w:tcPr>
            <w:tcW w:type="dxa" w:w="4929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sz w:val="16"/>
              </w:rPr>
              <w:t>Planilha de preços e critérios de medição</w:t>
            </w:r>
          </w:p>
        </w:tc>
      </w:tr>
      <w:tr>
        <w:tc>
          <w:tcPr>
            <w:tcW w:type="dxa" w:w="4929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  <w:t>E</w:t>
            </w:r>
          </w:p>
        </w:tc>
        <w:tc>
          <w:tcPr>
            <w:tcW w:type="dxa" w:w="4929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sz w:val="16"/>
              </w:rPr>
              <w:t>SLA e glosas</w:t>
            </w:r>
          </w:p>
        </w:tc>
      </w:tr>
      <w:tr>
        <w:tc>
          <w:tcPr>
            <w:tcW w:type="dxa" w:w="4929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center"/>
            </w:pPr>
            <w:r>
              <w:rPr>
                <w:sz w:val="16"/>
              </w:rPr>
              <w:t>F</w:t>
            </w:r>
          </w:p>
        </w:tc>
        <w:tc>
          <w:tcPr>
            <w:tcW w:type="dxa" w:w="4929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sz w:val="16"/>
              </w:rPr>
              <w:t>Prova de conceito</w:t>
            </w:r>
          </w:p>
        </w:tc>
      </w:tr>
      <w:tr>
        <w:tc>
          <w:tcPr>
            <w:tcW w:type="dxa" w:w="4929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  <w:t>G</w:t>
            </w:r>
          </w:p>
        </w:tc>
        <w:tc>
          <w:tcPr>
            <w:tcW w:type="dxa" w:w="4929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sz w:val="16"/>
              </w:rPr>
              <w:t>Matriz de riscos</w:t>
            </w:r>
          </w:p>
        </w:tc>
      </w:tr>
      <w:tr>
        <w:tc>
          <w:tcPr>
            <w:tcW w:type="dxa" w:w="4929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center"/>
            </w:pPr>
            <w:r>
              <w:rPr>
                <w:sz w:val="16"/>
              </w:rPr>
              <w:t>H</w:t>
            </w:r>
          </w:p>
        </w:tc>
        <w:tc>
          <w:tcPr>
            <w:tcW w:type="dxa" w:w="4929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sz w:val="16"/>
              </w:rPr>
              <w:t>Protocolos e formulários operacionais</w:t>
            </w:r>
          </w:p>
        </w:tc>
      </w:tr>
      <w:tr>
        <w:tc>
          <w:tcPr>
            <w:tcW w:type="dxa" w:w="4929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  <w:t>I</w:t>
            </w:r>
          </w:p>
        </w:tc>
        <w:tc>
          <w:tcPr>
            <w:tcW w:type="dxa" w:w="4929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sz w:val="16"/>
              </w:rPr>
              <w:t>Matriz de dados estaduais e dimensionamento</w:t>
            </w:r>
          </w:p>
        </w:tc>
      </w:tr>
    </w:tbl>
    <w:p>
      <w:pPr>
        <w:spacing w:after="0"/>
      </w:pPr>
    </w:p>
    <w:p>
      <w:pPr>
        <w:pStyle w:val="Heading1"/>
      </w:pPr>
      <w:r>
        <w:t>Referências normativas e técnicas</w:t>
      </w:r>
    </w:p>
    <w:p>
      <w:pPr>
        <w:pStyle w:val="ListBullet"/>
        <w:ind w:left="340" w:hanging="142"/>
      </w:pPr>
      <w:r>
        <w:t>Brasil. Lei nº 14.133, de 1º de abril de 2021. Lei de Licitações e Contratos Administrativos. https://www.planalto.gov.br/ccivil_03/_ato2019-2022/2021/lei/l14133.htm</w:t>
      </w:r>
    </w:p>
    <w:p>
      <w:pPr>
        <w:pStyle w:val="ListBullet"/>
        <w:ind w:left="340" w:hanging="142"/>
      </w:pPr>
      <w:r>
        <w:t>Mato Grosso. Decreto Estadual nº 1.525, de 23 de novembro de 2022. Regulamentação estadual da Lei nº 14.133/2021. https://aquisicoes.seplag.mt.gov.br/home/images/files/DecretoEstadual118022025155448.525</w:t>
      </w:r>
    </w:p>
    <w:p>
      <w:pPr>
        <w:pStyle w:val="ListBullet"/>
        <w:ind w:left="340" w:hanging="142"/>
      </w:pPr>
      <w:r>
        <w:t>Ministério da Saúde. Consulta Pública 2026 para Hospital de Campanha Modular e requisitos EMT Tipo 2. https://www.gov.br/saude/pt-br/acesso-a-informacao/participacao-social/consultas-publicas/2026/coleta-de-informacoes-para-formacao-de-precos-visando-atender-aos-requisitos-tecnicos-e-operacionais-aplicaveis-as-emt</w:t>
      </w:r>
    </w:p>
    <w:p>
      <w:pPr>
        <w:pStyle w:val="ListBullet"/>
        <w:ind w:left="340" w:hanging="142"/>
      </w:pPr>
      <w:r>
        <w:t>World Health Organization. Classification and minimum standards for emergency medical teams. Second edition. https://www.who.int/publications/i/item/9789240029330</w:t>
      </w:r>
    </w:p>
    <w:p>
      <w:pPr>
        <w:pStyle w:val="ListBullet"/>
        <w:ind w:left="340" w:hanging="142"/>
      </w:pPr>
      <w:r>
        <w:t>ANVISA. RDC nº 50/2002, RDC nº 63/2011 e RDC nº 222/2018, em suas versões vigentes.</w:t>
      </w:r>
    </w:p>
    <w:p>
      <w:pPr>
        <w:pStyle w:val="ListBullet"/>
        <w:ind w:left="340" w:hanging="142"/>
      </w:pPr>
      <w:r>
        <w:t>Ministério do Trabalho e Emprego. NR 32, Segurança e Saúde no Trabalho em Serviços de Saúde, em sua versão vigente.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34" w:right="1134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" w:hAnsi="Arial"/>
        <w:color w:val="666666"/>
        <w:sz w:val="16"/>
      </w:rPr>
      <w:t xml:space="preserve">Versão 1.0   17 09 2026   </w:t>
    </w:r>
    <w:r>
      <w:rPr>
        <w:sz w:val="16"/>
      </w:rPr>
      <w:t xml:space="preserve">Página </w:t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/>
        <w:b/>
        <w:color w:val="666666"/>
        <w:sz w:val="16"/>
      </w:rPr>
      <w:t>SES MT   UHMR   TERMO DE REFERÊNCIA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9" w:lineRule="auto"/>
      <w:jc w:val="both"/>
    </w:pPr>
    <w:rPr>
      <w:rFonts w:ascii="Arial" w:hAnsi="Arial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00" w:after="140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20" w:after="100"/>
      <w:outlineLvl w:val="1"/>
    </w:pPr>
    <w:rPr>
      <w:rFonts w:asciiTheme="majorHAnsi" w:eastAsiaTheme="majorEastAsia" w:hAnsiTheme="majorHAnsi" w:cstheme="majorBidi" w:ascii="Arial" w:hAnsi="Arial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Arial" w:hAnsi="Arial"/>
      <w:b/>
      <w:bCs/>
      <w:color w:val="000000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00" w:line="240" w:lineRule="auto" w:before="0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240"/>
    </w:pPr>
    <w:rPr>
      <w:rFonts w:asciiTheme="majorHAnsi" w:eastAsiaTheme="majorEastAsia" w:hAnsiTheme="majorHAnsi" w:cstheme="majorBidi" w:ascii="Arial" w:hAnsi="Arial"/>
      <w:b w:val="0"/>
      <w:i/>
      <w:iCs/>
      <w:color w:val="000000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mallNote">
    <w:name w:val="Small Note"/>
    <w:pPr>
      <w:spacing w:after="80"/>
    </w:pPr>
    <w:rPr>
      <w:rFonts w:ascii="Arial" w:hAnsi="Arial"/>
      <w:color w:val="666666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Termo de Referência UHMR</dc:title>
  <dc:subject>Requisitos e modelo de execução da Unidade Hospitalar Modular</dc:subject>
  <dc:creator>Secretaria de Estado de Saúde de Mato Grosso</dc:creator>
  <cp:keywords>UHMR, emergência, hospital modular, SES MT, contratação pública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