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  <w:jc w:val="center"/>
      </w:pPr>
      <w:r>
        <w:rPr>
          <w:rFonts w:ascii="Arial" w:hAnsi="Arial"/>
          <w:b/>
          <w:color w:val="17365D"/>
          <w:sz w:val="24"/>
        </w:rPr>
        <w:t>GOVERNO DO ESTADO DE MATO GROSSO</w:t>
      </w:r>
    </w:p>
    <w:p>
      <w:pPr>
        <w:jc w:val="center"/>
      </w:pPr>
      <w:r>
        <w:rPr>
          <w:rFonts w:ascii="Arial" w:hAnsi="Arial"/>
          <w:b/>
          <w:color w:val="1F4E78"/>
          <w:sz w:val="22"/>
        </w:rPr>
        <w:t>SECRETARIA DE ESTADO DE SAÚDE</w:t>
      </w:r>
    </w:p>
    <w:p>
      <w:pPr>
        <w:spacing w:before="760"/>
        <w:jc w:val="center"/>
      </w:pPr>
      <w:r>
        <w:rPr>
          <w:rFonts w:ascii="Arial" w:hAnsi="Arial"/>
          <w:b/>
          <w:color w:val="17365D"/>
          <w:sz w:val="44"/>
        </w:rPr>
        <w:t>MINUTA DE EDITAL</w:t>
      </w:r>
    </w:p>
    <w:p>
      <w:pPr>
        <w:jc w:val="center"/>
      </w:pPr>
      <w:r>
        <w:rPr>
          <w:rFonts w:ascii="Arial" w:hAnsi="Arial"/>
          <w:b/>
          <w:color w:val="2F75B5"/>
          <w:sz w:val="30"/>
        </w:rPr>
        <w:t>Unidade Hospitalar Modular de Resposta a Emergências — UHMR</w:t>
      </w:r>
    </w:p>
    <w:p>
      <w:pPr>
        <w:jc w:val="center"/>
      </w:pPr>
      <w:r>
        <w:rPr>
          <w:rFonts w:ascii="Arial" w:hAnsi="Arial"/>
          <w:i/>
          <w:color w:val="666666"/>
          <w:sz w:val="20"/>
        </w:rPr>
        <w:t>Versão técnica revisada e compatibilizada com o ETP consolidado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EB9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9C6500"/>
                <w:sz w:val="20"/>
              </w:rPr>
              <w:t>MINUTA TÉCNICA PRELIMINAR — NÃO PUBLICAR</w:t>
            </w:r>
          </w:p>
          <w:p>
            <w:pPr>
              <w:jc w:val="center"/>
            </w:pPr>
            <w:r>
              <w:rPr>
                <w:sz w:val="17"/>
              </w:rPr>
              <w:t>Sujeita à definição motivada da modalidade, do critério de julgamento, do parcelamento, do orçamento e dos parâmetros de habilitação, bem como à validação da área de aquisições e da PGE-MT.</w:t>
            </w:r>
          </w:p>
        </w:tc>
      </w:tr>
    </w:tbl>
    <w:p>
      <w:pPr>
        <w:spacing w:before="920"/>
        <w:jc w:val="center"/>
      </w:pPr>
      <w:r>
        <w:rPr>
          <w:rFonts w:ascii="Arial" w:hAnsi="Arial"/>
          <w:color w:val="666666"/>
          <w:sz w:val="20"/>
        </w:rPr>
        <w:t>Cuiabá — MT</w:t>
        <w:br/>
        <w:t>17 de setembro de 2026</w:t>
      </w:r>
    </w:p>
    <w:p>
      <w:r>
        <w:br w:type="page"/>
      </w:r>
    </w:p>
    <w:p>
      <w:pPr>
        <w:pStyle w:val="Heading1"/>
      </w:pPr>
      <w:r>
        <w:t>Controle do documento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49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Informação</w:t>
            </w:r>
          </w:p>
        </w:tc>
      </w:tr>
      <w:tr>
        <w:tc>
          <w:tcPr>
            <w:tcW w:type="dxa" w:w="226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Documento</w:t>
            </w:r>
          </w:p>
        </w:tc>
        <w:tc>
          <w:tcPr>
            <w:tcW w:type="dxa" w:w="708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Minuta de edital — contratação da UHMR/SES-MT</w:t>
            </w:r>
          </w:p>
        </w:tc>
      </w:tr>
      <w:tr>
        <w:tc>
          <w:tcPr>
            <w:tcW w:type="dxa" w:w="2268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Versão</w:t>
            </w:r>
          </w:p>
        </w:tc>
        <w:tc>
          <w:tcPr>
            <w:tcW w:type="dxa" w:w="7087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0.2 — revisão técnico-jurídica preliminar</w:t>
            </w:r>
          </w:p>
        </w:tc>
      </w:tr>
      <w:tr>
        <w:tc>
          <w:tcPr>
            <w:tcW w:type="dxa" w:w="226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Documento de origem</w:t>
            </w:r>
          </w:p>
        </w:tc>
        <w:tc>
          <w:tcPr>
            <w:tcW w:type="dxa" w:w="708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Minuta recebida em 17/09/2026</w:t>
            </w:r>
          </w:p>
        </w:tc>
      </w:tr>
      <w:tr>
        <w:tc>
          <w:tcPr>
            <w:tcW w:type="dxa" w:w="2268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Referência técnica</w:t>
            </w:r>
          </w:p>
        </w:tc>
        <w:tc>
          <w:tcPr>
            <w:tcW w:type="dxa" w:w="7087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ETP consolidado da UHMR constante dos autos</w:t>
            </w:r>
          </w:p>
        </w:tc>
      </w:tr>
      <w:tr>
        <w:tc>
          <w:tcPr>
            <w:tcW w:type="dxa" w:w="226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Situação</w:t>
            </w:r>
          </w:p>
        </w:tc>
        <w:tc>
          <w:tcPr>
            <w:tcW w:type="dxa" w:w="708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instrução; não apto à publicação</w:t>
            </w:r>
          </w:p>
        </w:tc>
      </w:tr>
      <w:tr>
        <w:tc>
          <w:tcPr>
            <w:tcW w:type="dxa" w:w="2268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Aprovações necessárias</w:t>
            </w:r>
          </w:p>
        </w:tc>
        <w:tc>
          <w:tcPr>
            <w:tcW w:type="dxa" w:w="7087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Área demandante; planejamento; orçamento; licitações; controle interno; PGE-MT; autoridade competente</w:t>
            </w:r>
          </w:p>
        </w:tc>
      </w:tr>
    </w:tbl>
    <w:p>
      <w:pPr>
        <w:spacing w:after="0"/>
      </w:pPr>
    </w:p>
    <w:p>
      <w:pPr>
        <w:pStyle w:val="Heading1"/>
      </w:pPr>
      <w:r>
        <w:t>Nota de compatibilização</w:t>
      </w:r>
    </w:p>
    <w:p>
      <w:r>
        <w:t>Esta revisão transforma a minuta recebida em uma base coerente com o Estudo Técnico Preliminar consolidado. Foram harmonizados o objeto, os níveis N0 a N4, os relógios de mobilização, o modelo econômico, a prova de conceito, a medição por desempenho e a matriz de riscos. Não foram preenchidos valores, percentuais ou decisões que dependem de pesquisa de mercado, orçamento estimado, classificação do objeto ou manifestação jurídica.</w:t>
      </w:r>
    </w:p>
    <w:p>
      <w:pPr>
        <w:pStyle w:val="LegalAlert"/>
      </w:pPr>
      <w:r>
        <w:t>A minuta deverá ser transposta para o modelo padronizado vigente da PGE-MT/SEPLAG-MT antes da publicação. Em caso de divergência, prevalecerão a legislação aplicável, o modelo oficial vigente e as decisões motivadas constantes do processo.</w:t>
      </w:r>
    </w:p>
    <w:p>
      <w:pPr>
        <w:pStyle w:val="Heading1"/>
      </w:pPr>
      <w:r>
        <w:t>Quadro de deliberações pendentes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Tema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Tratamento nesta versão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Condição para fechamento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Modalidade e critério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FEB9C"/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 — não fixados nesta versão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Classificação do objeto e motivação no ETP; se técnica e preço, demonstrar variação relevante de qualidade e critérios objetivos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Parcelamento</w:t>
            </w:r>
          </w:p>
        </w:tc>
        <w:tc>
          <w:tcPr>
            <w:tcW w:type="dxa" w:w="3286"/>
            <w:shd w:fill="FFEB9C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 — lote integrado é a hipótese técnica de referência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Consulta ao mercado, análise de competitividade e riscos de interface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Regime de execução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FEB9C"/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Compatibilidade com a natureza mista: prontidão, acionamento, locação/fornecimento e serviços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Prazo contratual</w:t>
            </w:r>
          </w:p>
        </w:tc>
        <w:tc>
          <w:tcPr>
            <w:tcW w:type="dxa" w:w="3286"/>
            <w:shd w:fill="FFEB9C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Definição conforme natureza continuada, vantajosidade plurianual e disponibilidade orçamentária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Orçamento e preços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FEB9C"/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Pesquisa de preços por componentes A–J e memória de cálculo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Habilitação técnica</w:t>
            </w:r>
          </w:p>
        </w:tc>
        <w:tc>
          <w:tcPr>
            <w:tcW w:type="dxa" w:w="3286"/>
            <w:shd w:fill="FFEB9C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CONDICIONADA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Definição das parcelas de maior relevância e quantitativos, sem restrição indevida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Qualificação econômico-financeira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FEB9C"/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CONDICIONADA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Índices usuais, patrimônio líquido e garantia de proposta, todos motivados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Equipe assistencial</w:t>
            </w:r>
          </w:p>
        </w:tc>
        <w:tc>
          <w:tcPr>
            <w:tcW w:type="dxa" w:w="3286"/>
            <w:shd w:fill="FFEB9C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Definir se integra o objeto-base, módulo acionável ou contratação distinta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Base logística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FEB9C"/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CONDICIONADA A DESEMPENHO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Fixar SLA e prazo para implantação da base; exigir local específico apenas com justificativa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Dados estaduais</w:t>
            </w:r>
          </w:p>
        </w:tc>
        <w:tc>
          <w:tcPr>
            <w:tcW w:type="dxa" w:w="3286"/>
            <w:shd w:fill="FFEB9C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9C6500"/>
                <w:sz w:val="16"/>
              </w:rPr>
              <w:t>PENDENTE DE CONSOLIDAÇÃO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Inserir séries internas de emergências, rede, deslocamentos, acessos, acionamentos e capacidade residual</w:t>
            </w:r>
          </w:p>
        </w:tc>
      </w:tr>
    </w:tbl>
    <w:p>
      <w:pPr>
        <w:spacing w:after="0"/>
      </w:pPr>
    </w:p>
    <w:p>
      <w:pPr>
        <w:pStyle w:val="Heading1"/>
      </w:pPr>
      <w:r>
        <w:t>1. Preâmbulo</w:t>
      </w:r>
    </w:p>
    <w:p>
      <w:r>
        <w:t>O ESTADO DE MATO GROSSO, por intermédio da SECRETARIA DE ESTADO DE SAÚDE — SES-MT, torna público que realizará procedimento licitatório para contratação da solução descrita neste Edital e em seus anexos, na modalidade, forma, critério de julgamento e regime de execução definidos após a conclusão da instrução processual e aprovação jurídica.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49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Preenchimento antes da publicação</w:t>
            </w:r>
          </w:p>
        </w:tc>
      </w:tr>
      <w:tr>
        <w:tc>
          <w:tcPr>
            <w:tcW w:type="dxa" w:w="28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Processo administrativo</w:t>
            </w:r>
          </w:p>
        </w:tc>
        <w:tc>
          <w:tcPr>
            <w:tcW w:type="dxa" w:w="6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DEFINIR]</w:t>
            </w:r>
          </w:p>
        </w:tc>
      </w:tr>
      <w:tr>
        <w:tc>
          <w:tcPr>
            <w:tcW w:type="dxa" w:w="2835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Modalidade e forma</w:t>
            </w:r>
          </w:p>
        </w:tc>
        <w:tc>
          <w:tcPr>
            <w:tcW w:type="dxa" w:w="6520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 MEDIANTE NOTA DE CLASSIFICAÇÃO DO OBJETO]</w:t>
            </w:r>
          </w:p>
        </w:tc>
      </w:tr>
      <w:tr>
        <w:tc>
          <w:tcPr>
            <w:tcW w:type="dxa" w:w="28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Critério de julgamento</w:t>
            </w:r>
          </w:p>
        </w:tc>
        <w:tc>
          <w:tcPr>
            <w:tcW w:type="dxa" w:w="6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 E MOTIVAR]</w:t>
            </w:r>
          </w:p>
        </w:tc>
      </w:tr>
      <w:tr>
        <w:tc>
          <w:tcPr>
            <w:tcW w:type="dxa" w:w="2835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Modo de disputa</w:t>
            </w:r>
          </w:p>
        </w:tc>
        <w:tc>
          <w:tcPr>
            <w:tcW w:type="dxa" w:w="6520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DEFINIR]</w:t>
            </w:r>
          </w:p>
        </w:tc>
      </w:tr>
      <w:tr>
        <w:tc>
          <w:tcPr>
            <w:tcW w:type="dxa" w:w="28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Regime de execução</w:t>
            </w:r>
          </w:p>
        </w:tc>
        <w:tc>
          <w:tcPr>
            <w:tcW w:type="dxa" w:w="6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DEFINIR]</w:t>
            </w:r>
          </w:p>
        </w:tc>
      </w:tr>
      <w:tr>
        <w:tc>
          <w:tcPr>
            <w:tcW w:type="dxa" w:w="2835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e horário da sessão</w:t>
            </w:r>
          </w:p>
        </w:tc>
        <w:tc>
          <w:tcPr>
            <w:tcW w:type="dxa" w:w="6520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DEFINIR]</w:t>
            </w:r>
          </w:p>
        </w:tc>
      </w:tr>
      <w:tr>
        <w:tc>
          <w:tcPr>
            <w:tcW w:type="dxa" w:w="28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Plataforma eletrônica</w:t>
            </w:r>
          </w:p>
        </w:tc>
        <w:tc>
          <w:tcPr>
            <w:tcW w:type="dxa" w:w="6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DEFINIR]</w:t>
            </w:r>
          </w:p>
        </w:tc>
      </w:tr>
      <w:tr>
        <w:tc>
          <w:tcPr>
            <w:tcW w:type="dxa" w:w="2835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Valor estimado e sigilo</w:t>
            </w:r>
          </w:p>
        </w:tc>
        <w:tc>
          <w:tcPr>
            <w:tcW w:type="dxa" w:w="6520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[A DEFINIR NOS TERMOS DA DECISÃO PROCESSUAL]</w:t>
            </w:r>
          </w:p>
        </w:tc>
      </w:tr>
    </w:tbl>
    <w:p>
      <w:pPr>
        <w:spacing w:after="0"/>
      </w:pPr>
    </w:p>
    <w:p>
      <w:pPr>
        <w:pStyle w:val="Heading2"/>
      </w:pPr>
      <w:r>
        <w:t>1.1 Base normativa</w:t>
      </w:r>
    </w:p>
    <w:p>
      <w:r>
        <w:t>Aplicam-se, no que couber e em suas versões vigentes, a Lei Federal nº 14.133/2021, a Lei nº 8.080/1990, a Lei nº 12.608/2012, a Lei nº 13.709/2018, a Lei Complementar nº 123/2006, o Decreto Estadual nº 1.525/2022, as normas estaduais correlatas, as normas sanitárias e profissionais aplicáveis e os documentos técnicos integrantes dos autos.</w:t>
      </w:r>
    </w:p>
    <w:p>
      <w:pPr>
        <w:pStyle w:val="LegalAlert"/>
      </w:pPr>
      <w:r>
        <w:t>Normas técnicas e atos administrativos somente deverão ser nominados no texto final após conferência de vigência, aplicabilidade e conteúdo pela unidade competente. Referências não verificadas deverão ser excluídas ou juntadas integralmente aos autos.</w:t>
      </w:r>
    </w:p>
    <w:p>
      <w:pPr>
        <w:pStyle w:val="Heading2"/>
      </w:pPr>
      <w:r>
        <w:t>1.2 Documentos integrantes e ordem de prevalência</w:t>
      </w:r>
    </w:p>
    <w:p>
      <w:r>
        <w:t>Integram o certame o Edital, o Termo de Referência, o ETP, a minuta contratual e os demais anexos. A versão final deverá estabelecer ordem de prevalência entre documentos e procedimento objetivo para sanar divergências, sem permitir alteração material do objeto após a publicação.</w:t>
      </w:r>
    </w:p>
    <w:p>
      <w:pPr>
        <w:pStyle w:val="Heading1"/>
      </w:pPr>
      <w:r>
        <w:t>2. Objeto</w:t>
      </w:r>
    </w:p>
    <w:p>
      <w:r>
        <w:t>Contratação de solução integrada, modular, escalável e mobilizável para prontidão, transporte, implantação, operação técnica, manutenção e desmobilização de Unidade Hospitalar Modular de Resposta a Emergências — UHMR, incluindo infraestrutura física temporária, equipamentos médico-hospitalares, mobiliário, energia, climatização, gases medicinais, água e saneamento, telecomunicações, tecnologia da informação, conectividade satelital, logística e apoio operacional e, quando expressamente acionadas, equipes e insumos, destinada a emergências em saúde pública, desastres, incidentes com múltiplas vítimas, interrupção de serviços hospitalares e desassistência territorial.</w:t>
      </w:r>
    </w:p>
    <w:p>
      <w:r>
        <w:t>O objeto será medido por disponibilidade, capacidade entregue e desempenho. A descrição definitiva dos módulos, quantitativos, interfaces, exclusões e responsabilidades constará do Termo de Referência e de suas matrizes.</w:t>
      </w:r>
    </w:p>
    <w:p>
      <w:pPr>
        <w:pStyle w:val="Heading2"/>
      </w:pPr>
      <w:r>
        <w:t>2.1 Escopo do ciclo de vida</w:t>
      </w:r>
    </w:p>
    <w:p>
      <w:pPr>
        <w:pStyle w:val="ListBullet"/>
        <w:ind w:left="312" w:hanging="142"/>
      </w:pPr>
      <w:r>
        <w:t>prontidão, armazenagem, inventário, manutenção, calibração e testes periódicos;</w:t>
      </w:r>
    </w:p>
    <w:p>
      <w:pPr>
        <w:pStyle w:val="ListBullet"/>
        <w:ind w:left="312" w:hanging="142"/>
      </w:pPr>
      <w:r>
        <w:t>reconhecimento do sítio, planejamento de missão e mobilização;</w:t>
      </w:r>
    </w:p>
    <w:p>
      <w:pPr>
        <w:pStyle w:val="ListBullet"/>
        <w:ind w:left="312" w:hanging="142"/>
      </w:pPr>
      <w:r>
        <w:t>transporte, descarga, implantação, ancoragem, montagem e comissionamento;</w:t>
      </w:r>
    </w:p>
    <w:p>
      <w:pPr>
        <w:pStyle w:val="ListBullet"/>
        <w:ind w:left="312" w:hanging="142"/>
      </w:pPr>
      <w:r>
        <w:t>sustentação das utilidades críticas, telecomunicações, TI e apoio logístico;</w:t>
      </w:r>
    </w:p>
    <w:p>
      <w:pPr>
        <w:pStyle w:val="ListBullet"/>
        <w:ind w:left="312" w:hanging="142"/>
      </w:pPr>
      <w:r>
        <w:t>manutenção preventiva e corretiva, reposição e continuidade operacional;</w:t>
      </w:r>
    </w:p>
    <w:p>
      <w:pPr>
        <w:pStyle w:val="ListBullet"/>
        <w:ind w:left="312" w:hanging="142"/>
      </w:pPr>
      <w:r>
        <w:t>expansão ou retração modular conforme ordem da SES-MT;</w:t>
      </w:r>
    </w:p>
    <w:p>
      <w:pPr>
        <w:pStyle w:val="ListBullet"/>
        <w:ind w:left="312" w:hanging="142"/>
      </w:pPr>
      <w:r>
        <w:t>desmobilização, descontaminação, transporte de retorno, recomposição do estoque e relatório pós-ação.</w:t>
      </w:r>
    </w:p>
    <w:p>
      <w:pPr>
        <w:pStyle w:val="Heading2"/>
      </w:pPr>
      <w:r>
        <w:t>2.2 Níveis de ativação compatibilizados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Nível</w:t>
            </w:r>
          </w:p>
        </w:tc>
        <w:tc>
          <w:tcPr>
            <w:tcW w:type="dxa" w:w="246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Cenário e capacidade indicativa</w:t>
            </w:r>
          </w:p>
        </w:tc>
        <w:tc>
          <w:tcPr>
            <w:tcW w:type="dxa" w:w="246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Componentes mínimos</w:t>
            </w:r>
          </w:p>
        </w:tc>
        <w:tc>
          <w:tcPr>
            <w:tcW w:type="dxa" w:w="246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Meta de implantação*</w:t>
            </w:r>
          </w:p>
        </w:tc>
      </w:tr>
      <w:tr>
        <w:tc>
          <w:tcPr>
            <w:tcW w:type="dxa" w:w="1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N0 — Prontidão</w:t>
            </w:r>
          </w:p>
        </w:tc>
        <w:tc>
          <w:tcPr>
            <w:tcW w:type="dxa" w:w="317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Sem emergência ativa; capacidade contratada disponível conforme índice de prontidão</w:t>
            </w:r>
          </w:p>
        </w:tc>
        <w:tc>
          <w:tcPr>
            <w:tcW w:type="dxa" w:w="32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Armazenagem, inventário, manutenção, testes, treinamento, simulação e reposição</w:t>
            </w:r>
          </w:p>
        </w:tc>
        <w:tc>
          <w:tcPr>
            <w:tcW w:type="dxa" w:w="136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Permanente</w:t>
            </w:r>
          </w:p>
        </w:tc>
      </w:tr>
      <w:tr>
        <w:tc>
          <w:tcPr>
            <w:tcW w:type="dxa" w:w="1304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N1 — Resposta rápida</w:t>
            </w:r>
          </w:p>
        </w:tc>
        <w:tc>
          <w:tcPr>
            <w:tcW w:type="dxa" w:w="3175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Evento localizado; 2–4 posições críticas e 6–12 de observação</w:t>
            </w:r>
          </w:p>
        </w:tc>
        <w:tc>
          <w:tcPr>
            <w:tcW w:type="dxa" w:w="3288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Comando, triagem, estabilização, consultas, farmácia, POC e apoio</w:t>
            </w:r>
          </w:p>
        </w:tc>
        <w:tc>
          <w:tcPr>
            <w:tcW w:type="dxa" w:w="1361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6–12 h</w:t>
            </w:r>
          </w:p>
        </w:tc>
      </w:tr>
      <w:tr>
        <w:tc>
          <w:tcPr>
            <w:tcW w:type="dxa" w:w="1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N2 — Assistência ampliada</w:t>
            </w:r>
          </w:p>
        </w:tc>
        <w:tc>
          <w:tcPr>
            <w:tcW w:type="dxa" w:w="317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Sobrecarga local/regional; 12–20 leitos e 4 posições críticas</w:t>
            </w:r>
          </w:p>
        </w:tc>
        <w:tc>
          <w:tcPr>
            <w:tcW w:type="dxa" w:w="32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N1 + internação, laboratório e imagem básica; isolamento acionável</w:t>
            </w:r>
          </w:p>
        </w:tc>
        <w:tc>
          <w:tcPr>
            <w:tcW w:type="dxa" w:w="136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Até 18 h</w:t>
            </w:r>
          </w:p>
        </w:tc>
      </w:tr>
      <w:tr>
        <w:tc>
          <w:tcPr>
            <w:tcW w:type="dxa" w:w="1304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N3 — Hospital modular</w:t>
            </w:r>
          </w:p>
        </w:tc>
        <w:tc>
          <w:tcPr>
            <w:tcW w:type="dxa" w:w="3175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Desastre regional ou hospital comprometido; 18–30 leitos, 4 posições críticas e 1 sala cirúrgica</w:t>
            </w:r>
          </w:p>
        </w:tc>
        <w:tc>
          <w:tcPr>
            <w:tcW w:type="dxa" w:w="3288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Estrutura funcional de referência EMT Tipo 2, CME, imagem, POC e WASH</w:t>
            </w:r>
          </w:p>
        </w:tc>
        <w:tc>
          <w:tcPr>
            <w:tcW w:type="dxa" w:w="1361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Até 24 h</w:t>
            </w:r>
          </w:p>
        </w:tc>
      </w:tr>
      <w:tr>
        <w:tc>
          <w:tcPr>
            <w:tcW w:type="dxa" w:w="1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N4 — Expansão</w:t>
            </w:r>
          </w:p>
        </w:tc>
        <w:tc>
          <w:tcPr>
            <w:tcW w:type="dxa" w:w="317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Catástrofe ou substituição prolongada; total de 40–100 leitos, conforme configuração</w:t>
            </w:r>
          </w:p>
        </w:tc>
        <w:tc>
          <w:tcPr>
            <w:tcW w:type="dxa" w:w="32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N3 + leitos, segunda sala cirúrgica, cuidados intensivos e especialidades, quando acionados</w:t>
            </w:r>
          </w:p>
        </w:tc>
        <w:tc>
          <w:tcPr>
            <w:tcW w:type="dxa" w:w="136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36–48 h</w:t>
            </w:r>
          </w:p>
        </w:tc>
      </w:tr>
    </w:tbl>
    <w:p>
      <w:pPr>
        <w:spacing w:after="0"/>
      </w:pPr>
    </w:p>
    <w:p>
      <w:r>
        <w:rPr>
          <w:color w:val="666666"/>
        </w:rPr>
        <w:t>* A contagem deverá separar confirmação, planejamento, deslocamento, montagem e comissionamento. A meta de implantação será medida após a chegada da carga ao sítio formalmente liberado, ressalvados os eventos alocados à Administração na matriz de riscos.</w:t>
      </w:r>
    </w:p>
    <w:p>
      <w:pPr>
        <w:pStyle w:val="Heading2"/>
      </w:pPr>
      <w:r>
        <w:t>2.3 Requisitos funcionais estruturantes</w:t>
      </w:r>
    </w:p>
    <w:p>
      <w:pPr>
        <w:pStyle w:val="ListBullet"/>
        <w:ind w:left="312" w:hanging="142"/>
      </w:pPr>
      <w:r>
        <w:t>arquitetura modular que permita expansão e retração sem interrupção indevida da assistência;</w:t>
      </w:r>
    </w:p>
    <w:p>
      <w:pPr>
        <w:pStyle w:val="ListBullet"/>
        <w:ind w:left="312" w:hanging="142"/>
      </w:pPr>
      <w:r>
        <w:t>energia com redundância N+1 para cargas críticas, UPS para equipamentos vitais e plano de combustível;</w:t>
      </w:r>
    </w:p>
    <w:p>
      <w:pPr>
        <w:pStyle w:val="ListBullet"/>
        <w:ind w:left="312" w:hanging="142"/>
      </w:pPr>
      <w:r>
        <w:t>climatização dimensionada por ambiente; pressão negativa apenas nos módulos e cenários em que for exigida;</w:t>
      </w:r>
    </w:p>
    <w:p>
      <w:pPr>
        <w:pStyle w:val="ListBullet"/>
        <w:ind w:left="312" w:hanging="142"/>
      </w:pPr>
      <w:r>
        <w:t>gases medicinais dimensionados para a carga máxima ativada, com fonte e reserva;</w:t>
      </w:r>
    </w:p>
    <w:p>
      <w:pPr>
        <w:pStyle w:val="ListBullet"/>
        <w:ind w:left="312" w:hanging="142"/>
      </w:pPr>
      <w:r>
        <w:t>WASH com água segura, lavatórios, sanitários, efluentes e controle de qualidade;</w:t>
      </w:r>
    </w:p>
    <w:p>
      <w:pPr>
        <w:pStyle w:val="ListBullet"/>
        <w:ind w:left="312" w:hanging="142"/>
      </w:pPr>
      <w:r>
        <w:t>comunicações em camadas: satélite, rede móvel de mais de uma operadora quando disponível e rádio compatível com a governança local;</w:t>
      </w:r>
    </w:p>
    <w:p>
      <w:pPr>
        <w:pStyle w:val="ListBullet"/>
        <w:ind w:left="312" w:hanging="142"/>
      </w:pPr>
      <w:r>
        <w:t>rede clínica segregada, segurança cibernética, registros, disponibilidade e proteção de dados;</w:t>
      </w:r>
    </w:p>
    <w:p>
      <w:pPr>
        <w:pStyle w:val="ListBullet"/>
        <w:ind w:left="312" w:hanging="142"/>
      </w:pPr>
      <w:r>
        <w:t>metrologia com rastreabilidade adequada; acreditação RBC quando aplicável ao serviço e à grandeza;</w:t>
      </w:r>
    </w:p>
    <w:p>
      <w:pPr>
        <w:pStyle w:val="ListBullet"/>
        <w:ind w:left="312" w:hanging="142"/>
      </w:pPr>
      <w:r>
        <w:t>equipamentos críticos com contingência e manutenção durante a missão;</w:t>
      </w:r>
    </w:p>
    <w:p>
      <w:pPr>
        <w:pStyle w:val="ListBullet"/>
        <w:ind w:left="312" w:hanging="142"/>
      </w:pPr>
      <w:r>
        <w:t>acessibilidade, segurança contra incêndio, fluxos assistenciais e controle de infecção.</w:t>
      </w:r>
    </w:p>
    <w:p>
      <w:pPr>
        <w:pStyle w:val="Heading2"/>
      </w:pPr>
      <w:r>
        <w:t>2.4 Exclusões e interfaces a definir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Tema</w:t>
            </w:r>
          </w:p>
        </w:tc>
        <w:tc>
          <w:tcPr>
            <w:tcW w:type="dxa" w:w="49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Definição obrigatória no TR</w:t>
            </w:r>
          </w:p>
        </w:tc>
      </w:tr>
      <w:tr>
        <w:tc>
          <w:tcPr>
            <w:tcW w:type="dxa" w:w="4929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Assistência clínica</w:t>
            </w:r>
          </w:p>
        </w:tc>
        <w:tc>
          <w:tcPr>
            <w:tcW w:type="dxa" w:w="4929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 haverá equipes completas, apenas núcleo técnico ou acionamento opcional; dimensionamento por turno e responsabilidade sanitária</w:t>
            </w:r>
          </w:p>
        </w:tc>
      </w:tr>
      <w:tr>
        <w:tc>
          <w:tcPr>
            <w:tcW w:type="dxa" w:w="4929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Medicamentos e insumos</w:t>
            </w:r>
          </w:p>
        </w:tc>
        <w:tc>
          <w:tcPr>
            <w:tcW w:type="dxa" w:w="4929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Kits por nível e período, política de fornecimento, rastreabilidade, validade e reposição</w:t>
            </w:r>
          </w:p>
        </w:tc>
      </w:tr>
      <w:tr>
        <w:tc>
          <w:tcPr>
            <w:tcW w:type="dxa" w:w="4929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Regulação e prontuário</w:t>
            </w:r>
          </w:p>
        </w:tc>
        <w:tc>
          <w:tcPr>
            <w:tcW w:type="dxa" w:w="4929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Sistema utilizado, integração, perfis de acesso, contingência offline e guarda de dados</w:t>
            </w:r>
          </w:p>
        </w:tc>
      </w:tr>
      <w:tr>
        <w:tc>
          <w:tcPr>
            <w:tcW w:type="dxa" w:w="4929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LACEN-MT e redes estaduais</w:t>
            </w:r>
          </w:p>
        </w:tc>
        <w:tc>
          <w:tcPr>
            <w:tcW w:type="dxa" w:w="4929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Interfaces possíveis, governança, requisitos de interoperabilidade e limites de responsabilidade</w:t>
            </w:r>
          </w:p>
        </w:tc>
      </w:tr>
      <w:tr>
        <w:tc>
          <w:tcPr>
            <w:tcW w:type="dxa" w:w="4929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Segurança pública</w:t>
            </w:r>
          </w:p>
        </w:tc>
        <w:tc>
          <w:tcPr>
            <w:tcW w:type="dxa" w:w="4929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Perímetro, controle de acesso, escolta e coordenação com Defesa Civil e forças de segurança</w:t>
            </w:r>
          </w:p>
        </w:tc>
      </w:tr>
      <w:tr>
        <w:tc>
          <w:tcPr>
            <w:tcW w:type="dxa" w:w="4929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Obras preparatórias</w:t>
            </w:r>
          </w:p>
        </w:tc>
        <w:tc>
          <w:tcPr>
            <w:tcW w:type="dxa" w:w="4929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Terraplenagem, drenagem, acessos, ligações e responsabilidade pelo sítio</w:t>
            </w:r>
          </w:p>
        </w:tc>
      </w:tr>
    </w:tbl>
    <w:p>
      <w:pPr>
        <w:spacing w:after="0"/>
      </w:pPr>
    </w:p>
    <w:p>
      <w:pPr>
        <w:pStyle w:val="Heading1"/>
      </w:pPr>
      <w:r>
        <w:t>3. Modelo de contratação e parcelamento</w:t>
      </w:r>
    </w:p>
    <w:p>
      <w:r>
        <w:t>A hipótese técnica preferencial é um lote funcional integrado, com responsabilidade única pelo desempenho e preços unitários dos módulos e eventos. A adoção de lote único, lotes agrupados ou itens separados dependerá de estudo de mercado, avaliação da competitividade, divisibilidade técnica e riscos de interface.</w:t>
      </w:r>
    </w:p>
    <w:p>
      <w:pPr>
        <w:pStyle w:val="LegalAlert"/>
      </w:pPr>
      <w:r>
        <w:t>A minuta final não deverá fixar sete lotes, base logística em local exclusivo ou dupla constelação satelital sem demonstração de necessidade, proporcionalidade e oferta de mercado. Requisitos territoriais deverão privilegiar o resultado — tempo de resposta e disponibilidade — permitindo que a contratada estabeleça a estrutura necessária até o início da execução.</w:t>
      </w:r>
    </w:p>
    <w:p>
      <w:pPr>
        <w:pStyle w:val="Heading2"/>
      </w:pPr>
      <w:r>
        <w:t>3.1 Modelo econômico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Unidade de medição indicativa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Gatilho de pagamento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A. Prontidão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R$/mês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Disponibilidade comprovada, inventário e testes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B. Mobilização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R$/acionamento por nível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Ordem de Acionamento e início validado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C. Transporte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Faixa de distância, rota ou km validado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Deslocamento efetivo e rastreado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D. Instalação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R$/nível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Comissionamento e TLO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E. Operação técnica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R$/dia por nível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Capacidade operacional disponível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F. Equipe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Pacote/24 h por perfil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Escala cumprida e registros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G. Consumo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Kit/dia ou consumo aferido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Entrega/uso e rastreabilidade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H. Expansão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Módulo adicional/dia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Módulo aceito e operacional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I. Desmobilização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R$/evento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Retirada, recomposição e aceite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J. Treinamento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R$/evento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Exercício realizado e avaliado</w:t>
            </w:r>
          </w:p>
        </w:tc>
      </w:tr>
    </w:tbl>
    <w:p>
      <w:pPr>
        <w:spacing w:after="0"/>
      </w:pPr>
    </w:p>
    <w:p>
      <w:pPr>
        <w:pStyle w:val="Heading1"/>
      </w:pPr>
      <w:r>
        <w:t>4. Condições de participação</w:t>
      </w:r>
    </w:p>
    <w:p>
      <w:r>
        <w:t>Poderão participar pessoas jurídicas cujo ramo seja compatível com o objeto e que atendam às exigências do Edital. A participação em consórcio será admitida, salvo decisão motivada em sentido contrário, considerando a natureza multidisciplinar da solução.</w:t>
      </w:r>
    </w:p>
    <w:p>
      <w:pPr>
        <w:pStyle w:val="Heading2"/>
      </w:pPr>
      <w:r>
        <w:t>4.1 Consórcios</w:t>
      </w:r>
    </w:p>
    <w:p>
      <w:pPr>
        <w:pStyle w:val="ListBullet"/>
        <w:ind w:left="312" w:hanging="142"/>
      </w:pPr>
      <w:r>
        <w:t>compromisso de constituição, indicação da líder e discriminação das responsabilidades;</w:t>
      </w:r>
    </w:p>
    <w:p>
      <w:pPr>
        <w:pStyle w:val="ListBullet"/>
        <w:ind w:left="312" w:hanging="142"/>
      </w:pPr>
      <w:r>
        <w:t>responsabilidade solidária dos integrantes pelos atos da licitação e da execução;</w:t>
      </w:r>
    </w:p>
    <w:p>
      <w:pPr>
        <w:pStyle w:val="ListBullet"/>
        <w:ind w:left="312" w:hanging="142"/>
      </w:pPr>
      <w:r>
        <w:t>proibição de participação simultânea isolada e em mais de um consórcio no mesmo certame;</w:t>
      </w:r>
    </w:p>
    <w:p>
      <w:pPr>
        <w:pStyle w:val="ListBullet"/>
        <w:ind w:left="312" w:hanging="142"/>
      </w:pPr>
      <w:r>
        <w:t>requisitos econômico-financeiros e eventual acréscimo nos limites legais, conforme regra motivada;</w:t>
      </w:r>
    </w:p>
    <w:p>
      <w:pPr>
        <w:pStyle w:val="ListBullet"/>
        <w:ind w:left="312" w:hanging="142"/>
      </w:pPr>
      <w:r>
        <w:t>limite de integrantes somente se demonstrada sua necessidade e adequação ao mercado.</w:t>
      </w:r>
    </w:p>
    <w:p>
      <w:pPr>
        <w:pStyle w:val="Heading2"/>
      </w:pPr>
      <w:r>
        <w:t>4.2 ME/EPP</w:t>
      </w:r>
    </w:p>
    <w:p>
      <w:r>
        <w:t>Serão observados os benefícios da Lei Complementar nº 123/2006. A eventual não aplicação de cota reservada deverá resultar de análise específica sobre divisibilidade, mercado fornecedor, vantajosidade e risco de prejuízo ao conjunto integrado; o valor ou a complexidade, isoladamente, não constituem motivação suficiente.</w:t>
      </w:r>
    </w:p>
    <w:p>
      <w:pPr>
        <w:pStyle w:val="Heading2"/>
      </w:pPr>
      <w:r>
        <w:t>4.3 Vedações e declarações</w:t>
      </w:r>
    </w:p>
    <w:p>
      <w:r>
        <w:t>Aplicam-se as vedações da Lei nº 14.133/2021 e as exigências do modelo estadual vigente. As declarações serão consolidadas em anexo padronizado, evitando duplicidade e exigências sem base legal.</w:t>
      </w:r>
    </w:p>
    <w:p>
      <w:pPr>
        <w:pStyle w:val="Heading1"/>
      </w:pPr>
      <w:r>
        <w:t>5. Habilitação</w:t>
      </w:r>
    </w:p>
    <w:p>
      <w:r>
        <w:t>A habilitação compreenderá os requisitos jurídicos, fiscais, sociais, trabalhistas, técnicos e econômico-financeiros estritamente necessários à garantia do cumprimento do objeto, observando proporcionalidade, competitividade e possibilidade de diligência nos limites legais.</w:t>
      </w:r>
    </w:p>
    <w:p>
      <w:pPr>
        <w:pStyle w:val="Heading2"/>
      </w:pPr>
      <w:r>
        <w:t>5.1 Qualificação técnica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Eixo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Comprovação proposta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Cuidado de proporcionalidade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Integração e implantação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Atestados de solução modular temporária de saúde ou complexidade equivalente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Definir parcelas relevantes; admitir somatório quando tecnicamente cabível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Logística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Mobilização, transporte e implantação em ambiente remoto ou de contingência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Exigir capacidade, não propriedade prévia de frota/base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Utilidades críticas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Energia, HVAC, gases, água/saneamento e telecomunicações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Aceitar atestados complementares do consórcio/subcontratados autorizados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Responsabilidade técnica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Registros e profissionais legalmente habilitados conforme cada disciplina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Não exigir conselho profissional sem pertinência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Capacidade quantitativa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o limite legal e sobre parcelas de maior relevância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Fixar percentual somente após justificativa técnica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Equipe pontuada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Compromisso e vínculo admitido em lei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 pontuada, assegurar participação direta e pessoal na execução</w:t>
            </w:r>
          </w:p>
        </w:tc>
      </w:tr>
    </w:tbl>
    <w:p>
      <w:pPr>
        <w:spacing w:after="0"/>
      </w:pPr>
    </w:p>
    <w:p>
      <w:pPr>
        <w:pStyle w:val="LegalAlert"/>
      </w:pPr>
      <w:r>
        <w:t>A apresentação de CAT não deve ser exigida indistintamente para atestados técnico-operacionais da pessoa jurídica. O instrumento final distinguirá capacidade técnico-profissional e técnico-operacional conforme a natureza de cada parcela.</w:t>
      </w:r>
    </w:p>
    <w:p>
      <w:pPr>
        <w:pStyle w:val="Heading2"/>
      </w:pPr>
      <w:r>
        <w:t>5.2 Qualificação econômico-financeira</w:t>
      </w:r>
    </w:p>
    <w:p>
      <w:r>
        <w:t>Os índices e valores serão definidos após análise de risco e prática de mercado, com justificativa nos autos. As fórmulas serão apresentadas em texto legível:</w:t>
      </w:r>
    </w:p>
    <w:p>
      <w:pPr>
        <w:pStyle w:val="ListBullet"/>
        <w:ind w:left="312" w:hanging="142"/>
      </w:pPr>
      <w:r>
        <w:t>Liquidez Geral (LG) = (Ativo Circulante + Realizável a Longo Prazo) ÷ (Passivo Circulante + Passivo Não Circulante).</w:t>
      </w:r>
    </w:p>
    <w:p>
      <w:pPr>
        <w:pStyle w:val="ListBullet"/>
        <w:ind w:left="312" w:hanging="142"/>
      </w:pPr>
      <w:r>
        <w:t>Liquidez Corrente (LC) = Ativo Circulante ÷ Passivo Circulante.</w:t>
      </w:r>
    </w:p>
    <w:p>
      <w:pPr>
        <w:pStyle w:val="ListBullet"/>
        <w:ind w:left="312" w:hanging="142"/>
      </w:pPr>
      <w:r>
        <w:t>Solvência Geral (SG) = Ativo Total ÷ (Passivo Circulante + Passivo Não Circulante).</w:t>
      </w:r>
    </w:p>
    <w:p>
      <w:r>
        <w:t>Os valores mínimos, o patrimônio líquido e eventual garantia de proposta permanecerão [A DEFINIR], dentro dos limites legais e mediante justificativa. Não deverão ser acumulados de modo a restringir indevidamente a competição.</w:t>
      </w:r>
    </w:p>
    <w:p>
      <w:pPr>
        <w:pStyle w:val="Heading1"/>
      </w:pPr>
      <w:r>
        <w:t>6. Propostas e julgamento</w:t>
      </w:r>
    </w:p>
    <w:p>
      <w:r>
        <w:t>O critério de julgamento somente será fechado após a classificação do objeto. Se os padrões de desempenho e qualidade puderem ser objetivamente definidos por especificações usuais de mercado, a área competente deverá avaliar a modalidade e o critério próprios dos bens e serviços comuns. A adoção de técnica e preço exigirá motivação específica no ETP, demonstração de que a qualidade técnica produz variações relevantes e critérios objetivos de pontuação.</w:t>
      </w:r>
    </w:p>
    <w:p>
      <w:pPr>
        <w:pStyle w:val="Heading2"/>
      </w:pPr>
      <w:r>
        <w:t>6.1 Caminhos possíveis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Hipótese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Condição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Estrutura de julgamento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Menor preço/maior desconto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Objeto classificado como comum e requisitos mínimos plenamente objetiváveis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Conformidade técnica eliminatória + disputa econômica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Técnica e preço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ETP demonstra variação técnica relevante e enquadramento legal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Nota técnica objetiva + nota de preço, com pesos motivados e limite legal</w:t>
            </w:r>
          </w:p>
        </w:tc>
      </w:tr>
    </w:tbl>
    <w:p>
      <w:pPr>
        <w:spacing w:after="0"/>
      </w:pPr>
    </w:p>
    <w:p>
      <w:pPr>
        <w:pStyle w:val="Heading2"/>
      </w:pPr>
      <w:r>
        <w:t>6.2 Prova de conceito e testes</w:t>
      </w:r>
    </w:p>
    <w:p>
      <w:r>
        <w:t>Quando prevista, a prova de conceito será aplicada ao licitante provisoriamente classificado em primeiro lugar, com roteiro, infraestrutura, prazos, critérios binários, hipóteses de repetição e consequências previamente divulgados. O teste poderá abranger montagem parcial representativa, energia, climatização, gases, conectividade, rastreabilidade e fluxo assistencial simulado. O SAT realizado em missão não substitui a prova de conceito pré-contratual quando esta for necessária à seleção.</w:t>
      </w:r>
    </w:p>
    <w:p>
      <w:pPr>
        <w:pStyle w:val="Heading2"/>
      </w:pPr>
      <w:r>
        <w:t>6.3 Técnica e preço — cláusula condicional</w:t>
      </w:r>
    </w:p>
    <w:p>
      <w:r>
        <w:t>Se aprovado esse critério, a Nota Final poderá adotar a expressão NF = (NT × peso técnico) + (NP × peso de preço), com notas e pesos definidos no Edital. A nota de preço poderá ser normalizada por NP = (menor preço válido ÷ preço da proposta) × 100. O modelo deverá testar sensibilidade, evitar pontuação subjetiva e impedir dupla valorização de requisito já usado para habilitação.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Dimensão técnica possível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Forma objetiva de comprovação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Regra de controle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Plano de mobilização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Tempos, recursos, rotas, redundâncias e simulação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Pontuar apenas desempenho acima do mínimo que gere benefício mensurável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Confiabilidade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Arquitetura, estoque crítico, manutenção e contingência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Sem marca direcionada ou tecnologia proprietária injustificada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Equipe-chave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Experiência pertinente e disponibilidade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Participação direta dos profissionais pontuados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Biossegurança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Fluxos, isolamento, PGRSS e protocolos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Critérios verificáveis e alinhados ao cenário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Interoperabilidade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Plano de integração, segurança e contingência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Dependente das interfaces oficialmente disponibilizadas</w:t>
            </w:r>
          </w:p>
        </w:tc>
      </w:tr>
    </w:tbl>
    <w:p>
      <w:pPr>
        <w:spacing w:after="0"/>
      </w:pPr>
    </w:p>
    <w:p>
      <w:pPr>
        <w:pStyle w:val="Heading2"/>
      </w:pPr>
      <w:r>
        <w:t>6.4 Desempate, negociação e recursos</w:t>
      </w:r>
    </w:p>
    <w:p>
      <w:r>
        <w:t>Os critérios de desempate observarão a ordem vigente do art. 60 da Lei nº 14.133/2021, sem substituição por critérios próprios. Os benefícios de empate ficto de ME/EPP serão aplicados na etapa legalmente adequada. Negociação, diligências e recursos seguirão a Lei, o Decreto Estadual nº 1.525/2022 e o modelo estadual vigente.</w:t>
      </w:r>
    </w:p>
    <w:p>
      <w:pPr>
        <w:pStyle w:val="Heading1"/>
      </w:pPr>
      <w:r>
        <w:t>7. Execução e mobilização</w:t>
      </w:r>
    </w:p>
    <w:p>
      <w:pPr>
        <w:pStyle w:val="Heading2"/>
      </w:pPr>
      <w:r>
        <w:t>7.1 Relógios contratuais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Marco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Meta indicativa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Confirmação da Ordem de Acionamento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15 min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Registro eletrônico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Contato com gestor da missão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30 min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Ata/registro de comunicação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Plano de mobilização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2 h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Plano aprovado ou ressalvado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Primeiros recursos em deslocamento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6 h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Telemetria/manifesto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N1 operacional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12 h após condições contratuais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TLO parcial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N2 operacional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18 h após chegada ao sítio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TLO do nível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N3 operacional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Até 24 h após chegada ao sítio liberado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TLO do nível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N4 operacional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36–48 h conforme configuração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TLO de expansão</w:t>
            </w:r>
          </w:p>
        </w:tc>
      </w:tr>
    </w:tbl>
    <w:p>
      <w:pPr>
        <w:spacing w:after="0"/>
      </w:pPr>
    </w:p>
    <w:p>
      <w:pPr>
        <w:pStyle w:val="Heading2"/>
      </w:pPr>
      <w:r>
        <w:t>7.2 Reconhecimento e liberação do sítio</w:t>
      </w:r>
    </w:p>
    <w:p>
      <w:r>
        <w:t>A SES-MT e a contratada elaborarão relatório de avaliação do local contendo coordenadas, acessos, área útil, drenagem, riscos, segurança, energia, água, comunicações, fluxo de ambulâncias, resíduos, referência hospitalar e condicionantes. O início dos prazos dependentes do sítio será formalmente registrado.</w:t>
      </w:r>
    </w:p>
    <w:p>
      <w:pPr>
        <w:pStyle w:val="Heading2"/>
      </w:pPr>
      <w:r>
        <w:t>7.3 Comissionamento e TLO</w:t>
      </w:r>
    </w:p>
    <w:p>
      <w:r>
        <w:t>A abertura assistencial dependerá de testes documentados de estrutura, energia, transferência, UPS, iluminação, HVAC, gases, pressão diferencial quando aplicável, equipamentos, água, efluentes, incêndio, comunicação, TI, farmácia e fluxos. O TLO será emitido pela fiscalização e pelo responsável técnico, sem transferir à Administração a responsabilidade da contratada.</w:t>
      </w:r>
    </w:p>
    <w:p>
      <w:pPr>
        <w:pStyle w:val="Heading2"/>
      </w:pPr>
      <w:r>
        <w:t>7.4 Prontidão e manutenção</w:t>
      </w:r>
    </w:p>
    <w:p>
      <w:r>
        <w:t>O N0 compreenderá inventário, conservação, testes, manutenção, atualização, calibração, conectividade, controle de validade e exercícios. O índice de disponibilidade será definido por módulo e não implicará, automaticamente, dedicação exclusiva de 100% de todos os ativos, salvo se a análise de mercado e o orçamento demonstrarem que essa reserva é necessária e economicamente adequada.</w:t>
      </w:r>
    </w:p>
    <w:p>
      <w:pPr>
        <w:pStyle w:val="Heading2"/>
      </w:pPr>
      <w:r>
        <w:t>7.5 Desmobilização</w:t>
      </w:r>
    </w:p>
    <w:p>
      <w:pPr>
        <w:pStyle w:val="ListNumber"/>
        <w:ind w:left="369" w:hanging="159"/>
      </w:pPr>
      <w:r>
        <w:t>redução progressiva e suspensão coordenada de novos atendimentos;</w:t>
      </w:r>
    </w:p>
    <w:p>
      <w:pPr>
        <w:pStyle w:val="ListNumber"/>
        <w:ind w:left="369" w:hanging="159"/>
      </w:pPr>
      <w:r>
        <w:t>transferência ou alta segura dos pacientes;</w:t>
      </w:r>
    </w:p>
    <w:p>
      <w:pPr>
        <w:pStyle w:val="ListNumber"/>
        <w:ind w:left="369" w:hanging="159"/>
      </w:pPr>
      <w:r>
        <w:t>inventário, descontaminação, gestão de resíduos e encerramento de registros;</w:t>
      </w:r>
    </w:p>
    <w:p>
      <w:pPr>
        <w:pStyle w:val="ListNumber"/>
        <w:ind w:left="369" w:hanging="159"/>
      </w:pPr>
      <w:r>
        <w:t>desmontagem, acondicionamento, transporte e recomposição do sítio;</w:t>
      </w:r>
    </w:p>
    <w:p>
      <w:pPr>
        <w:pStyle w:val="ListNumber"/>
        <w:ind w:left="369" w:hanging="159"/>
      </w:pPr>
      <w:r>
        <w:t>manutenção pós-missão, reposição de estoque e restabelecimento do N0;</w:t>
      </w:r>
    </w:p>
    <w:p>
      <w:pPr>
        <w:pStyle w:val="ListNumber"/>
        <w:ind w:left="369" w:hanging="159"/>
      </w:pPr>
      <w:r>
        <w:t>After Action Review com tempos, consumo, falhas, incidentes, custos e ações de melhoria.</w:t>
      </w:r>
    </w:p>
    <w:p>
      <w:pPr>
        <w:pStyle w:val="Heading1"/>
      </w:pPr>
      <w:r>
        <w:t>8. Medição, SLA e pagamento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Meta de referência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Medição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Disponibilidade da solução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≥ 99%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Relatório mensal por módulo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Energia crítica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≥ 99,9% durante operação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Telemetria e registro de falhas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Comunicação principal ou redundante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≥ 99% durante operação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Monitoramento do serviço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Equipamentos críticos funcionais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Checklist e testes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Insumos dentro da validade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Inventário e auditoria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Rastreabilidade patrimonial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Manifesto e inventário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Cumprimento dos relógios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Conforme nível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Marcos eletrônicos e TLO</w:t>
            </w:r>
          </w:p>
        </w:tc>
      </w:tr>
    </w:tbl>
    <w:p>
      <w:pPr>
        <w:spacing w:after="0"/>
      </w:pPr>
    </w:p>
    <w:p>
      <w:r>
        <w:t>As glosas constituirão ajuste de medição por nível de serviço e não substituirão, por si, sanções administrativas ou indenização. A tabela final definirá fórmula, teto, período de tolerância, exclusões, não cumulatividade e contraditório.</w:t>
      </w:r>
    </w:p>
    <w:p>
      <w:pPr>
        <w:pStyle w:val="Heading1"/>
      </w:pPr>
      <w:r>
        <w:t>9. Gestão contratual, riscos e continuidade</w:t>
      </w:r>
    </w:p>
    <w:p>
      <w:r>
        <w:t>A execução será acompanhada por gestor e fiscais técnico, administrativo, setorial assistencial e, quando necessário, especialistas. Serão mantidos diário de missão, livro eletrônico de ocorrências, registros de manutenção, indicadores, inventário e documentação sanitária.</w:t>
      </w:r>
    </w:p>
    <w:p>
      <w:pPr>
        <w:pStyle w:val="Heading2"/>
      </w:pPr>
      <w:r>
        <w:t>9.1 Matriz sintética de riscos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Evento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Alocação de referência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Tratamento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Falha de equipamento/manutenção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Contratada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Reserva, correção e continuidade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Atraso imputável na montagem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Contratada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Plano de recuperação, glosa e sanção cabível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Ruptura de estoque contratado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Contratada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Reposição e contingência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Sítio inadequado indicado pela SES-MT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Administração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Relocação ou preparação; ajuste dos prazos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Bloqueio extraordinário de rota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Conforme causa/compartilhado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Rota alternativa e reprogramação motivada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Evento climático acima do envelope técnico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Conforme matriz definitiva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Suspensão segura, reforço ou relocação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Segurança pública do perímetro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Administração, em regra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Coordenação institucional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Dano por montagem inadequada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Contratada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Reparação integral</w:t>
            </w:r>
          </w:p>
        </w:tc>
      </w:tr>
    </w:tbl>
    <w:p>
      <w:pPr>
        <w:spacing w:after="0"/>
      </w:pPr>
    </w:p>
    <w:p>
      <w:pPr>
        <w:pStyle w:val="LegalAlert"/>
      </w:pPr>
      <w:r>
        <w:t>Caso fortuito e força maior serão avaliados conforme causalidade, deveres de prevenção, comunicação e mitigação e a matriz de riscos. Não haverá transferência genérica de todo risco extraordinário à contratada.</w:t>
      </w:r>
    </w:p>
    <w:p>
      <w:pPr>
        <w:pStyle w:val="Heading2"/>
      </w:pPr>
      <w:r>
        <w:t>9.2 Vigência, reajuste e garantias</w:t>
      </w:r>
    </w:p>
    <w:p>
      <w:pPr>
        <w:pStyle w:val="ListBullet"/>
        <w:ind w:left="312" w:hanging="142"/>
      </w:pPr>
      <w:r>
        <w:t>a vigência será definida conforme a classificação de serviço/fornecimento contínuo e a vantajosidade da duração inicial;</w:t>
      </w:r>
    </w:p>
    <w:p>
      <w:pPr>
        <w:pStyle w:val="ListBullet"/>
        <w:ind w:left="312" w:hanging="142"/>
      </w:pPr>
      <w:r>
        <w:t>reajuste em sentido estrito observará data-base, índice compatível e interregno legal; parcelas com mão de obra dedicada poderão seguir repactuação, se cabível;</w:t>
      </w:r>
    </w:p>
    <w:p>
      <w:pPr>
        <w:pStyle w:val="ListBullet"/>
        <w:ind w:left="312" w:hanging="142"/>
      </w:pPr>
      <w:r>
        <w:t>garantia contratual e garantia de proposta, se exigidas, terão percentuais motivados e observarão prazos e modalidades legais;</w:t>
      </w:r>
    </w:p>
    <w:p>
      <w:pPr>
        <w:pStyle w:val="ListBullet"/>
        <w:ind w:left="312" w:hanging="142"/>
      </w:pPr>
      <w:r>
        <w:t>se a contratada optar por seguro-garantia, o cronograma de assinatura deverá respeitar o prazo legal para apresentação da apólice;</w:t>
      </w:r>
    </w:p>
    <w:p>
      <w:pPr>
        <w:pStyle w:val="ListBullet"/>
        <w:ind w:left="312" w:hanging="142"/>
      </w:pPr>
      <w:r>
        <w:t>subcontratação parcial será permitida apenas para parcelas autorizadas, preservada a responsabilidade integral da contratada.</w:t>
      </w:r>
    </w:p>
    <w:p>
      <w:pPr>
        <w:pStyle w:val="Heading1"/>
      </w:pPr>
      <w:r>
        <w:t>10. Sanções, impugnações e disposições finais</w:t>
      </w:r>
    </w:p>
    <w:p>
      <w:r>
        <w:t>Infrações e sanções seguirão os arts. 155 a 163 da Lei nº 14.133/2021 e a regulamentação estadual. Multas e glosas terão base de cálculo proporcional à obrigação afetada, limites, hipóteses de incidência e rito definidos em anexo. O prazo de defesa nos processos sancionatórios será o previsto na legislação aplicável; não permanecerá como campo aberto.</w:t>
      </w:r>
    </w:p>
    <w:p>
      <w:r>
        <w:t>Pedidos de esclarecimento e impugnações serão apresentados até três dias úteis antes da abertura do certame, sem prejuízo de prazo mais favorável previsto em norma superveniente. A resposta será divulgada em sítio eletrônico oficial no prazo legal.</w:t>
      </w:r>
    </w:p>
    <w:p>
      <w:r>
        <w:t>O contrato observará recebimentos mensais da prontidão e de cada acionamento. O SAT e o TLO não configuram recebimento definitivo de todo o contrato. Ao término de cada missão haverá aceite de encerramento; ao fim da vigência, recebimento definitivo global após verificação das obrigações remanescentes.</w:t>
      </w:r>
    </w:p>
    <w:p>
      <w:pPr>
        <w:pStyle w:val="Heading1"/>
      </w:pPr>
      <w:r>
        <w:t>11. Anexos da futura versão publicável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Anexo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  <w:tc>
          <w:tcPr>
            <w:tcW w:type="dxa" w:w="328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Termo de Referência consolidado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elaborar/compatibilizar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II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ETP consolidado constante dos autos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Existente; atualizar dados internos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III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Minuta contratual no modelo estadual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elaborar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IV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Matriz N0–N4 e catálogo de módulos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elaborar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Equipamentos, insumos e kits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dimensionar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Equipes e escalas, se incluídas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Decisão pendente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VII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Planilha de preços A–J e critérios de medição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orçar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VIII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SLA, glosas e relatórios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elaborar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IX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Mobilização, Site Assessment, SAT, TLO e desmobilização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elaborar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Prova de conceito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decidir e elaborar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PGRSS, biossegurança e controle de infecção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elaborar</w:t>
            </w:r>
          </w:p>
        </w:tc>
      </w:tr>
      <w:tr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XII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Matriz de riscos</w:t>
            </w:r>
          </w:p>
        </w:tc>
        <w:tc>
          <w:tcPr>
            <w:tcW w:type="dxa" w:w="3286"/>
            <w:shd w:fill="EEF5FA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aprofundar</w:t>
            </w:r>
          </w:p>
        </w:tc>
      </w:tr>
      <w:tr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XIII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Modelos de proposta e declarações</w:t>
            </w:r>
          </w:p>
        </w:tc>
        <w:tc>
          <w:tcPr>
            <w:tcW w:type="dxa" w:w="32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Adotar modelos oficiais</w:t>
            </w:r>
          </w:p>
        </w:tc>
      </w:tr>
    </w:tbl>
    <w:p>
      <w:pPr>
        <w:spacing w:after="0"/>
      </w:pPr>
    </w:p>
    <w:p>
      <w:pPr>
        <w:pStyle w:val="Heading1"/>
      </w:pPr>
      <w:r>
        <w:t>12. Checklist de fechamento para publicação</w:t>
      </w:r>
    </w:p>
    <w:p>
      <w:pPr>
        <w:pStyle w:val="ListNumber"/>
        <w:ind w:left="369" w:hanging="159"/>
      </w:pPr>
      <w:r>
        <w:t>juntar a nota de classificação do objeto e decidir modalidade, critério e regime de execução;</w:t>
      </w:r>
    </w:p>
    <w:p>
      <w:pPr>
        <w:pStyle w:val="ListNumber"/>
        <w:ind w:left="369" w:hanging="159"/>
      </w:pPr>
      <w:r>
        <w:t>aprovar o ETP com dados estaduais internos e memória de dimensionamento;</w:t>
      </w:r>
    </w:p>
    <w:p>
      <w:pPr>
        <w:pStyle w:val="ListNumber"/>
        <w:ind w:left="369" w:hanging="159"/>
      </w:pPr>
      <w:r>
        <w:t>concluir consulta ao mercado, análise de parcelamento e justificativa de consórcio;</w:t>
      </w:r>
    </w:p>
    <w:p>
      <w:pPr>
        <w:pStyle w:val="ListNumber"/>
        <w:ind w:left="369" w:hanging="159"/>
      </w:pPr>
      <w:r>
        <w:t>consolidar o Termo de Referência e eliminar divergências entre N0–N4;</w:t>
      </w:r>
    </w:p>
    <w:p>
      <w:pPr>
        <w:pStyle w:val="ListNumber"/>
        <w:ind w:left="369" w:hanging="159"/>
      </w:pPr>
      <w:r>
        <w:t>concluir orçamento estimado e planilha de preços por componentes;</w:t>
      </w:r>
    </w:p>
    <w:p>
      <w:pPr>
        <w:pStyle w:val="ListNumber"/>
        <w:ind w:left="369" w:hanging="159"/>
      </w:pPr>
      <w:r>
        <w:t>definir parcelas relevantes, habilitação, índices e garantias de forma motivada;</w:t>
      </w:r>
    </w:p>
    <w:p>
      <w:pPr>
        <w:pStyle w:val="ListNumber"/>
        <w:ind w:left="369" w:hanging="159"/>
      </w:pPr>
      <w:r>
        <w:t>validar interfaces sanitárias, assistenciais, de TI, LGPD, LACEN, regulação e segurança;</w:t>
      </w:r>
    </w:p>
    <w:p>
      <w:pPr>
        <w:pStyle w:val="ListNumber"/>
        <w:ind w:left="369" w:hanging="159"/>
      </w:pPr>
      <w:r>
        <w:t>aprovar prova de conceito, SLA, glosas, matriz de riscos e critérios de aceitação;</w:t>
      </w:r>
    </w:p>
    <w:p>
      <w:pPr>
        <w:pStyle w:val="ListNumber"/>
        <w:ind w:left="369" w:hanging="159"/>
      </w:pPr>
      <w:r>
        <w:t>transpor o conteúdo para o modelo padronizado vigente da PGE-MT/SEPLAG-MT;</w:t>
      </w:r>
    </w:p>
    <w:p>
      <w:pPr>
        <w:pStyle w:val="ListNumber"/>
        <w:ind w:left="369" w:hanging="159"/>
      </w:pPr>
      <w:r>
        <w:t>realizar controle de legalidade, disponibilidade orçamentária e aprovação da autoridade competente.</w:t>
      </w:r>
    </w:p>
    <w:p>
      <w:pPr>
        <w:pStyle w:val="Heading1"/>
      </w:pPr>
      <w:r>
        <w:t>Termo de encerramento da minuta</w:t>
      </w:r>
    </w:p>
    <w:p>
      <w:r>
        <w:t>Esta versão é documento de trabalho para instrução do processo. Campos materiais não poderão ser preenchidos apenas por opção redacional: cada definição deverá estar vinculada a estudo, orçamento, consulta ao mercado, decisão administrativa ou manifestação jurídica correspondente.</w:t>
      </w:r>
    </w:p>
    <w:p>
      <w:pPr>
        <w:jc w:val="center"/>
      </w:pPr>
      <w:r>
        <w:t>Cuiabá — MT, 17 de setembro de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666"/>
        <w:sz w:val="16"/>
      </w:rPr>
      <w:t xml:space="preserve">Versão 0.2 — 17/09/2026  •  </w:t>
    </w: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66666"/>
        <w:sz w:val="16"/>
      </w:rPr>
      <w:t>SES-MT  |  UHMR  |  MINUTA TÉCNICA PRELIMINAR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F75B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Alert">
    <w:name w:val="Legal Alert"/>
    <w:pPr>
      <w:spacing w:after="120"/>
    </w:pPr>
    <w:rPr>
      <w:rFonts w:ascii="Arial" w:hAnsi="Arial"/>
      <w:color w:val="9C000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de Edital UHMR SES-MT — Revisão Técnico-Jurídica v0.2</dc:title>
  <dc:subject>Contratação de Unidade Hospitalar Modular de Resposta a Emergências</dc:subject>
  <dc:creator>Secretaria de Estado de Saúde de Mato Grosso — minuta para instrução</dc:creator>
  <cp:keywords>UHMR, hospital modular, emergência, SES-MT, edital, Lei 14.133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