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b/>
          <w:sz w:val="24"/>
        </w:rPr>
        <w:t>GOVERNO DO ESTADO DE MATO GROSSO</w:t>
      </w:r>
    </w:p>
    <w:p>
      <w:pPr>
        <w:jc w:val="center"/>
      </w:pPr>
      <w:r>
        <w:rPr>
          <w:b/>
          <w:sz w:val="22"/>
        </w:rPr>
        <w:t>SECRETARIA DE ESTADO DE SAÚDE</w:t>
      </w:r>
    </w:p>
    <w:p>
      <w:pPr>
        <w:pStyle w:val="Title"/>
        <w:spacing w:before="1100"/>
        <w:jc w:val="center"/>
      </w:pPr>
      <w:r>
        <w:t>Minuta de Contrato Administrativo</w:t>
      </w:r>
    </w:p>
    <w:p>
      <w:pPr>
        <w:pStyle w:val="Subtitle"/>
        <w:jc w:val="center"/>
      </w:pPr>
      <w:r>
        <w:t>Unidade Hospitalar Modular de Resposta a Emergências</w:t>
      </w:r>
    </w:p>
    <w:p>
      <w:pPr>
        <w:spacing w:before="480"/>
        <w:jc w:val="center"/>
      </w:pPr>
      <w:r>
        <w:rPr>
          <w:b/>
          <w:color w:val="C00000"/>
          <w:sz w:val="20"/>
        </w:rPr>
        <w:t>Minuta técnica sujeita ao modelo oficial e à validação jurídica</w:t>
      </w:r>
    </w:p>
    <w:p>
      <w:pPr>
        <w:spacing w:before="1400"/>
        <w:jc w:val="center"/>
      </w:pPr>
      <w:r>
        <w:rPr>
          <w:sz w:val="20"/>
        </w:rPr>
        <w:t>Cuiabá MT</w:t>
        <w:br/>
        <w:t>17 de setembro de 2026</w:t>
      </w:r>
    </w:p>
    <w:p>
      <w:r>
        <w:br w:type="page"/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Informação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Contratante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Estado de Mato Grosso por intermédio da SES MT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7"/>
              </w:rPr>
              <w:t>Contratada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7"/>
              </w:rPr>
              <w:t>[A DEFINIR APÓS O CERTAME]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Processo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[A DEFINIR]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7"/>
              </w:rPr>
              <w:t>Contrato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7"/>
              </w:rPr>
              <w:t>[A DEFINIR]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Valor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R$ [A DEFINIR]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7"/>
              </w:rPr>
              <w:t>Vigência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7"/>
              </w:rPr>
              <w:t>[A DEFINIR]</w:t>
            </w:r>
          </w:p>
        </w:tc>
      </w:tr>
    </w:tbl>
    <w:p>
      <w:pPr>
        <w:spacing w:after="0"/>
      </w:pPr>
    </w:p>
    <w:p>
      <w:pPr>
        <w:pStyle w:val="Heading1"/>
      </w:pPr>
      <w:r>
        <w:t>Cláusula primeira do objeto</w:t>
      </w:r>
    </w:p>
    <w:p>
      <w:r>
        <w:t>O contrato tem por objeto a prestação da solução integrada de UHMR descrita no Termo de Referência, abrangendo prontidão N0 e acionamentos N1 a N4, com fornecimentos, serviços, logística, utilidades, manutenção, comunicações e demais componentes contratados.</w:t>
      </w:r>
    </w:p>
    <w:p>
      <w:pPr>
        <w:pStyle w:val="Heading1"/>
      </w:pPr>
      <w:r>
        <w:t>Cláusula segunda dos documentos e da ordem de prevalência</w:t>
      </w:r>
    </w:p>
    <w:p>
      <w:r>
        <w:t>Integram o contrato o Edital, o Termo de Referência, a proposta, a planilha de preços, a matriz de riscos, o SLA, as ordens e os anexos. A ordem de prevalência será definida na versão jurídica final, preservados objeto, competição e equilíbrio econômico financeiro.</w:t>
      </w:r>
    </w:p>
    <w:p>
      <w:pPr>
        <w:pStyle w:val="Heading1"/>
      </w:pPr>
      <w:r>
        <w:t>Cláusula terceira do preço</w:t>
      </w:r>
    </w:p>
    <w:p>
      <w:r>
        <w:t>O valor máximo estimado e os preços unitários constarão da planilha contratual. Não haverá pagamento por módulo não disponibilizado, marco não aceito ou consumo não comprovado, ressalvada a parcela mensal de prontidão efetivamente cumprida.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Parcela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Unidade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Preço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Prontidão N0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Mês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R$ [A DEFINIR]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Mobilização por nível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Evento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R$ [A DEFINIR]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Transporte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Faixa ou km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R$ [A DEFINIR]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Instalação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Nível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R$ [A DEFINIR]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Operação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Diária por nível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R$ [A DEFINIR]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Equipe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Pacote 24 h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R$ [A DEFINIR]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Kits e consumo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Unidade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R$ [A DEFINIR]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Expansão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Módulo dia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R$ [A DEFINIR]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Desmobilização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Evento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R$ [A DEFINIR]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Treinamento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Evento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R$ [A DEFINIR]</w:t>
            </w:r>
          </w:p>
        </w:tc>
      </w:tr>
    </w:tbl>
    <w:p>
      <w:pPr>
        <w:spacing w:after="0"/>
      </w:pPr>
    </w:p>
    <w:p>
      <w:pPr>
        <w:pStyle w:val="Heading1"/>
      </w:pPr>
      <w:r>
        <w:t>Cláusula quarta da vigência</w:t>
      </w:r>
    </w:p>
    <w:p>
      <w:r>
        <w:t>A vigência será de [A DEFINIR] meses, contada de [MARCO], com possibilidade de prorrogação somente nas hipóteses, limites e condições legais, mediante demonstração de vantajosidade, desempenho satisfatório, crédito orçamentário e decisão da autoridade competente.</w:t>
      </w:r>
    </w:p>
    <w:p>
      <w:pPr>
        <w:pStyle w:val="Heading1"/>
      </w:pPr>
      <w:r>
        <w:t>Cláusula quinta da implantação do N0</w:t>
      </w:r>
    </w:p>
    <w:p>
      <w:pPr>
        <w:pStyle w:val="ListNumber"/>
        <w:ind w:left="397" w:hanging="159"/>
      </w:pPr>
      <w:r>
        <w:t>apresentação do plano de implantação, responsáveis e cronograma;</w:t>
      </w:r>
    </w:p>
    <w:p>
      <w:pPr>
        <w:pStyle w:val="ListNumber"/>
        <w:ind w:left="397" w:hanging="159"/>
      </w:pPr>
      <w:r>
        <w:t>disponibilização da base e do inventário contratado;</w:t>
      </w:r>
    </w:p>
    <w:p>
      <w:pPr>
        <w:pStyle w:val="ListNumber"/>
        <w:ind w:left="397" w:hanging="159"/>
      </w:pPr>
      <w:r>
        <w:t>entrega de planos de manutenção, continuidade, segurança, dados e suprimentos;</w:t>
      </w:r>
    </w:p>
    <w:p>
      <w:pPr>
        <w:pStyle w:val="ListNumber"/>
        <w:ind w:left="397" w:hanging="159"/>
      </w:pPr>
      <w:r>
        <w:t>execução de testes e exercício inicial;</w:t>
      </w:r>
    </w:p>
    <w:p>
      <w:pPr>
        <w:pStyle w:val="ListNumber"/>
        <w:ind w:left="397" w:hanging="159"/>
      </w:pPr>
      <w:r>
        <w:t>correção das não conformidades;</w:t>
      </w:r>
    </w:p>
    <w:p>
      <w:pPr>
        <w:pStyle w:val="ListNumber"/>
        <w:ind w:left="397" w:hanging="159"/>
      </w:pPr>
      <w:r>
        <w:t>emissão do Termo de Prontidão Inicial.</w:t>
      </w:r>
    </w:p>
    <w:p>
      <w:pPr>
        <w:pStyle w:val="Heading1"/>
      </w:pPr>
      <w:r>
        <w:t>Cláusula sexta do acionamento</w:t>
      </w:r>
    </w:p>
    <w:p>
      <w:r>
        <w:t>A SES MT emitirá Ordem de Acionamento com nível, capacidade, local, prazo, contato e condicionantes. A contratada confirmará o recebimento e apresentará plano de mobilização nos prazos do SLA. Alterações de nível serão formalizadas.</w:t>
      </w:r>
    </w:p>
    <w:p>
      <w:pPr>
        <w:pStyle w:val="Heading1"/>
      </w:pPr>
      <w:r>
        <w:t>Cláusula sétima da execução</w:t>
      </w:r>
    </w:p>
    <w:p>
      <w:r>
        <w:t>A contratada executará reconhecimento, transporte, montagem, comissionamento, operação técnica, manutenção e desmobilização. A abertura assistencial dependerá de TLO. A fiscalização poderá interromper atividade insegura sem assumir a execução.</w:t>
      </w:r>
    </w:p>
    <w:p>
      <w:pPr>
        <w:pStyle w:val="Heading1"/>
      </w:pPr>
      <w:r>
        <w:t>Cláusula oitava das obrigações da contratada</w:t>
      </w:r>
    </w:p>
    <w:p>
      <w:pPr>
        <w:pStyle w:val="ListBullet"/>
        <w:ind w:left="340" w:hanging="142"/>
      </w:pPr>
      <w:r>
        <w:t>cumprir o TR, a proposta, os projetos, prazos e níveis de serviço;</w:t>
      </w:r>
    </w:p>
    <w:p>
      <w:pPr>
        <w:pStyle w:val="ListBullet"/>
        <w:ind w:left="340" w:hanging="142"/>
      </w:pPr>
      <w:r>
        <w:t>manter habilitação, licenças, responsáveis e seguros;</w:t>
      </w:r>
    </w:p>
    <w:p>
      <w:pPr>
        <w:pStyle w:val="ListBullet"/>
        <w:ind w:left="340" w:hanging="142"/>
      </w:pPr>
      <w:r>
        <w:t>coordenar subcontratados e responder pelo resultado integrado;</w:t>
      </w:r>
    </w:p>
    <w:p>
      <w:pPr>
        <w:pStyle w:val="ListBullet"/>
        <w:ind w:left="340" w:hanging="142"/>
      </w:pPr>
      <w:r>
        <w:t>manter inventário, manutenção, calibração, validade e reservas;</w:t>
      </w:r>
    </w:p>
    <w:p>
      <w:pPr>
        <w:pStyle w:val="ListBullet"/>
        <w:ind w:left="340" w:hanging="142"/>
      </w:pPr>
      <w:r>
        <w:t>preservar continuidade, segurança do paciente e biossegurança;</w:t>
      </w:r>
    </w:p>
    <w:p>
      <w:pPr>
        <w:pStyle w:val="ListBullet"/>
        <w:ind w:left="340" w:hanging="142"/>
      </w:pPr>
      <w:r>
        <w:t>proteger dados, sistemas, credenciais e registros;</w:t>
      </w:r>
    </w:p>
    <w:p>
      <w:pPr>
        <w:pStyle w:val="ListBullet"/>
        <w:ind w:left="340" w:hanging="142"/>
      </w:pPr>
      <w:r>
        <w:t>comunicar incidentes, riscos, atrasos e indisponibilidades;</w:t>
      </w:r>
    </w:p>
    <w:p>
      <w:pPr>
        <w:pStyle w:val="ListBullet"/>
        <w:ind w:left="340" w:hanging="142"/>
      </w:pPr>
      <w:r>
        <w:t>reparar danos e corrigir não conformidades imputáveis;</w:t>
      </w:r>
    </w:p>
    <w:p>
      <w:pPr>
        <w:pStyle w:val="ListBullet"/>
        <w:ind w:left="340" w:hanging="142"/>
      </w:pPr>
      <w:r>
        <w:t>permitir auditoria e fornecer evidências de medição;</w:t>
      </w:r>
    </w:p>
    <w:p>
      <w:pPr>
        <w:pStyle w:val="ListBullet"/>
        <w:ind w:left="340" w:hanging="142"/>
      </w:pPr>
      <w:r>
        <w:t>recompor o N0 após cada missão.</w:t>
      </w:r>
    </w:p>
    <w:p>
      <w:pPr>
        <w:pStyle w:val="Heading1"/>
      </w:pPr>
      <w:r>
        <w:t>Cláusula nona das obrigações da contratante</w:t>
      </w:r>
    </w:p>
    <w:p>
      <w:pPr>
        <w:pStyle w:val="ListBullet"/>
        <w:ind w:left="340" w:hanging="142"/>
      </w:pPr>
      <w:r>
        <w:t>emitir ordens e fornecer informações e interfaces sob sua responsabilidade;</w:t>
      </w:r>
    </w:p>
    <w:p>
      <w:pPr>
        <w:pStyle w:val="ListBullet"/>
        <w:ind w:left="340" w:hanging="142"/>
      </w:pPr>
      <w:r>
        <w:t>liberar sítio e coordenar segurança pública e governança estadual;</w:t>
      </w:r>
    </w:p>
    <w:p>
      <w:pPr>
        <w:pStyle w:val="ListBullet"/>
        <w:ind w:left="340" w:hanging="142"/>
      </w:pPr>
      <w:r>
        <w:t>integrar regulação e rede assistencial;</w:t>
      </w:r>
    </w:p>
    <w:p>
      <w:pPr>
        <w:pStyle w:val="ListBullet"/>
        <w:ind w:left="340" w:hanging="142"/>
      </w:pPr>
      <w:r>
        <w:t>designar gestor e fiscais;</w:t>
      </w:r>
    </w:p>
    <w:p>
      <w:pPr>
        <w:pStyle w:val="ListBullet"/>
        <w:ind w:left="340" w:hanging="142"/>
      </w:pPr>
      <w:r>
        <w:t>decidir sobre expansão, retração e desmobilização;</w:t>
      </w:r>
    </w:p>
    <w:p>
      <w:pPr>
        <w:pStyle w:val="ListBullet"/>
        <w:ind w:left="340" w:hanging="142"/>
      </w:pPr>
      <w:r>
        <w:t>atestar entregas e efetuar pagamentos devidos.</w:t>
      </w:r>
    </w:p>
    <w:p>
      <w:pPr>
        <w:pStyle w:val="Heading1"/>
      </w:pPr>
      <w:r>
        <w:t>Cláusula décima da fiscalização</w:t>
      </w:r>
    </w:p>
    <w:p>
      <w:r>
        <w:t>A gestão e a fiscalização serão exercidas por agentes designados. Registros, determinações e ocorrências constarão de sistema ou diário oficial da missão. A fiscalização não exclui a responsabilidade da contratada.</w:t>
      </w:r>
    </w:p>
    <w:p>
      <w:pPr>
        <w:pStyle w:val="Heading1"/>
      </w:pPr>
      <w:r>
        <w:t>Cláusula décima primeira da medição</w:t>
      </w:r>
    </w:p>
    <w:p>
      <w:r>
        <w:t>A medição mensal consolidará prontidão e eventos. Cada acionamento possuirá boletim próprio com marcos, diárias, equipes, consumo, expansão, transporte, glosas e evidências. Divergências serão justificadas e submetidas ao rito contratual.</w:t>
      </w:r>
    </w:p>
    <w:p>
      <w:pPr>
        <w:pStyle w:val="Heading1"/>
      </w:pPr>
      <w:r>
        <w:t>Cláusula décima segunda do pagamento</w:t>
      </w:r>
    </w:p>
    <w:p>
      <w:r>
        <w:t>O pagamento ocorrerá em [A DEFINIR] dias após liquidação, ateste e documentos exigidos. Valores controvertidos poderão ser separados da parcela incontroversa. Tributos e retenções seguirão a legislação.</w:t>
      </w:r>
    </w:p>
    <w:p>
      <w:pPr>
        <w:pStyle w:val="Heading1"/>
      </w:pPr>
      <w:r>
        <w:t>Cláusula décima terceira do reajuste, repactuação e equilíbrio</w:t>
      </w:r>
    </w:p>
    <w:p>
      <w:r>
        <w:t>O reajuste utilizará índice e data base definidos no Edital. A repactuação será aplicável às parcelas de mão de obra quando houver regime compatível e demonstração analítica. O reequilíbrio dependerá de evento, nexo, impacto e matriz de riscos.</w:t>
      </w:r>
    </w:p>
    <w:p>
      <w:pPr>
        <w:pStyle w:val="Heading1"/>
      </w:pPr>
      <w:r>
        <w:t>Cláusula décima quarta das garantias</w:t>
      </w:r>
    </w:p>
    <w:p>
      <w:r>
        <w:t>A garantia contratual será de [A DEFINIR] por cento, dentro do limite legal e conforme justificativa. Modalidade, prazo, reposição e execução constarão do Edital. A opção por seguro garantia observará o prazo legal para apresentação da apólice.</w:t>
      </w:r>
    </w:p>
    <w:p>
      <w:pPr>
        <w:pStyle w:val="Heading1"/>
      </w:pPr>
      <w:r>
        <w:t>Cláusula décima quinta do SLA e das glosas</w:t>
      </w:r>
    </w:p>
    <w:p>
      <w:r>
        <w:t>O SLA integra o contrato. A glosa ajustará o pagamento ao serviço efetivamente entregue, com fórmula, tolerância, teto, exclusões e contraditório. Reincidência ou falha grave poderá também configurar infração.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Grupo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Exemplos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Tratamento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Mobilização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Confirmação, plano, saída e implantação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Glosa por marco e sanção quando cabível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Disponibilidade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Módulo, energia, comunicação e equipamento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Fator de desempenho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Qualidade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Validade, rastreabilidade, documentação e equipe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Glosa proporcional e correção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Segurança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Falha com risco assistencial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Interrupção, contingência e processo sancionatório</w:t>
            </w:r>
          </w:p>
        </w:tc>
      </w:tr>
    </w:tbl>
    <w:p>
      <w:pPr>
        <w:spacing w:after="0"/>
      </w:pPr>
    </w:p>
    <w:p>
      <w:pPr>
        <w:pStyle w:val="Heading1"/>
      </w:pPr>
      <w:r>
        <w:t>Cláusula décima sexta da proteção de dados</w:t>
      </w:r>
    </w:p>
    <w:p>
      <w:r>
        <w:t>As partes observarão a LGPD e as políticas da SES MT. A contratada tratará apenas dados necessários, por instruções documentadas, com controle de acesso, registro, retenção, devolução ou eliminação, resposta a titulares e comunicação imediata de incidentes.</w:t>
      </w:r>
    </w:p>
    <w:p>
      <w:pPr>
        <w:pStyle w:val="Heading1"/>
      </w:pPr>
      <w:r>
        <w:t>Cláusula décima sétima da propriedade e reversibilidade</w:t>
      </w:r>
    </w:p>
    <w:p>
      <w:r>
        <w:t>Dados, registros assistenciais e relatórios produzidos no âmbito da missão pertencem ou ficam sob governança da SES MT conforme sua natureza. Ao encerramento, a contratada entregará exportação em formato aberto, documentação, credenciais institucionais e comprovação de eliminação de cópias quando determinada.</w:t>
      </w:r>
    </w:p>
    <w:p>
      <w:pPr>
        <w:pStyle w:val="Heading1"/>
      </w:pPr>
      <w:r>
        <w:t>Cláusula décima oitava da subcontratação</w:t>
      </w:r>
    </w:p>
    <w:p>
      <w:r>
        <w:t>É vedada a subcontratação total. Poderão ser subcontratadas parcelas especializadas autorizadas, sem transferência da responsabilidade. O limite e as parcelas serão [A DEFINIR]. Subcontratados estarão sujeitos às mesmas regras de segurança, dados, auditoria e integridade.</w:t>
      </w:r>
    </w:p>
    <w:p>
      <w:pPr>
        <w:pStyle w:val="Heading1"/>
      </w:pPr>
      <w:r>
        <w:t>Cláusula décima nona da matriz de riscos</w:t>
      </w:r>
    </w:p>
    <w:p>
      <w:r>
        <w:t>A matriz anexa define riscos, impactos, parte responsável, mitigação, comunicação e efeitos no prazo e preço. Caso fortuito e força maior serão avaliados segundo causalidade, prevenção, mitigação e alocação contratual.</w:t>
      </w:r>
    </w:p>
    <w:p>
      <w:pPr>
        <w:pStyle w:val="Heading1"/>
      </w:pPr>
      <w:r>
        <w:t>Cláusula vigésima das alterações</w:t>
      </w:r>
    </w:p>
    <w:p>
      <w:r>
        <w:t>Alterações observarão a Lei nº 14.133/2021, a justificativa, os limites e a preservação do equilíbrio. Ordens de missão não poderão ampliar o objeto sem cobertura contratual e orçamentária.</w:t>
      </w:r>
    </w:p>
    <w:p>
      <w:pPr>
        <w:pStyle w:val="Heading1"/>
      </w:pPr>
      <w:r>
        <w:t>Cláusula vigésima primeira das sanções</w:t>
      </w:r>
    </w:p>
    <w:p>
      <w:r>
        <w:t>As infrações e sanções obedecerão ao Edital, à Lei e à regulamentação estadual, com contraditório e ampla defesa. As multas terão bases proporcionais à obrigação afetada e limites definidos no anexo de dosimetria.</w:t>
      </w:r>
    </w:p>
    <w:p>
      <w:pPr>
        <w:pStyle w:val="Heading1"/>
      </w:pPr>
      <w:r>
        <w:t>Cláusula vigésima segunda da extinção</w:t>
      </w:r>
    </w:p>
    <w:p>
      <w:r>
        <w:t>A extinção ocorrerá nas hipóteses legais e contratuais. A contratada manterá continuidade segura e apoiará transição, desmobilização e entrega de dados. A Administração pagará apenas parcelas aceitas, sem prejuízo de apurações.</w:t>
      </w:r>
    </w:p>
    <w:p>
      <w:pPr>
        <w:pStyle w:val="Heading1"/>
      </w:pPr>
      <w:r>
        <w:t>Cláusula vigésima terceira do recebimento e encerramento</w:t>
      </w:r>
    </w:p>
    <w:p>
      <w:r>
        <w:t>Haverá aceites do N0, de cada missão e do encerramento global. O recebimento não afasta vícios, garantias, responsabilização ou obrigações remanescentes.</w:t>
      </w:r>
    </w:p>
    <w:p>
      <w:pPr>
        <w:pStyle w:val="Heading1"/>
      </w:pPr>
      <w:r>
        <w:t>Cláusula vigésima quarta da integridade</w:t>
      </w:r>
    </w:p>
    <w:p>
      <w:r>
        <w:t>A contratada observará regras de integridade, conflito de interesses, anticorrupção, trabalho digno, acessibilidade, sustentabilidade e canais de denúncia aplicáveis.</w:t>
      </w:r>
    </w:p>
    <w:p>
      <w:pPr>
        <w:pStyle w:val="Heading1"/>
      </w:pPr>
      <w:r>
        <w:t>Cláusula vigésima quinta das comunicações e foro</w:t>
      </w:r>
    </w:p>
    <w:p>
      <w:r>
        <w:t>As comunicações ocorrerão por canais oficiais indicados pelas partes. Fica eleito o foro competente definido pela legislação e pelo modelo estadual, ressalvadas soluções administrativas e consensuais cabíveis.</w:t>
      </w:r>
    </w:p>
    <w:p>
      <w:pPr>
        <w:pStyle w:val="Heading1"/>
      </w:pPr>
      <w:r>
        <w:t>Assinaturas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Parte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Nome e função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Assinatura e data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Contratante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[A DEFINIR]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Contratada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[A DEFINIR]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Testemunha ou agente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[A DEFINIR CONFORME MODELO]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Referências normativas e técnicas</w:t>
      </w:r>
    </w:p>
    <w:p>
      <w:pPr>
        <w:pStyle w:val="ListBullet"/>
        <w:ind w:left="340" w:hanging="142"/>
      </w:pPr>
      <w:r>
        <w:t>Brasil. Lei nº 14.133, de 1º de abril de 2021. Lei de Licitações e Contratos Administrativos. https://www.planalto.gov.br/ccivil_03/_ato2019-2022/2021/lei/l14133.htm</w:t>
      </w:r>
    </w:p>
    <w:p>
      <w:pPr>
        <w:pStyle w:val="ListBullet"/>
        <w:ind w:left="340" w:hanging="142"/>
      </w:pPr>
      <w:r>
        <w:t>Mato Grosso. Decreto Estadual nº 1.525, de 23 de novembro de 2022. Regulamentação estadual da Lei nº 14.133/2021. https://aquisicoes.seplag.mt.gov.br/home/images/files/DecretoEstadual118022025155448.525</w:t>
      </w:r>
    </w:p>
    <w:p>
      <w:pPr>
        <w:pStyle w:val="ListBullet"/>
        <w:ind w:left="340" w:hanging="142"/>
      </w:pPr>
      <w:r>
        <w:t>Ministério da Saúde. Consulta Pública 2026 para Hospital de Campanha Modular e requisitos EMT Tipo 2. https://www.gov.br/saude/pt-br/acesso-a-informacao/participacao-social/consultas-publicas/2026/coleta-de-informacoes-para-formacao-de-precos-visando-atender-aos-requisitos-tecnicos-e-operacionais-aplicaveis-as-emt</w:t>
      </w:r>
    </w:p>
    <w:p>
      <w:pPr>
        <w:pStyle w:val="ListBullet"/>
        <w:ind w:left="340" w:hanging="142"/>
      </w:pPr>
      <w:r>
        <w:t>World Health Organization. Classification and minimum standards for emergency medical teams. Second edition. https://www.who.int/publications/i/item/9789240029330</w:t>
      </w:r>
    </w:p>
    <w:p>
      <w:pPr>
        <w:pStyle w:val="ListBullet"/>
        <w:ind w:left="340" w:hanging="142"/>
      </w:pPr>
      <w:r>
        <w:t>ANVISA. RDC nº 50/2002, RDC nº 63/2011 e RDC nº 222/2018, em suas versões vigentes.</w:t>
      </w:r>
    </w:p>
    <w:p>
      <w:pPr>
        <w:pStyle w:val="ListBullet"/>
        <w:ind w:left="340" w:hanging="142"/>
      </w:pPr>
      <w:r>
        <w:t>Ministério do Trabalho e Emprego. NR 32, Segurança e Saúde no Trabalho em Serviços de Saúde, em sua versão vigente.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6666"/>
        <w:sz w:val="16"/>
      </w:rPr>
      <w:t xml:space="preserve">Versão 1.0   17 09 2026   </w:t>
    </w:r>
    <w:r>
      <w:rPr>
        <w:sz w:val="16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666666"/>
        <w:sz w:val="16"/>
      </w:rPr>
      <w:t>SES MT   UHMR   MINUTA CONTRATUAL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  <w:jc w:val="both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Arial" w:hAnsi="Arial"/>
      <w:color w:val="666666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Minuta de Contrato Administrativo UHMR</dc:title>
  <dc:subject>Cláusulas técnicas e administrativas para contratação da UHMR</dc:subject>
  <dc:creator>Secretaria de Estado de Saúde de Mato Grosso</dc:creator>
  <cp:keywords>UHMR, emergência, hospital modular, SES MT, contratação pública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