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2020</w:t>
      </w:r>
    </w:p>
    <w:p>
      <w:pPr>
        <w:pStyle w:val="Heading1"/>
      </w:pPr>
      <w:r>
        <w:t>Note d'Analyse des Prévisions de Déficit Public et de Dette Publique</w:t>
      </w:r>
    </w:p>
    <w:p>
      <w:pPr>
        <w:pStyle w:val="Heading2"/>
      </w:pPr>
      <w:r>
        <w:t>Contexte Économique</w:t>
      </w:r>
    </w:p>
    <w:p>
      <w:pPr>
        <w:pStyle w:val="Heading3"/>
      </w:pPr>
      <w:r>
        <w:t>Évolution du PIB et de l'Inflation</w:t>
      </w:r>
    </w:p>
    <w:p>
      <w:pPr>
        <w:jc w:val="both"/>
      </w:pPr>
      <w:r>
        <w:t>Les prévisions économiques pour les années 2019 et 2020 montrent une croissance modérée du Produit Intérieur Brut (PIB). En 2019, le PIB est prévu à 1,4%, une légère baisse par rapport à 2018. Pour 2020, les prévisions varient légèrement selon les sources:</w:t>
      </w:r>
    </w:p>
    <w:p>
      <w:pPr>
        <w:jc w:val="both"/>
      </w:pPr>
      <w:r>
        <w:t>- **OCDE** : 1,2% - **FMI** : 1,4% - **Commission européenne** : 1,3%</w:t>
      </w:r>
    </w:p>
    <w:p>
      <w:pPr>
        <w:jc w:val="both"/>
      </w:pPr>
      <w:r>
        <w:t>L'indice des prix à la consommation harmonisé (IPC) est prévu à 1,3% en 2019 et 2020 selon le PLF 2020. Le FMI prévoit une légère hausse à 1,5% en 2020, tandis que la Commission européenne prévoit 1,4%.</w:t>
      </w:r>
    </w:p>
    <w:p>
      <w:pPr>
        <w:pStyle w:val="Heading3"/>
      </w:pPr>
      <w:r>
        <w:t>Dette Publique</w:t>
      </w:r>
    </w:p>
    <w:p>
      <w:pPr>
        <w:jc w:val="both"/>
      </w:pPr>
      <w:r>
        <w:t>La dette publique totale en pourcentage du PIB est prévue à 98,8% en 2019 et 98,7% en 2020. Hors soutien à la zone euro, ces chiffres sont de 96,1% pour les deux années.</w:t>
      </w:r>
    </w:p>
    <w:p>
      <w:pPr>
        <w:pStyle w:val="Heading2"/>
      </w:pPr>
      <w:r>
        <w:t>Déficit Public</w:t>
      </w:r>
    </w:p>
    <w:p>
      <w:pPr>
        <w:pStyle w:val="Heading3"/>
      </w:pPr>
      <w:r>
        <w:t>Évolution du Solde Public</w:t>
      </w:r>
    </w:p>
    <w:p>
      <w:pPr>
        <w:jc w:val="both"/>
      </w:pPr>
      <w:r>
        <w:t>Le solde public, en pourcentage du PIB, est prévu à -3,1% en 2019, une détérioration par rapport à -2,5% en 2018. Cette détérioration est principalement due à la transformation du Crédit d'Impôt pour la Compétitivité et l'Emploi (CICE), comptabilisée en mesures ponctuelles et temporaires. Sans cette transformation, le solde public aurait été amélioré de 0,8 point de PIB.</w:t>
      </w:r>
    </w:p>
    <w:p>
      <w:pPr>
        <w:jc w:val="both"/>
      </w:pPr>
      <w:r>
        <w:t>Pour 2020, le solde public est prévu à -2,2%, une amélioration par rapport à 2019. Les prévisions du FMI et de la Commission européenne sont légèrement différentes, avec -2,3% et -2,2% respectivement.</w:t>
      </w:r>
    </w:p>
    <w:p>
      <w:pPr>
        <w:pStyle w:val="Heading3"/>
      </w:pPr>
      <w:r>
        <w:t>Solde Structurel</w:t>
      </w:r>
    </w:p>
    <w:p>
      <w:pPr>
        <w:jc w:val="both"/>
      </w:pPr>
      <w:r>
        <w:t>Le solde structurel, qui exclut les effets conjoncturels et les mesures ponctuelles et temporaires, est prévu à -2,2% en 2020, stable par rapport à 2019. L'ajustement structurel, qui mesure l'effort de redressement des finances publiques, est prévu à +0,1 point en 2019 et 2020.</w:t>
      </w:r>
    </w:p>
    <w:p>
      <w:pPr>
        <w:pStyle w:val="Heading2"/>
      </w:pPr>
      <w:r>
        <w:t>Dépenses Publiques</w:t>
      </w:r>
    </w:p>
    <w:p>
      <w:pPr>
        <w:pStyle w:val="Heading3"/>
      </w:pPr>
      <w:r>
        <w:t>Évolution des Dépenses Publiques</w:t>
      </w:r>
    </w:p>
    <w:p>
      <w:pPr>
        <w:jc w:val="both"/>
      </w:pPr>
      <w:r>
        <w:t>Les dépenses publiques hors crédits d'impôt, en pourcentage du PIB, sont prévues à 53,8% en 2019 et 53,4% en 2020. La progression en volume des dépenses publiques est de 0,7% en 2019 et 0,7% en 2020, en retraitant des effets de périmètre afférents à la création de France Compétences.</w:t>
      </w:r>
    </w:p>
    <w:p>
      <w:pPr>
        <w:pStyle w:val="Heading3"/>
      </w:pPr>
      <w:r>
        <w:t>Détail par Sous-Secteurs</w:t>
      </w:r>
    </w:p>
    <w:p>
      <w:pPr>
        <w:jc w:val="both"/>
      </w:pPr>
      <w:r>
        <w:t>- **État** : Le solde de l'État est prévu à -3,5% en 2019 et -4,0% en 2020. - **ODAC** : Le solde des Organismes Divers d'Administration Centrale (ODAC) est prévu à -0,1% en 2019 et 0,9% en 2020. - **APUL** : Le solde des Administrations Publiques Locales (APUL) est prévu à 0,1% en 2019 et 0,2% en 2020. - **ASSO** : Le solde des Administrations de Sécurité Sociale (ASSO) est prévu à 0,5% en 2019 et 0,7% en 2020.</w:t>
      </w:r>
    </w:p>
    <w:p>
      <w:pPr>
        <w:pStyle w:val="Heading2"/>
      </w:pPr>
      <w:r>
        <w:t>Recettes Publiques</w:t>
      </w:r>
    </w:p>
    <w:p>
      <w:pPr>
        <w:pStyle w:val="Heading3"/>
      </w:pPr>
      <w:r>
        <w:t>Prélèvements Obligatoires</w:t>
      </w:r>
    </w:p>
    <w:p>
      <w:pPr>
        <w:jc w:val="both"/>
      </w:pPr>
      <w:r>
        <w:t>Les prélèvements obligatoires, en pourcentage du PIB, sont prévus à 44,0% en 2019 et 44,3% en 2020. Ces chiffres montrent une légère hausse par rapport à 2018, où ils étaient de 45,0%.</w:t>
      </w:r>
    </w:p>
    <w:p>
      <w:pPr>
        <w:pStyle w:val="Heading2"/>
      </w:pPr>
      <w:r>
        <w:t>Perspectives</w:t>
      </w:r>
    </w:p>
    <w:p>
      <w:pPr>
        <w:pStyle w:val="Heading3"/>
      </w:pPr>
      <w:r>
        <w:t>Scénario à Législation et Pratiques Inchangées</w:t>
      </w:r>
    </w:p>
    <w:p>
      <w:pPr>
        <w:jc w:val="both"/>
      </w:pPr>
      <w:r>
        <w:t>La trajectoire spontanée du solde public est déterminée par le rythme spontané de progression des recettes et des dépenses publiques. Les prévisions pour 2019 et 2020 montrent une croissance réelle du PIB corrigée des jours ouvrables de 1,4% en 2019 et 1,3% en 2020. Le déflateur du PIB est prévu à 1,3% en 2019 et 1,2% en 2020.</w:t>
      </w:r>
    </w:p>
    <w:p>
      <w:pPr>
        <w:pStyle w:val="Heading3"/>
      </w:pPr>
      <w:r>
        <w:t>Stratégie de Redressement des Finances Publiques</w:t>
      </w:r>
    </w:p>
    <w:p>
      <w:pPr>
        <w:jc w:val="both"/>
      </w:pPr>
      <w:r>
        <w:t>La stratégie de redressement des finances publiques vise à réduire le déficit structurel. En 2019, le solde public atteindrait -3,1%, contre -2,5% en 2018, principalement en raison de la transformation du CICE. L'ajustement structurel de +0,1 point serait porté intégralement par un effort en dépense de +0,3 point une fois neutralisé l'impact de la création de France Compétences. L'atteinte de cet objectif de solde suppose l'abaissement de 1,5 milliard d'euros de la norme de dépenses pilotables de l'État.</w:t>
      </w:r>
    </w:p>
    <w:p>
      <w:pPr>
        <w:pStyle w:val="Heading3"/>
      </w:pPr>
      <w:r>
        <w:t>Tableau Résumé des Prévisions</w:t>
      </w:r>
    </w:p>
    <w:p>
      <w:pPr>
        <w:pStyle w:val="Heading2"/>
      </w:pPr>
      <w:r>
        <w:t>Conclusion</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Année</w:t>
            </w:r>
          </w:p>
        </w:tc>
        <w:tc>
          <w:tcPr>
            <w:tcW w:type="dxa" w:w="1234"/>
          </w:tcPr>
          <w:p>
            <w:pPr>
              <w:jc w:val="center"/>
            </w:pPr>
            <w:r>
              <w:rPr>
                <w:b/>
              </w:rPr>
              <w:t>PIB (%)</w:t>
            </w:r>
          </w:p>
        </w:tc>
        <w:tc>
          <w:tcPr>
            <w:tcW w:type="dxa" w:w="1234"/>
          </w:tcPr>
          <w:p>
            <w:pPr>
              <w:jc w:val="center"/>
            </w:pPr>
            <w:r>
              <w:rPr>
                <w:b/>
              </w:rPr>
              <w:t>IPC (%)</w:t>
            </w:r>
          </w:p>
        </w:tc>
        <w:tc>
          <w:tcPr>
            <w:tcW w:type="dxa" w:w="1234"/>
          </w:tcPr>
          <w:p>
            <w:pPr>
              <w:jc w:val="center"/>
            </w:pPr>
            <w:r>
              <w:rPr>
                <w:b/>
              </w:rPr>
              <w:t>Solde Public (%)</w:t>
            </w:r>
          </w:p>
        </w:tc>
        <w:tc>
          <w:tcPr>
            <w:tcW w:type="dxa" w:w="1234"/>
          </w:tcPr>
          <w:p>
            <w:pPr>
              <w:jc w:val="center"/>
            </w:pPr>
            <w:r>
              <w:rPr>
                <w:b/>
              </w:rPr>
              <w:t>Dette Publique Totale (%)</w:t>
            </w:r>
          </w:p>
        </w:tc>
        <w:tc>
          <w:tcPr>
            <w:tcW w:type="dxa" w:w="1234"/>
          </w:tcPr>
          <w:p>
            <w:pPr>
              <w:jc w:val="center"/>
            </w:pPr>
            <w:r>
              <w:rPr>
                <w:b/>
              </w:rPr>
              <w:t>Dépenses Publiques (%)</w:t>
            </w:r>
          </w:p>
        </w:tc>
        <w:tc>
          <w:tcPr>
            <w:tcW w:type="dxa" w:w="1234"/>
          </w:tcPr>
          <w:p>
            <w:pPr>
              <w:jc w:val="center"/>
            </w:pPr>
            <w:r>
              <w:rPr>
                <w:b/>
              </w:rPr>
              <w:t>Prélèvements Obligatoires (%)</w:t>
            </w:r>
          </w:p>
        </w:tc>
      </w:tr>
      <w:tr>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c>
          <w:tcPr>
            <w:tcW w:type="dxa" w:w="1234"/>
          </w:tcPr>
          <w:p>
            <w:r>
              <w:t>------------------------------</w:t>
            </w:r>
          </w:p>
        </w:tc>
      </w:tr>
      <w:tr>
        <w:tc>
          <w:tcPr>
            <w:tcW w:type="dxa" w:w="1234"/>
          </w:tcPr>
          <w:p>
            <w:r>
              <w:t>2019</w:t>
            </w:r>
          </w:p>
        </w:tc>
        <w:tc>
          <w:tcPr>
            <w:tcW w:type="dxa" w:w="1234"/>
          </w:tcPr>
          <w:p>
            <w:r>
              <w:t>1,4</w:t>
            </w:r>
          </w:p>
        </w:tc>
        <w:tc>
          <w:tcPr>
            <w:tcW w:type="dxa" w:w="1234"/>
          </w:tcPr>
          <w:p>
            <w:r>
              <w:t>1,3</w:t>
            </w:r>
          </w:p>
        </w:tc>
        <w:tc>
          <w:tcPr>
            <w:tcW w:type="dxa" w:w="1234"/>
          </w:tcPr>
          <w:p>
            <w:r>
              <w:t>-3,1</w:t>
            </w:r>
          </w:p>
        </w:tc>
        <w:tc>
          <w:tcPr>
            <w:tcW w:type="dxa" w:w="1234"/>
          </w:tcPr>
          <w:p>
            <w:r>
              <w:t>98,8</w:t>
            </w:r>
          </w:p>
        </w:tc>
        <w:tc>
          <w:tcPr>
            <w:tcW w:type="dxa" w:w="1234"/>
          </w:tcPr>
          <w:p>
            <w:r>
              <w:t>53,8</w:t>
            </w:r>
          </w:p>
        </w:tc>
        <w:tc>
          <w:tcPr>
            <w:tcW w:type="dxa" w:w="1234"/>
          </w:tcPr>
          <w:p>
            <w:r>
              <w:t>44,0</w:t>
            </w:r>
          </w:p>
        </w:tc>
      </w:tr>
      <w:tr>
        <w:tc>
          <w:tcPr>
            <w:tcW w:type="dxa" w:w="1234"/>
          </w:tcPr>
          <w:p>
            <w:r>
              <w:t>2020</w:t>
            </w:r>
          </w:p>
        </w:tc>
        <w:tc>
          <w:tcPr>
            <w:tcW w:type="dxa" w:w="1234"/>
          </w:tcPr>
          <w:p>
            <w:r>
              <w:t>1,3</w:t>
            </w:r>
          </w:p>
        </w:tc>
        <w:tc>
          <w:tcPr>
            <w:tcW w:type="dxa" w:w="1234"/>
          </w:tcPr>
          <w:p>
            <w:r>
              <w:t>1,3</w:t>
            </w:r>
          </w:p>
        </w:tc>
        <w:tc>
          <w:tcPr>
            <w:tcW w:type="dxa" w:w="1234"/>
          </w:tcPr>
          <w:p>
            <w:r>
              <w:t>-2,2</w:t>
            </w:r>
          </w:p>
        </w:tc>
        <w:tc>
          <w:tcPr>
            <w:tcW w:type="dxa" w:w="1234"/>
          </w:tcPr>
          <w:p>
            <w:r>
              <w:t>98,7</w:t>
            </w:r>
          </w:p>
        </w:tc>
        <w:tc>
          <w:tcPr>
            <w:tcW w:type="dxa" w:w="1234"/>
          </w:tcPr>
          <w:p>
            <w:r>
              <w:t>53,4</w:t>
            </w:r>
          </w:p>
        </w:tc>
        <w:tc>
          <w:tcPr>
            <w:tcW w:type="dxa" w:w="1234"/>
          </w:tcPr>
          <w:p>
            <w:r>
              <w:t>44,3</w:t>
            </w:r>
          </w:p>
        </w:tc>
      </w:tr>
    </w:tbl>
    <w:p/>
    <w:p>
      <w:pPr>
        <w:jc w:val="both"/>
      </w:pPr>
      <w:r>
        <w:t>Les prévisions de déficit public et de dette publique pour les années 2019 et 2020 montrent une amélioration modérée du solde public, avec une réduction du déficit structurel. Les dépenses publiques continuent de croître, mais à un rythme ralenti par rapport aux années précédentes. Les prélèvements obligatoires montrent une légère hausse, ce qui pourrait contribuer à la réduction du déficit public. La dette publique reste élevée, mais stable, ce qui montre les efforts continus de redressement des finances publiques.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