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2020</w:t>
      </w:r>
    </w:p>
    <w:p>
      <w:pPr>
        <w:pStyle w:val="Heading1"/>
      </w:pPr>
      <w:r>
        <w:t>Note d'Analyse des Prévisions de Déficit Public et de Dette Publique</w:t>
      </w:r>
    </w:p>
    <w:p>
      <w:pPr>
        <w:pStyle w:val="Heading2"/>
      </w:pPr>
      <w:r>
        <w:t>Contexte Économique</w:t>
      </w:r>
    </w:p>
    <w:p>
      <w:pPr>
        <w:pStyle w:val="Heading3"/>
      </w:pPr>
      <w:r>
        <w:t>Évolution du PIB et de l'Inflation</w:t>
      </w:r>
    </w:p>
    <w:p>
      <w:pPr>
        <w:jc w:val="both"/>
      </w:pPr>
      <w:r>
        <w:t>Le contexte économique pour les années 2019 et 2020 est marqué par une croissance modérée du PIB. Selon le Programme de stabilité 2019-2022 et les prévisions du PLF 2020, la croissance du PIB est estimée à 1,4% en 2019 et 1,3% en 2020. L'inflation, mesurée par l'indice des prix à la consommation harmonisé, est prévue à 1,3% pour les deux années. La Commission européenne et le FMI confirment ces prévisions, avec des taux de croissance légèrement variables mais proches de 1,3% pour les deux années.</w:t>
      </w:r>
    </w:p>
    <w:p>
      <w:pPr>
        <w:pStyle w:val="Heading3"/>
      </w:pPr>
      <w:r>
        <w:t>Environnement International</w:t>
      </w:r>
    </w:p>
    <w:p>
      <w:pPr>
        <w:jc w:val="both"/>
      </w:pPr>
      <w:r>
        <w:t>Les prévisions de la Commission européenne et du PLF 2020 indiquent une demande mondiale de biens adressée à la France de 2,7% en 2019 et 2,9% en 2020, avec un taux de change USD/EUR stable autour de 1,13 et un prix du Brent en USD oscillant entre 63 et 65 dollars. Ces éléments montrent un environnement international relativement stable, mais avec des dynamiques de croissance modérées.</w:t>
      </w:r>
    </w:p>
    <w:p>
      <w:pPr>
        <w:pStyle w:val="Heading2"/>
      </w:pPr>
      <w:r>
        <w:t>Déficit Public</w:t>
      </w:r>
    </w:p>
    <w:p>
      <w:pPr>
        <w:pStyle w:val="Heading3"/>
      </w:pPr>
      <w:r>
        <w:t>Prévisions de Solde Public</w:t>
      </w:r>
    </w:p>
    <w:p>
      <w:pPr>
        <w:jc w:val="both"/>
      </w:pPr>
      <w:r>
        <w:t>Le solde public, qui représente le déficit ou l'excédent budgétaire en pourcentage du PIB, est prévu à -3,1% en 2019 et -2,2% en 2020. Cette amélioration en 2020 est principalement due à une réduction des mesures ponctuelles et temporaires, ainsi qu'à une stabilisation des dépenses publiques.</w:t>
      </w:r>
    </w:p>
    <w:p>
      <w:pPr>
        <w:pStyle w:val="Heading3"/>
      </w:pPr>
      <w:r>
        <w:t>Contributions des Sous-Secteurs</w:t>
      </w:r>
    </w:p>
    <w:p>
      <w:pPr>
        <w:jc w:val="both"/>
      </w:pPr>
      <w:r>
        <w:t>Le solde public est influencé par les contributions des différents sous-secteurs des administrations publiques. En 2019, le solde de l'État est prévu à -3,5%, avec une amélioration à -4,0% en 2020. Les organismes divers d'administration centrale (ODAC) montrent un solde positif de 0,9% en 2020, tandis que les administrations publiques locales (APUL) et les administrations de sécurité sociale (ASSO) maintiennent des soldes positifs de 0,2% et 0,7% respectivement en 2020.</w:t>
      </w:r>
    </w:p>
    <w:p>
      <w:pPr>
        <w:pStyle w:val="Heading3"/>
      </w:pPr>
      <w:r>
        <w:t>Solde Structurel et Conjoncturel</w:t>
      </w:r>
    </w:p>
    <w:p>
      <w:pPr>
        <w:jc w:val="both"/>
      </w:pPr>
      <w:r>
        <w:t>Le solde structurel, qui exclut les effets conjoncturels et les mesures ponctuelles, est prévu à -2,2% en 2019 et 2020. L'ajustement structurel, qui mesure l'effort de redressement, est de 0,1 point de PIB en 2019 et 0,0 point en 2020. Le solde conjoncturel, qui reflète les variations cycliques de l'économie, est prévu à 0,0% en 2019 et 0,1% en 2020.</w:t>
      </w:r>
    </w:p>
    <w:p>
      <w:pPr>
        <w:pStyle w:val="Heading2"/>
      </w:pPr>
      <w:r>
        <w:t>Dépenses Publiques</w:t>
      </w:r>
    </w:p>
    <w:p>
      <w:pPr>
        <w:pStyle w:val="Heading3"/>
      </w:pPr>
      <w:r>
        <w:t>Évolution des Dépenses Publiques</w:t>
      </w:r>
    </w:p>
    <w:p>
      <w:pPr>
        <w:jc w:val="both"/>
      </w:pPr>
      <w:r>
        <w:t>La dépense publique hors crédits d'impôt est prévue à 54,4% du PIB en 2018, diminuant progressivement à 53,8% en 2019 et 53,4% en 2020. En volume, la croissance des dépenses publiques est de 0,7% en 2019 et 0,7% en 2020, après une baisse de -0,3% en 2018. En valeur, la progression est de 1,7% pour les deux années.</w:t>
      </w:r>
    </w:p>
    <w:p>
      <w:pPr>
        <w:pStyle w:val="Heading3"/>
      </w:pPr>
      <w:r>
        <w:t>Contributions des Sous-Secteurs</w:t>
      </w:r>
    </w:p>
    <w:p>
      <w:pPr>
        <w:jc w:val="both"/>
      </w:pPr>
      <w:r>
        <w:t>Les administrations publiques locales (APUL) et les administrations de sécurité sociale (ASSO) montrent une progression stable des dépenses, tandis que les organismes divers d'administration centrale (ODAC) voient une augmentation significative de leurs dépenses en 2020.</w:t>
      </w:r>
    </w:p>
    <w:p>
      <w:pPr>
        <w:pStyle w:val="Heading2"/>
      </w:pPr>
      <w:r>
        <w:t>Recettes Publiques</w:t>
      </w:r>
    </w:p>
    <w:p>
      <w:pPr>
        <w:pStyle w:val="Heading3"/>
      </w:pPr>
      <w:r>
        <w:t>Prélèvements Obligatoires</w:t>
      </w:r>
    </w:p>
    <w:p>
      <w:pPr>
        <w:jc w:val="both"/>
      </w:pPr>
      <w:r>
        <w:t>Les prélèvements obligatoires, qui incluent les impôts et les cotisations sociales, sont prévus à 45,0% du PIB en 2018, diminuant à 44,0% en 2019 et remontant légèrement à 44,3% en 2020. Cette évolution reflète les efforts de réduction des prélèvements obligatoires pour stimuler l'économie.</w:t>
      </w:r>
    </w:p>
    <w:p>
      <w:pPr>
        <w:pStyle w:val="Heading2"/>
      </w:pPr>
      <w:r>
        <w:t>Dette Publique</w:t>
      </w:r>
    </w:p>
    <w:p>
      <w:pPr>
        <w:pStyle w:val="Heading3"/>
      </w:pPr>
      <w:r>
        <w:t>Prévisions de Dette Publique</w:t>
      </w:r>
    </w:p>
    <w:p>
      <w:pPr>
        <w:jc w:val="both"/>
      </w:pPr>
      <w:r>
        <w:t>La dette publique totale est prévue à 98,4% du PIB en 2018, augmentant à 98,8% en 2019 et se stabilisant à 98,7% en 2020. La dette publique hors soutien à la zone euro suit une tendance similaire, passant de 95,6% en 2018 à 96,1% en 2019 et 2020.</w:t>
      </w:r>
    </w:p>
    <w:p>
      <w:pPr>
        <w:pStyle w:val="Heading3"/>
      </w:pPr>
      <w:r>
        <w:t>Contributions des Sous-Secteurs</w:t>
      </w:r>
    </w:p>
    <w:p>
      <w:pPr>
        <w:jc w:val="both"/>
      </w:pPr>
      <w:r>
        <w:t>La dette publique est influencée par les contributions des différents sous-secteurs des administrations publiques. Les administrations publiques locales et les administrations de sécurité sociale montrent une stabilité relative de leurs dettes, tandis que les organismes divers d'administration centrale voient une légère augmentation de leur dette en 2020.</w:t>
      </w:r>
    </w:p>
    <w:p>
      <w:pPr>
        <w:pStyle w:val="Heading2"/>
      </w:pPr>
      <w:r>
        <w:t>Perspectives</w:t>
      </w:r>
    </w:p>
    <w:p>
      <w:pPr>
        <w:pStyle w:val="Heading3"/>
      </w:pPr>
      <w:r>
        <w:t>Scénarios à Législation et Pratiques Inchangées</w:t>
      </w:r>
    </w:p>
    <w:p>
      <w:pPr>
        <w:jc w:val="both"/>
      </w:pPr>
      <w:r>
        <w:t>Les prévisions de la Commission européenne et du PLF 2020 montrent une trajectoire de croissance modérée du PIB et une stabilisation du déficit public. La croissance réelle du PIB corrigée des jours ouvrables est prévue à 1,4% en 2019 et 1,3% en 2020. Le déflateur du PIB est estimé à 1,3% pour les deux années.</w:t>
      </w:r>
    </w:p>
    <w:p>
      <w:pPr>
        <w:pStyle w:val="Heading3"/>
      </w:pPr>
      <w:r>
        <w:t>Efforts de Redressement</w:t>
      </w:r>
    </w:p>
    <w:p>
      <w:pPr>
        <w:jc w:val="both"/>
      </w:pPr>
      <w:r>
        <w:t>La stratégie de redressement des finances publiques vise à réduire le déficit structurel, qui a diminué de -0,1 point de PIB entre 2017 et 2018, et continuerait à diminuer en 2019 et 2020. L'ajustement structurel de +0,1 point de PIB en 2019 et 2020 est porté par un effort en dépense, une fois neutralisé l'impact de la création de France Compétences.</w:t>
      </w:r>
    </w:p>
    <w:p>
      <w:pPr>
        <w:pStyle w:val="Heading3"/>
      </w:pPr>
      <w:r>
        <w:t>Conclusion</w:t>
      </w:r>
    </w:p>
    <w:p>
      <w:pPr>
        <w:jc w:val="both"/>
      </w:pPr>
      <w:r>
        <w:t>Les prévisions de déficit public et de dette publique pour les années 2019 et 2020 montrent une amélioration modérée, principalement due à une stabilisation des dépenses publiques et à une réduction des mesures ponctuelles et temporaires. La dette publique reste élevée, mais montre des signes de stabilisation. Les efforts de redressement des finances publiques, visant à réduire le déficit structurel, sont en cours et montrent des résultats positifs. Cependant, la trajectoire de croissance modérée du PIB et les défis économiques internationaux nécessitent une vigilance continue pour maintenir la stabilité financière.</w:t>
      </w:r>
    </w:p>
    <w:p>
      <w:pPr>
        <w:pStyle w:val="Heading3"/>
      </w:pPr>
      <w:r>
        <w:t>Tableaux de Données Pertinents</w:t>
      </w:r>
    </w:p>
    <w:p>
      <w:pPr>
        <w:pStyle w:val="Heading4"/>
      </w:pPr>
      <w:r>
        <w:t xml:space="preserve"> Tableau 1: Prévisions de Solde Public et Dépenses Publiques</w:t>
      </w:r>
    </w:p>
    <w:p>
      <w:pPr>
        <w:pStyle w:val="Heading4"/>
      </w:pPr>
      <w:r>
        <w:t xml:space="preserve"> Tableau 2: Prévisions de Dette Publique</w:t>
      </w:r>
    </w:p>
    <w:p>
      <w:pPr>
        <w:pStyle w:val="Heading4"/>
      </w:pPr>
      <w:r>
        <w:t xml:space="preserve"> Tableau 3: Prévisions de Croissance du PIB et Inflation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Année</w:t>
            </w:r>
          </w:p>
        </w:tc>
        <w:tc>
          <w:tcPr>
            <w:tcW w:type="dxa" w:w="2160"/>
          </w:tcPr>
          <w:p>
            <w:pPr>
              <w:jc w:val="center"/>
            </w:pPr>
            <w:r>
              <w:rPr>
                <w:b/>
              </w:rPr>
              <w:t>Solde Public (en % du PIB)</w:t>
            </w:r>
          </w:p>
        </w:tc>
        <w:tc>
          <w:tcPr>
            <w:tcW w:type="dxa" w:w="2160"/>
          </w:tcPr>
          <w:p>
            <w:pPr>
              <w:jc w:val="center"/>
            </w:pPr>
            <w:r>
              <w:rPr>
                <w:b/>
              </w:rPr>
              <w:t>Dépense Publique hors CI (en % du PIB)</w:t>
            </w:r>
          </w:p>
        </w:tc>
        <w:tc>
          <w:tcPr>
            <w:tcW w:type="dxa" w:w="2160"/>
          </w:tcPr>
          <w:p>
            <w:pPr>
              <w:jc w:val="center"/>
            </w:pPr>
            <w:r>
              <w:rPr>
                <w:b/>
              </w:rPr>
              <w:t>Évolution en Volume (en %)</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2017</w:t>
            </w:r>
          </w:p>
        </w:tc>
        <w:tc>
          <w:tcPr>
            <w:tcW w:type="dxa" w:w="2160"/>
          </w:tcPr>
          <w:p>
            <w:r>
              <w:t>-2,8</w:t>
            </w:r>
          </w:p>
        </w:tc>
        <w:tc>
          <w:tcPr>
            <w:tcW w:type="dxa" w:w="2160"/>
          </w:tcPr>
          <w:p>
            <w:r>
              <w:t>55,0</w:t>
            </w:r>
          </w:p>
        </w:tc>
        <w:tc>
          <w:tcPr>
            <w:tcW w:type="dxa" w:w="2160"/>
          </w:tcPr>
          <w:p>
            <w:r>
              <w:t>1,4</w:t>
            </w:r>
          </w:p>
        </w:tc>
      </w:tr>
      <w:tr>
        <w:tc>
          <w:tcPr>
            <w:tcW w:type="dxa" w:w="2160"/>
          </w:tcPr>
          <w:p>
            <w:r>
              <w:t>2018</w:t>
            </w:r>
          </w:p>
        </w:tc>
        <w:tc>
          <w:tcPr>
            <w:tcW w:type="dxa" w:w="2160"/>
          </w:tcPr>
          <w:p>
            <w:r>
              <w:t>-2,5</w:t>
            </w:r>
          </w:p>
        </w:tc>
        <w:tc>
          <w:tcPr>
            <w:tcW w:type="dxa" w:w="2160"/>
          </w:tcPr>
          <w:p>
            <w:r>
              <w:t>54,4</w:t>
            </w:r>
          </w:p>
        </w:tc>
        <w:tc>
          <w:tcPr>
            <w:tcW w:type="dxa" w:w="2160"/>
          </w:tcPr>
          <w:p>
            <w:r>
              <w:t>-0,3</w:t>
            </w:r>
          </w:p>
        </w:tc>
      </w:tr>
      <w:tr>
        <w:tc>
          <w:tcPr>
            <w:tcW w:type="dxa" w:w="2160"/>
          </w:tcPr>
          <w:p>
            <w:r>
              <w:t>2019</w:t>
            </w:r>
          </w:p>
        </w:tc>
        <w:tc>
          <w:tcPr>
            <w:tcW w:type="dxa" w:w="2160"/>
          </w:tcPr>
          <w:p>
            <w:r>
              <w:t>-3,1</w:t>
            </w:r>
          </w:p>
        </w:tc>
        <w:tc>
          <w:tcPr>
            <w:tcW w:type="dxa" w:w="2160"/>
          </w:tcPr>
          <w:p>
            <w:r>
              <w:t>53,8</w:t>
            </w:r>
          </w:p>
        </w:tc>
        <w:tc>
          <w:tcPr>
            <w:tcW w:type="dxa" w:w="2160"/>
          </w:tcPr>
          <w:p>
            <w:r>
              <w:t>0,7</w:t>
            </w:r>
          </w:p>
        </w:tc>
      </w:tr>
      <w:tr>
        <w:tc>
          <w:tcPr>
            <w:tcW w:type="dxa" w:w="2160"/>
          </w:tcPr>
          <w:p>
            <w:r>
              <w:t>2020</w:t>
            </w:r>
          </w:p>
        </w:tc>
        <w:tc>
          <w:tcPr>
            <w:tcW w:type="dxa" w:w="2160"/>
          </w:tcPr>
          <w:p>
            <w:r>
              <w:t>-2,2</w:t>
            </w:r>
          </w:p>
        </w:tc>
        <w:tc>
          <w:tcPr>
            <w:tcW w:type="dxa" w:w="2160"/>
          </w:tcPr>
          <w:p>
            <w:r>
              <w:t>53,4</w:t>
            </w:r>
          </w:p>
        </w:tc>
        <w:tc>
          <w:tcPr>
            <w:tcW w:type="dxa" w:w="2160"/>
          </w:tcPr>
          <w:p>
            <w:r>
              <w:t>0,7</w:t>
            </w:r>
          </w:p>
        </w:tc>
      </w:tr>
      <w:tr>
        <w:tc>
          <w:tcPr>
            <w:tcW w:type="dxa" w:w="2160"/>
          </w:tcPr>
          <w:p>
            <w:r>
              <w:t>2021</w:t>
            </w:r>
          </w:p>
        </w:tc>
        <w:tc>
          <w:tcPr>
            <w:tcW w:type="dxa" w:w="2160"/>
          </w:tcPr>
          <w:p>
            <w:r>
              <w:t>-1,8</w:t>
            </w:r>
          </w:p>
        </w:tc>
        <w:tc>
          <w:tcPr>
            <w:tcW w:type="dxa" w:w="2160"/>
          </w:tcPr>
          <w:p>
            <w:r>
              <w:t>52,9</w:t>
            </w:r>
          </w:p>
        </w:tc>
        <w:tc>
          <w:tcPr>
            <w:tcW w:type="dxa" w:w="2160"/>
          </w:tcPr>
          <w:p>
            <w:r>
              <w:t>0,5</w:t>
            </w:r>
          </w:p>
        </w:tc>
      </w:tr>
      <w:tr>
        <w:tc>
          <w:tcPr>
            <w:tcW w:type="dxa" w:w="2160"/>
          </w:tcPr>
          <w:p>
            <w:r>
              <w:t>2022</w:t>
            </w:r>
          </w:p>
        </w:tc>
        <w:tc>
          <w:tcPr>
            <w:tcW w:type="dxa" w:w="2160"/>
          </w:tcPr>
          <w:p>
            <w:r>
              <w:t>-1,5</w:t>
            </w:r>
          </w:p>
        </w:tc>
        <w:tc>
          <w:tcPr>
            <w:tcW w:type="dxa" w:w="2160"/>
          </w:tcPr>
          <w:p>
            <w:r>
              <w:t>52,3</w:t>
            </w:r>
          </w:p>
        </w:tc>
        <w:tc>
          <w:tcPr>
            <w:tcW w:type="dxa" w:w="2160"/>
          </w:tcPr>
          <w:p>
            <w:r>
              <w:t>0,2</w:t>
            </w:r>
          </w:p>
        </w:tc>
      </w:tr>
      <w:tr>
        <w:tc>
          <w:tcPr>
            <w:tcW w:type="dxa" w:w="2160"/>
          </w:tcPr>
          <w:p>
            <w:r>
              <w:t>2023</w:t>
            </w:r>
          </w:p>
        </w:tc>
        <w:tc>
          <w:tcPr>
            <w:tcW w:type="dxa" w:w="2160"/>
          </w:tcPr>
          <w:p>
            <w:r>
              <w:t>-1,1</w:t>
            </w:r>
          </w:p>
        </w:tc>
        <w:tc>
          <w:tcPr>
            <w:tcW w:type="dxa" w:w="2160"/>
          </w:tcPr>
          <w:p>
            <w:r>
              <w:t>51,9</w:t>
            </w:r>
          </w:p>
        </w:tc>
        <w:tc>
          <w:tcPr>
            <w:tcW w:type="dxa" w:w="2160"/>
          </w:tcPr>
          <w:p>
            <w:r>
              <w:t>0,4</w:t>
            </w:r>
          </w:p>
        </w:tc>
      </w:tr>
      <w:tr>
        <w:tc>
          <w:tcPr>
            <w:tcW w:type="dxa" w:w="2160"/>
          </w:tcPr>
          <w:p>
            <w:r>
              <w:t>Année</w:t>
            </w:r>
          </w:p>
        </w:tc>
        <w:tc>
          <w:tcPr>
            <w:tcW w:type="dxa" w:w="2160"/>
          </w:tcPr>
          <w:p>
            <w:r>
              <w:t>Dette Publique Totale (en % du PIB)</w:t>
            </w:r>
          </w:p>
        </w:tc>
        <w:tc>
          <w:tcPr>
            <w:tcW w:type="dxa" w:w="2160"/>
          </w:tcPr>
          <w:p>
            <w:r>
              <w:t>Dette Publique hors Soutien à la Zone Euro (en % du PIB)</w:t>
            </w:r>
          </w:p>
        </w:tc>
        <w:tc>
          <w:tcPr>
            <w:tcW w:type="dxa" w:w="2160"/>
          </w:tcPr>
          <w:p/>
        </w:tc>
      </w:tr>
      <w:tr>
        <w:tc>
          <w:tcPr>
            <w:tcW w:type="dxa" w:w="2160"/>
          </w:tcPr>
          <w:p>
            <w:r>
              <w:t>-------</w:t>
            </w:r>
          </w:p>
        </w:tc>
        <w:tc>
          <w:tcPr>
            <w:tcW w:type="dxa" w:w="2160"/>
          </w:tcPr>
          <w:p>
            <w:r>
              <w:t>--------------------------------------</w:t>
            </w:r>
          </w:p>
        </w:tc>
        <w:tc>
          <w:tcPr>
            <w:tcW w:type="dxa" w:w="2160"/>
          </w:tcPr>
          <w:p>
            <w:r>
              <w:t>---------------------------------------------------------</w:t>
            </w:r>
          </w:p>
        </w:tc>
        <w:tc>
          <w:tcPr>
            <w:tcW w:type="dxa" w:w="2160"/>
          </w:tcPr>
          <w:p/>
        </w:tc>
      </w:tr>
      <w:tr>
        <w:tc>
          <w:tcPr>
            <w:tcW w:type="dxa" w:w="2160"/>
          </w:tcPr>
          <w:p>
            <w:r>
              <w:t>2018</w:t>
            </w:r>
          </w:p>
        </w:tc>
        <w:tc>
          <w:tcPr>
            <w:tcW w:type="dxa" w:w="2160"/>
          </w:tcPr>
          <w:p>
            <w:r>
              <w:t>98,4</w:t>
            </w:r>
          </w:p>
        </w:tc>
        <w:tc>
          <w:tcPr>
            <w:tcW w:type="dxa" w:w="2160"/>
          </w:tcPr>
          <w:p>
            <w:r>
              <w:t>95,6</w:t>
            </w:r>
          </w:p>
        </w:tc>
        <w:tc>
          <w:tcPr>
            <w:tcW w:type="dxa" w:w="2160"/>
          </w:tcPr>
          <w:p/>
        </w:tc>
      </w:tr>
      <w:tr>
        <w:tc>
          <w:tcPr>
            <w:tcW w:type="dxa" w:w="2160"/>
          </w:tcPr>
          <w:p>
            <w:r>
              <w:t>2019</w:t>
            </w:r>
          </w:p>
        </w:tc>
        <w:tc>
          <w:tcPr>
            <w:tcW w:type="dxa" w:w="2160"/>
          </w:tcPr>
          <w:p>
            <w:r>
              <w:t>98,8</w:t>
            </w:r>
          </w:p>
        </w:tc>
        <w:tc>
          <w:tcPr>
            <w:tcW w:type="dxa" w:w="2160"/>
          </w:tcPr>
          <w:p>
            <w:r>
              <w:t>96,1</w:t>
            </w:r>
          </w:p>
        </w:tc>
        <w:tc>
          <w:tcPr>
            <w:tcW w:type="dxa" w:w="2160"/>
          </w:tcPr>
          <w:p/>
        </w:tc>
      </w:tr>
      <w:tr>
        <w:tc>
          <w:tcPr>
            <w:tcW w:type="dxa" w:w="2160"/>
          </w:tcPr>
          <w:p>
            <w:r>
              <w:t>2020</w:t>
            </w:r>
          </w:p>
        </w:tc>
        <w:tc>
          <w:tcPr>
            <w:tcW w:type="dxa" w:w="2160"/>
          </w:tcPr>
          <w:p>
            <w:r>
              <w:t>98,7</w:t>
            </w:r>
          </w:p>
        </w:tc>
        <w:tc>
          <w:tcPr>
            <w:tcW w:type="dxa" w:w="2160"/>
          </w:tcPr>
          <w:p>
            <w:r>
              <w:t>96,1</w:t>
            </w:r>
          </w:p>
        </w:tc>
        <w:tc>
          <w:tcPr>
            <w:tcW w:type="dxa" w:w="2160"/>
          </w:tcPr>
          <w:p/>
        </w:tc>
      </w:tr>
      <w:tr>
        <w:tc>
          <w:tcPr>
            <w:tcW w:type="dxa" w:w="2160"/>
          </w:tcPr>
          <w:p>
            <w:r>
              <w:t>Année</w:t>
            </w:r>
          </w:p>
        </w:tc>
        <w:tc>
          <w:tcPr>
            <w:tcW w:type="dxa" w:w="2160"/>
          </w:tcPr>
          <w:p>
            <w:r>
              <w:t>Croissance du PIB (en %)</w:t>
            </w:r>
          </w:p>
        </w:tc>
        <w:tc>
          <w:tcPr>
            <w:tcW w:type="dxa" w:w="2160"/>
          </w:tcPr>
          <w:p>
            <w:r>
              <w:t>Inflation (IPC, en %)</w:t>
            </w:r>
          </w:p>
        </w:tc>
        <w:tc>
          <w:tcPr>
            <w:tcW w:type="dxa" w:w="2160"/>
          </w:tcPr>
          <w:p/>
        </w:tc>
      </w:tr>
      <w:tr>
        <w:tc>
          <w:tcPr>
            <w:tcW w:type="dxa" w:w="2160"/>
          </w:tcPr>
          <w:p>
            <w:r>
              <w:t>-------</w:t>
            </w:r>
          </w:p>
        </w:tc>
        <w:tc>
          <w:tcPr>
            <w:tcW w:type="dxa" w:w="2160"/>
          </w:tcPr>
          <w:p>
            <w:r>
              <w:t>---------------------------</w:t>
            </w:r>
          </w:p>
        </w:tc>
        <w:tc>
          <w:tcPr>
            <w:tcW w:type="dxa" w:w="2160"/>
          </w:tcPr>
          <w:p>
            <w:r>
              <w:t>-----------------------</w:t>
            </w:r>
          </w:p>
        </w:tc>
        <w:tc>
          <w:tcPr>
            <w:tcW w:type="dxa" w:w="2160"/>
          </w:tcPr>
          <w:p/>
        </w:tc>
      </w:tr>
      <w:tr>
        <w:tc>
          <w:tcPr>
            <w:tcW w:type="dxa" w:w="2160"/>
          </w:tcPr>
          <w:p>
            <w:r>
              <w:t>2019</w:t>
            </w:r>
          </w:p>
        </w:tc>
        <w:tc>
          <w:tcPr>
            <w:tcW w:type="dxa" w:w="2160"/>
          </w:tcPr>
          <w:p>
            <w:r>
              <w:t>1,4</w:t>
            </w:r>
          </w:p>
        </w:tc>
        <w:tc>
          <w:tcPr>
            <w:tcW w:type="dxa" w:w="2160"/>
          </w:tcPr>
          <w:p>
            <w:r>
              <w:t>1,3</w:t>
            </w:r>
          </w:p>
        </w:tc>
        <w:tc>
          <w:tcPr>
            <w:tcW w:type="dxa" w:w="2160"/>
          </w:tcPr>
          <w:p/>
        </w:tc>
      </w:tr>
      <w:tr>
        <w:tc>
          <w:tcPr>
            <w:tcW w:type="dxa" w:w="2160"/>
          </w:tcPr>
          <w:p>
            <w:r>
              <w:t>2020</w:t>
            </w:r>
          </w:p>
        </w:tc>
        <w:tc>
          <w:tcPr>
            <w:tcW w:type="dxa" w:w="2160"/>
          </w:tcPr>
          <w:p>
            <w:r>
              <w:t>1,3</w:t>
            </w:r>
          </w:p>
        </w:tc>
        <w:tc>
          <w:tcPr>
            <w:tcW w:type="dxa" w:w="2160"/>
          </w:tcPr>
          <w:p>
            <w:r>
              <w:t>1,3</w:t>
            </w:r>
          </w:p>
        </w:tc>
        <w:tc>
          <w:tcPr>
            <w:tcW w:type="dxa" w:w="2160"/>
          </w:tcPr>
          <w:p/>
        </w:tc>
      </w:tr>
    </w:tbl>
    <w:p/>
    <w:p>
      <w:pPr>
        <w:jc w:val="both"/>
      </w:pPr>
      <w:r>
        <w:t>Ces tableaux résument les prévisions clés pour le solde public, les dépenses publiques, la dette publique, et les indicateurs économiques, offrant une vue d'ensemble des dynamiques financières et économiques pour les années 2019 et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