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2022</w:t>
      </w:r>
    </w:p>
    <w:p>
      <w:pPr>
        <w:pStyle w:val="Heading1"/>
      </w:pPr>
      <w:r>
        <w:t>Note d'Analyse des Finances Publiques pour 2022</w:t>
      </w:r>
    </w:p>
    <w:p>
      <w:pPr>
        <w:pStyle w:val="Heading2"/>
      </w:pPr>
      <w:r>
        <w:t>Contexte Économique</w:t>
      </w:r>
    </w:p>
    <w:p>
      <w:pPr>
        <w:pStyle w:val="Heading3"/>
      </w:pPr>
      <w:r>
        <w:t>Amélioration du Marché du Travail</w:t>
      </w:r>
    </w:p>
    <w:p>
      <w:pPr>
        <w:jc w:val="both"/>
      </w:pPr>
      <w:r>
        <w:t>En 2021, la situation sur le marché du travail s'est nettement améliorée, avec un fort rebond de l'emploi au premier semestre. Cette reprise a permis à l'emploi salarié de retrouver, puis de dépasser son niveau pré-crise. Depuis le début du quinquennat, près de 827 000 emplois salariés ont été créés, malgré les perturbations causées par la crise sanitaire.</w:t>
      </w:r>
    </w:p>
    <w:p>
      <w:pPr>
        <w:pStyle w:val="Heading3"/>
      </w:pPr>
      <w:r>
        <w:t>Croissance Économique</w:t>
      </w:r>
    </w:p>
    <w:p>
      <w:pPr>
        <w:jc w:val="both"/>
      </w:pPr>
      <w:r>
        <w:t>Le projet de loi de finances (PLF) pour 2022 table sur un taux de croissance du PIB de 4,0 % pour 2022, ce qui représente une hausse cumulée de l'activité de +1,5 % entre 2019 et 2022. Cette prévision est en ligne avec celle de la Banque de France et se situe dans la fourchette des prévisions des autres instituts économiques. Par exemple, la Commission Européenne estime une hausse de l'activité française à +1,6 %, tandis que l'OCDE et le FMI prévoient des hausses de +1,7 % et +1,4 % respectivement.</w:t>
      </w:r>
    </w:p>
    <w:p>
      <w:pPr>
        <w:pStyle w:val="Heading3"/>
      </w:pPr>
      <w:r>
        <w:t>Inflation</w:t>
      </w:r>
    </w:p>
    <w:p>
      <w:pPr>
        <w:jc w:val="both"/>
      </w:pPr>
      <w:r>
        <w:t>L'indice des prix à la consommation harmonisé est prévu à 1,7 % pour 2021 et 1,6 % pour 2022, selon le PLF. Ces chiffres sont similaires à ceux de la Commission Européenne, qui prévoit une inflation de 1,6 % pour 2021 et 1,2 % pour 2022.</w:t>
      </w:r>
    </w:p>
    <w:p>
      <w:pPr>
        <w:pStyle w:val="Heading2"/>
      </w:pPr>
      <w:r>
        <w:t>Déficit Public</w:t>
      </w:r>
    </w:p>
    <w:p>
      <w:pPr>
        <w:pStyle w:val="Heading3"/>
      </w:pPr>
      <w:r>
        <w:t>Évolution du Déficit</w:t>
      </w:r>
    </w:p>
    <w:p>
      <w:pPr>
        <w:jc w:val="both"/>
      </w:pPr>
      <w:r>
        <w:t>Le déficit public s'élèverait à 8,4 % du PIB en 2021, en raison du rebond de l'activité économique et des mesures de soutien d'urgence. En 2022, le déficit devrait se réduire fortement à 4,8 % du PIB, grâce à la reprise économique et à la normalisation progressive des dispositifs de soutien.</w:t>
      </w:r>
    </w:p>
    <w:p>
      <w:pPr>
        <w:pStyle w:val="Heading3"/>
      </w:pPr>
      <w:r>
        <w:t>Mesures de Soutien</w:t>
      </w:r>
    </w:p>
    <w:p>
      <w:pPr>
        <w:jc w:val="both"/>
      </w:pPr>
      <w:r>
        <w:t>Les mesures de soutien d'urgence et les dépenses exceptionnelles de santé ont été maintenues en 2021, avec un coût de -63,8 Md€. La campagne de vaccination a permis une amélioration progressive de la situation sanitaire, permettant la sortie des principaux dispositifs de soutien d'urgence.</w:t>
      </w:r>
    </w:p>
    <w:p>
      <w:pPr>
        <w:pStyle w:val="Heading2"/>
      </w:pPr>
      <w:r>
        <w:t>Dépenses Publiques</w:t>
      </w:r>
    </w:p>
    <w:p>
      <w:pPr>
        <w:pStyle w:val="Heading3"/>
      </w:pPr>
      <w:r>
        <w:t>Plan France Relance</w:t>
      </w:r>
    </w:p>
    <w:p>
      <w:pPr>
        <w:jc w:val="both"/>
      </w:pPr>
      <w:r>
        <w:t>Le gouvernement a mis en œuvre le plan France Relance d'un montant total de 100 Md€, financé à hauteur de 40 Md€ par l'Union européenne. Ce plan vise à soutenir la reprise économique et à renforcer la résilience des secteurs les plus touchés par la crise.</w:t>
      </w:r>
    </w:p>
    <w:p>
      <w:pPr>
        <w:pStyle w:val="Heading3"/>
      </w:pPr>
      <w:r>
        <w:t>Dépenses de Consommation et Investissement</w:t>
      </w:r>
    </w:p>
    <w:p>
      <w:pPr>
        <w:jc w:val="both"/>
      </w:pPr>
      <w:r>
        <w:t>Le PLF pour 2022 prévoit une augmentation de la dépense de consommation des ménages de 7,0 % et une hausse de la FBCF totale de 4,7 %. Les investissements des entreprises non financières devraient augmenter de 5,1 %.</w:t>
      </w:r>
    </w:p>
    <w:p>
      <w:pPr>
        <w:pStyle w:val="Heading2"/>
      </w:pPr>
      <w:r>
        <w:t>Recettes Publiques</w:t>
      </w:r>
    </w:p>
    <w:p>
      <w:pPr>
        <w:pStyle w:val="Heading3"/>
      </w:pPr>
      <w:r>
        <w:t>Recettes Fiscales et Sociales</w:t>
      </w:r>
    </w:p>
    <w:p>
      <w:pPr>
        <w:jc w:val="both"/>
      </w:pPr>
      <w:r>
        <w:t>La reprise économique devrait entraîner une augmentation des recettes fiscales et sociales. Les stabilisateurs automatiques, qui ont joué un rôle crucial pendant la crise, devraient voir leur effet s'atténuer avec la reprise de l'activité économique.</w:t>
      </w:r>
    </w:p>
    <w:p>
      <w:pPr>
        <w:pStyle w:val="Heading2"/>
      </w:pPr>
      <w:r>
        <w:t>Dette Publique</w:t>
      </w:r>
    </w:p>
    <w:p>
      <w:pPr>
        <w:pStyle w:val="Heading3"/>
      </w:pPr>
      <w:r>
        <w:t>Évolution de la Dette</w:t>
      </w:r>
    </w:p>
    <w:p>
      <w:pPr>
        <w:jc w:val="both"/>
      </w:pPr>
      <w:r>
        <w:t>La dette publique devrait atteindre 115,6 % du PIB en 2021, en raison de l'intervention publique massive pour limiter les effets de la crise. En 2022, la dette publique est prévue à 114,0 % du PIB, grâce à la reprise économique et à la réduction du déficit public.</w:t>
      </w:r>
    </w:p>
    <w:p>
      <w:pPr>
        <w:pStyle w:val="Heading3"/>
      </w:pPr>
      <w:r>
        <w:t>Comparaison Internationale</w:t>
      </w:r>
    </w:p>
    <w:p>
      <w:pPr>
        <w:jc w:val="both"/>
      </w:pPr>
      <w:r>
        <w:t>La dette publique française reste élevée par rapport à celle de certains pays de la zone euro, mais elle est similaire à celle de pays comme l'Italie et l'Espagne, qui ont également été fortement touchés par la crise sanitaire.</w:t>
      </w:r>
    </w:p>
    <w:p>
      <w:pPr>
        <w:pStyle w:val="Heading2"/>
      </w:pPr>
      <w:r>
        <w:t>Perspectives</w:t>
      </w:r>
    </w:p>
    <w:p>
      <w:pPr>
        <w:pStyle w:val="Heading3"/>
      </w:pPr>
      <w:r>
        <w:t>Scénarios Alternatifs</w:t>
      </w:r>
    </w:p>
    <w:p>
      <w:pPr>
        <w:jc w:val="both"/>
      </w:pPr>
      <w:r>
        <w:t>Deux scénarios principaux sont envisagés pour 2022 :</w:t>
      </w:r>
    </w:p>
    <w:p>
      <w:pPr>
        <w:jc w:val="both"/>
      </w:pPr>
      <w:r>
        <w:t>1. **Scénario Ricardien** : L'ensemble de l'épargne covid accumulée est thésaurisée et jamais désépargnée, en raison de comportements de précaution des ménages face au niveau élevé de la dette publique. 2. **Scénario de Désépargne** : Les ménages consomment 1/5 de leur sur-épargne en 2022, ce qui serait favorable pour la croissance, le marché du travail et les finances publiques, mais pourrait entraîner une dynamique des prix plus élevée.</w:t>
      </w:r>
    </w:p>
    <w:p>
      <w:pPr>
        <w:pStyle w:val="Heading3"/>
      </w:pPr>
      <w:r>
        <w:t>Conclusion</w:t>
      </w:r>
    </w:p>
    <w:p>
      <w:pPr>
        <w:jc w:val="both"/>
      </w:pPr>
      <w:r>
        <w:t>La reprise économique en 2021 et 2022 devrait permettre une réduction significative du déficit public et une stabilisation de la dette publique. Les mesures de soutien d'urgence et les dépenses exceptionnelles de santé ont joué un rôle crucial dans la préservation de la capacité de rebond de l'économie. Cependant, la persistance de l'épargne covid et les comportements de précaution des ménages pourraient influencer les perspectives économiques et financières à moyen terme.</w:t>
      </w:r>
    </w:p>
    <w:p>
      <w:pPr>
        <w:pStyle w:val="Heading3"/>
      </w:pPr>
      <w:r>
        <w:t>Tableaux de Données</w:t>
      </w:r>
    </w:p>
    <w:p>
      <w:pPr>
        <w:pStyle w:val="Heading4"/>
      </w:pPr>
      <w:r>
        <w:t xml:space="preserve"> Prévisions de Croissance du PIB</w:t>
      </w:r>
    </w:p>
    <w:p>
      <w:pPr>
        <w:pStyle w:val="Heading4"/>
      </w:pPr>
      <w:r>
        <w:t xml:space="preserve"> Prévisions d'Inflation</w:t>
      </w:r>
    </w:p>
    <w:p>
      <w:pPr>
        <w:pStyle w:val="Heading4"/>
      </w:pPr>
      <w:r>
        <w:t xml:space="preserve"> Prévisions de Déficit Public</w:t>
      </w:r>
    </w:p>
    <w:p>
      <w:pPr>
        <w:pStyle w:val="Heading4"/>
      </w:pPr>
      <w:r>
        <w:t xml:space="preserve"> Prévisions de Dette Publique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Source</w:t>
            </w:r>
          </w:p>
        </w:tc>
        <w:tc>
          <w:tcPr>
            <w:tcW w:type="dxa" w:w="2160"/>
          </w:tcPr>
          <w:p>
            <w:pPr>
              <w:jc w:val="center"/>
            </w:pPr>
            <w:r>
              <w:rPr>
                <w:b/>
              </w:rPr>
              <w:t>2021</w:t>
            </w:r>
          </w:p>
        </w:tc>
        <w:tc>
          <w:tcPr>
            <w:tcW w:type="dxa" w:w="2160"/>
          </w:tcPr>
          <w:p>
            <w:pPr>
              <w:jc w:val="center"/>
            </w:pPr>
            <w:r>
              <w:rPr>
                <w:b/>
              </w:rPr>
              <w:t>2022</w:t>
            </w:r>
          </w:p>
        </w:tc>
        <w:tc>
          <w:tcPr>
            <w:tcW w:type="dxa" w:w="2160"/>
          </w:tcPr>
          <w:p>
            <w:pPr>
              <w:jc w:val="center"/>
            </w:pPr>
            <w:r>
              <w:rPr>
                <w:b/>
              </w:rPr>
              <w:t>2022 / 2019</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PLF 2022</w:t>
            </w:r>
          </w:p>
        </w:tc>
        <w:tc>
          <w:tcPr>
            <w:tcW w:type="dxa" w:w="2160"/>
          </w:tcPr>
          <w:p>
            <w:r>
              <w:t>6,0</w:t>
            </w:r>
          </w:p>
        </w:tc>
        <w:tc>
          <w:tcPr>
            <w:tcW w:type="dxa" w:w="2160"/>
          </w:tcPr>
          <w:p>
            <w:r>
              <w:t>4,0</w:t>
            </w:r>
          </w:p>
        </w:tc>
        <w:tc>
          <w:tcPr>
            <w:tcW w:type="dxa" w:w="2160"/>
          </w:tcPr>
          <w:p>
            <w:r>
              <w:t>1,5</w:t>
            </w:r>
          </w:p>
        </w:tc>
      </w:tr>
      <w:tr>
        <w:tc>
          <w:tcPr>
            <w:tcW w:type="dxa" w:w="2160"/>
          </w:tcPr>
          <w:p>
            <w:r>
              <w:t>OCDE</w:t>
            </w:r>
          </w:p>
        </w:tc>
        <w:tc>
          <w:tcPr>
            <w:tcW w:type="dxa" w:w="2160"/>
          </w:tcPr>
          <w:p>
            <w:r>
              <w:t>6,3</w:t>
            </w:r>
          </w:p>
        </w:tc>
        <w:tc>
          <w:tcPr>
            <w:tcW w:type="dxa" w:w="2160"/>
          </w:tcPr>
          <w:p>
            <w:r>
              <w:t>4,0</w:t>
            </w:r>
          </w:p>
        </w:tc>
        <w:tc>
          <w:tcPr>
            <w:tcW w:type="dxa" w:w="2160"/>
          </w:tcPr>
          <w:p>
            <w:r>
              <w:t>1,7</w:t>
            </w:r>
          </w:p>
        </w:tc>
      </w:tr>
      <w:tr>
        <w:tc>
          <w:tcPr>
            <w:tcW w:type="dxa" w:w="2160"/>
          </w:tcPr>
          <w:p>
            <w:r>
              <w:t>Commission Européenne</w:t>
            </w:r>
          </w:p>
        </w:tc>
        <w:tc>
          <w:tcPr>
            <w:tcW w:type="dxa" w:w="2160"/>
          </w:tcPr>
          <w:p>
            <w:r>
              <w:t>6,0</w:t>
            </w:r>
          </w:p>
        </w:tc>
        <w:tc>
          <w:tcPr>
            <w:tcW w:type="dxa" w:w="2160"/>
          </w:tcPr>
          <w:p>
            <w:r>
              <w:t>4,2</w:t>
            </w:r>
          </w:p>
        </w:tc>
        <w:tc>
          <w:tcPr>
            <w:tcW w:type="dxa" w:w="2160"/>
          </w:tcPr>
          <w:p>
            <w:r>
              <w:t>1,6</w:t>
            </w:r>
          </w:p>
        </w:tc>
      </w:tr>
      <w:tr>
        <w:tc>
          <w:tcPr>
            <w:tcW w:type="dxa" w:w="2160"/>
          </w:tcPr>
          <w:p>
            <w:r>
              <w:t>FMI</w:t>
            </w:r>
          </w:p>
        </w:tc>
        <w:tc>
          <w:tcPr>
            <w:tcW w:type="dxa" w:w="2160"/>
          </w:tcPr>
          <w:p>
            <w:r>
              <w:t>5,8</w:t>
            </w:r>
          </w:p>
        </w:tc>
        <w:tc>
          <w:tcPr>
            <w:tcW w:type="dxa" w:w="2160"/>
          </w:tcPr>
          <w:p>
            <w:r>
              <w:t>4,2</w:t>
            </w:r>
          </w:p>
        </w:tc>
        <w:tc>
          <w:tcPr>
            <w:tcW w:type="dxa" w:w="2160"/>
          </w:tcPr>
          <w:p>
            <w:r>
              <w:t>1,4</w:t>
            </w:r>
          </w:p>
        </w:tc>
      </w:tr>
      <w:tr>
        <w:tc>
          <w:tcPr>
            <w:tcW w:type="dxa" w:w="2160"/>
          </w:tcPr>
          <w:p>
            <w:r>
              <w:t>Source</w:t>
            </w:r>
          </w:p>
        </w:tc>
        <w:tc>
          <w:tcPr>
            <w:tcW w:type="dxa" w:w="2160"/>
          </w:tcPr>
          <w:p>
            <w:r>
              <w:t>2021</w:t>
            </w:r>
          </w:p>
        </w:tc>
        <w:tc>
          <w:tcPr>
            <w:tcW w:type="dxa" w:w="2160"/>
          </w:tcPr>
          <w:p>
            <w:r>
              <w:t>2022</w:t>
            </w:r>
          </w:p>
        </w:tc>
        <w:tc>
          <w:tcPr>
            <w:tcW w:type="dxa" w:w="2160"/>
          </w:tcPr>
          <w:p/>
        </w:tc>
      </w:tr>
      <w:tr>
        <w:tc>
          <w:tcPr>
            <w:tcW w:type="dxa" w:w="2160"/>
          </w:tcPr>
          <w:p>
            <w:r>
              <w:t>---------</w:t>
            </w:r>
          </w:p>
        </w:tc>
        <w:tc>
          <w:tcPr>
            <w:tcW w:type="dxa" w:w="2160"/>
          </w:tcPr>
          <w:p>
            <w:r>
              <w:t>------</w:t>
            </w:r>
          </w:p>
        </w:tc>
        <w:tc>
          <w:tcPr>
            <w:tcW w:type="dxa" w:w="2160"/>
          </w:tcPr>
          <w:p>
            <w:r>
              <w:t>------</w:t>
            </w:r>
          </w:p>
        </w:tc>
        <w:tc>
          <w:tcPr>
            <w:tcW w:type="dxa" w:w="2160"/>
          </w:tcPr>
          <w:p/>
        </w:tc>
      </w:tr>
      <w:tr>
        <w:tc>
          <w:tcPr>
            <w:tcW w:type="dxa" w:w="2160"/>
          </w:tcPr>
          <w:p>
            <w:r>
              <w:t>PLF 2022</w:t>
            </w:r>
          </w:p>
        </w:tc>
        <w:tc>
          <w:tcPr>
            <w:tcW w:type="dxa" w:w="2160"/>
          </w:tcPr>
          <w:p>
            <w:r>
              <w:t>1,7</w:t>
            </w:r>
          </w:p>
        </w:tc>
        <w:tc>
          <w:tcPr>
            <w:tcW w:type="dxa" w:w="2160"/>
          </w:tcPr>
          <w:p>
            <w:r>
              <w:t>1,6</w:t>
            </w:r>
          </w:p>
        </w:tc>
        <w:tc>
          <w:tcPr>
            <w:tcW w:type="dxa" w:w="2160"/>
          </w:tcPr>
          <w:p/>
        </w:tc>
      </w:tr>
      <w:tr>
        <w:tc>
          <w:tcPr>
            <w:tcW w:type="dxa" w:w="2160"/>
          </w:tcPr>
          <w:p>
            <w:r>
              <w:t>OCDE</w:t>
            </w:r>
          </w:p>
        </w:tc>
        <w:tc>
          <w:tcPr>
            <w:tcW w:type="dxa" w:w="2160"/>
          </w:tcPr>
          <w:p>
            <w:r>
              <w:t>1,9</w:t>
            </w:r>
          </w:p>
        </w:tc>
        <w:tc>
          <w:tcPr>
            <w:tcW w:type="dxa" w:w="2160"/>
          </w:tcPr>
          <w:p>
            <w:r>
              <w:t>1,4</w:t>
            </w:r>
          </w:p>
        </w:tc>
        <w:tc>
          <w:tcPr>
            <w:tcW w:type="dxa" w:w="2160"/>
          </w:tcPr>
          <w:p/>
        </w:tc>
      </w:tr>
      <w:tr>
        <w:tc>
          <w:tcPr>
            <w:tcW w:type="dxa" w:w="2160"/>
          </w:tcPr>
          <w:p>
            <w:r>
              <w:t>Commission Européenne</w:t>
            </w:r>
          </w:p>
        </w:tc>
        <w:tc>
          <w:tcPr>
            <w:tcW w:type="dxa" w:w="2160"/>
          </w:tcPr>
          <w:p>
            <w:r>
              <w:t>1,6</w:t>
            </w:r>
          </w:p>
        </w:tc>
        <w:tc>
          <w:tcPr>
            <w:tcW w:type="dxa" w:w="2160"/>
          </w:tcPr>
          <w:p>
            <w:r>
              <w:t>1,2</w:t>
            </w:r>
          </w:p>
        </w:tc>
        <w:tc>
          <w:tcPr>
            <w:tcW w:type="dxa" w:w="2160"/>
          </w:tcPr>
          <w:p/>
        </w:tc>
      </w:tr>
      <w:tr>
        <w:tc>
          <w:tcPr>
            <w:tcW w:type="dxa" w:w="2160"/>
          </w:tcPr>
          <w:p>
            <w:r>
              <w:t>FMI</w:t>
            </w:r>
          </w:p>
        </w:tc>
        <w:tc>
          <w:tcPr>
            <w:tcW w:type="dxa" w:w="2160"/>
          </w:tcPr>
          <w:p>
            <w:r>
              <w:t>n.d.</w:t>
            </w:r>
          </w:p>
        </w:tc>
        <w:tc>
          <w:tcPr>
            <w:tcW w:type="dxa" w:w="2160"/>
          </w:tcPr>
          <w:p>
            <w:r>
              <w:t>n.d.</w:t>
            </w:r>
          </w:p>
        </w:tc>
        <w:tc>
          <w:tcPr>
            <w:tcW w:type="dxa" w:w="2160"/>
          </w:tcPr>
          <w:p/>
        </w:tc>
      </w:tr>
      <w:tr>
        <w:tc>
          <w:tcPr>
            <w:tcW w:type="dxa" w:w="2160"/>
          </w:tcPr>
          <w:p>
            <w:r>
              <w:t>Source</w:t>
            </w:r>
          </w:p>
        </w:tc>
        <w:tc>
          <w:tcPr>
            <w:tcW w:type="dxa" w:w="2160"/>
          </w:tcPr>
          <w:p>
            <w:r>
              <w:t>2021</w:t>
            </w:r>
          </w:p>
        </w:tc>
        <w:tc>
          <w:tcPr>
            <w:tcW w:type="dxa" w:w="2160"/>
          </w:tcPr>
          <w:p>
            <w:r>
              <w:t>2022</w:t>
            </w:r>
          </w:p>
        </w:tc>
        <w:tc>
          <w:tcPr>
            <w:tcW w:type="dxa" w:w="2160"/>
          </w:tcPr>
          <w:p/>
        </w:tc>
      </w:tr>
      <w:tr>
        <w:tc>
          <w:tcPr>
            <w:tcW w:type="dxa" w:w="2160"/>
          </w:tcPr>
          <w:p>
            <w:r>
              <w:t>---------</w:t>
            </w:r>
          </w:p>
        </w:tc>
        <w:tc>
          <w:tcPr>
            <w:tcW w:type="dxa" w:w="2160"/>
          </w:tcPr>
          <w:p>
            <w:r>
              <w:t>------</w:t>
            </w:r>
          </w:p>
        </w:tc>
        <w:tc>
          <w:tcPr>
            <w:tcW w:type="dxa" w:w="2160"/>
          </w:tcPr>
          <w:p>
            <w:r>
              <w:t>------</w:t>
            </w:r>
          </w:p>
        </w:tc>
        <w:tc>
          <w:tcPr>
            <w:tcW w:type="dxa" w:w="2160"/>
          </w:tcPr>
          <w:p/>
        </w:tc>
      </w:tr>
      <w:tr>
        <w:tc>
          <w:tcPr>
            <w:tcW w:type="dxa" w:w="2160"/>
          </w:tcPr>
          <w:p>
            <w:r>
              <w:t>PLF 2022</w:t>
            </w:r>
          </w:p>
        </w:tc>
        <w:tc>
          <w:tcPr>
            <w:tcW w:type="dxa" w:w="2160"/>
          </w:tcPr>
          <w:p>
            <w:r>
              <w:t>-8,4</w:t>
            </w:r>
          </w:p>
        </w:tc>
        <w:tc>
          <w:tcPr>
            <w:tcW w:type="dxa" w:w="2160"/>
          </w:tcPr>
          <w:p>
            <w:r>
              <w:t>-4,8</w:t>
            </w:r>
          </w:p>
        </w:tc>
        <w:tc>
          <w:tcPr>
            <w:tcW w:type="dxa" w:w="2160"/>
          </w:tcPr>
          <w:p/>
        </w:tc>
      </w:tr>
      <w:tr>
        <w:tc>
          <w:tcPr>
            <w:tcW w:type="dxa" w:w="2160"/>
          </w:tcPr>
          <w:p>
            <w:r>
              <w:t>Source</w:t>
            </w:r>
          </w:p>
        </w:tc>
        <w:tc>
          <w:tcPr>
            <w:tcW w:type="dxa" w:w="2160"/>
          </w:tcPr>
          <w:p>
            <w:r>
              <w:t>2021</w:t>
            </w:r>
          </w:p>
        </w:tc>
        <w:tc>
          <w:tcPr>
            <w:tcW w:type="dxa" w:w="2160"/>
          </w:tcPr>
          <w:p>
            <w:r>
              <w:t>2022</w:t>
            </w:r>
          </w:p>
        </w:tc>
        <w:tc>
          <w:tcPr>
            <w:tcW w:type="dxa" w:w="2160"/>
          </w:tcPr>
          <w:p/>
        </w:tc>
      </w:tr>
      <w:tr>
        <w:tc>
          <w:tcPr>
            <w:tcW w:type="dxa" w:w="2160"/>
          </w:tcPr>
          <w:p>
            <w:r>
              <w:t>---------</w:t>
            </w:r>
          </w:p>
        </w:tc>
        <w:tc>
          <w:tcPr>
            <w:tcW w:type="dxa" w:w="2160"/>
          </w:tcPr>
          <w:p>
            <w:r>
              <w:t>------</w:t>
            </w:r>
          </w:p>
        </w:tc>
        <w:tc>
          <w:tcPr>
            <w:tcW w:type="dxa" w:w="2160"/>
          </w:tcPr>
          <w:p>
            <w:r>
              <w:t>------</w:t>
            </w:r>
          </w:p>
        </w:tc>
        <w:tc>
          <w:tcPr>
            <w:tcW w:type="dxa" w:w="2160"/>
          </w:tcPr>
          <w:p/>
        </w:tc>
      </w:tr>
      <w:tr>
        <w:tc>
          <w:tcPr>
            <w:tcW w:type="dxa" w:w="2160"/>
          </w:tcPr>
          <w:p>
            <w:r>
              <w:t>PLF 2022</w:t>
            </w:r>
          </w:p>
        </w:tc>
        <w:tc>
          <w:tcPr>
            <w:tcW w:type="dxa" w:w="2160"/>
          </w:tcPr>
          <w:p>
            <w:r>
              <w:t>115,6</w:t>
            </w:r>
          </w:p>
        </w:tc>
        <w:tc>
          <w:tcPr>
            <w:tcW w:type="dxa" w:w="2160"/>
          </w:tcPr>
          <w:p>
            <w:r>
              <w:t>114,0</w:t>
            </w:r>
          </w:p>
        </w:tc>
        <w:tc>
          <w:tcPr>
            <w:tcW w:type="dxa" w:w="2160"/>
          </w:tcPr>
          <w:p/>
        </w:tc>
      </w:tr>
    </w:tbl>
    <w:p/>
    <w:p>
      <w:pPr>
        <w:jc w:val="both"/>
      </w:pPr>
      <w:r>
        <w:t>Cette note d'analyse met en lumière les points clés et les chiffres importants liés aux prévisions de déficit public et de dette publique pour 2022, en se basant sur le contexte économique et les données fournies. Les perspectives économiques et financières pour 2022 sont globalement positives, mais restent soumises à des incertitudes liées aux comportements des ménages et à l'évolution de la situation sanitaire.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