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2024</w:t>
      </w:r>
    </w:p>
    <w:p>
      <w:pPr>
        <w:pStyle w:val="Heading1"/>
      </w:pPr>
      <w:r>
        <w:t>Note d'Analyse des Finances Publiques pour 2024</w:t>
      </w:r>
    </w:p>
    <w:p>
      <w:pPr>
        <w:pStyle w:val="Heading2"/>
      </w:pPr>
      <w:r>
        <w:t>Contexte Économique</w:t>
      </w:r>
    </w:p>
    <w:p>
      <w:pPr>
        <w:pStyle w:val="Heading3"/>
      </w:pPr>
      <w:r>
        <w:t>Environnement International</w:t>
      </w:r>
    </w:p>
    <w:p>
      <w:pPr>
        <w:jc w:val="both"/>
      </w:pPr>
      <w:r>
        <w:t>L'environnement économique international en 2023 et 2024 présente des dynamiques contrastées. En 2023, la demande mondiale de biens adressée à la France est estimée à 1,6%, tandis qu'en 2024, elle est prévue à 2,5% selon le Programme de stabilité 2023-2027. Le Projet de loi de finances (PLF) 2024 prévoit une demande mondiale de -0,5% en 2023 et de 3,0% en 2024. Le taux de change USD/EUR reste stable à 1,07 en 2023 et 2024 selon le Programme de stabilité, tandis que le PLF 2024 prévoit un taux de 1,09. Le prix du Brent en USD est estimé à 83 en 2023 et 2024, et à 82 en 2023 et 86 en 2024 selon le PLF 2024.</w:t>
      </w:r>
    </w:p>
    <w:p>
      <w:pPr>
        <w:pStyle w:val="Heading3"/>
      </w:pPr>
      <w:r>
        <w:t>France</w:t>
      </w:r>
    </w:p>
    <w:p>
      <w:pPr>
        <w:jc w:val="both"/>
      </w:pPr>
      <w:r>
        <w:t>En France, le Produit Intérieur Brut (PIB) est prévu à 1,0% en 2023 et 1,6% en 2024 selon le Programme de stabilité, et à 1,0% en 2023 et 1,4% en 2024 selon le PLF 2024. La dépense de consommation des ménages est estimée à 0,2% en 2023 et 1,9% en 2024, et à -0,2% en 2023 et 1,8% en 2024 selon le PLF 2024. La Formation Brute de Capital Fixe (FBCF) totale est prévue à 2,1% en 2023 et 0,9% en 2024, et à 1,6% en 2023 et 0,3% en 2024 selon le PLF 2024. Les entreprises non financières montrent une FBCF de 3,8% en 2023 et 1,4% en 2024, et de 3,2% en 2023 et 0,9% en 2024 selon le PLF 2024. Les administrations publiques affichent une FBCF de 3,4% en 2023 et 0,3% en 2024, et de 5,7% en 2023 et 1,3% en 2024 selon le PLF 2024.</w:t>
      </w:r>
    </w:p>
    <w:p>
      <w:pPr>
        <w:pStyle w:val="Heading2"/>
      </w:pPr>
      <w:r>
        <w:t>Déficit Public</w:t>
      </w:r>
    </w:p>
    <w:p>
      <w:pPr>
        <w:pStyle w:val="Heading3"/>
      </w:pPr>
      <w:r>
        <w:t>Prévisions de Déficit</w:t>
      </w:r>
    </w:p>
    <w:p>
      <w:pPr>
        <w:jc w:val="both"/>
      </w:pPr>
      <w:r>
        <w:t>Le solde public en pourcentage du PIB est prévu à -4,9% en 2023 et -4,4% en 2024 selon le PLF 2024. La Commission européenne prévoit un solde de -4,7% en 2023 et -4,3% en 2024. Ces prévisions montrent une amélioration progressive du déficit public, soutenue par une réduction des dépenses d'urgence et de relance.</w:t>
      </w:r>
    </w:p>
    <w:p>
      <w:pPr>
        <w:pStyle w:val="Heading3"/>
      </w:pPr>
      <w:r>
        <w:t>Facteurs Influents</w:t>
      </w:r>
    </w:p>
    <w:p>
      <w:pPr>
        <w:jc w:val="both"/>
      </w:pPr>
      <w:r>
        <w:t>L'amélioration du déficit public est principalement due à la diminution des dépenses d'urgence, y compris les dépenses de santé exceptionnelles et les mesures de soutien à l'économie face à l'inflation. En 2024, la dépense publique augmenterait de +0,5% en volume, soit +0,9% en volume hors urgence et relance.</w:t>
      </w:r>
    </w:p>
    <w:p>
      <w:pPr>
        <w:pStyle w:val="Heading2"/>
      </w:pPr>
      <w:r>
        <w:t>Dépenses Publiques</w:t>
      </w:r>
    </w:p>
    <w:p>
      <w:pPr>
        <w:pStyle w:val="Heading3"/>
      </w:pPr>
      <w:r>
        <w:t>Évolution des Dépenses</w:t>
      </w:r>
    </w:p>
    <w:p>
      <w:pPr>
        <w:jc w:val="both"/>
      </w:pPr>
      <w:r>
        <w:t>En 2022, la dépense publique s'est contractée de -1,1% en volume, en raison de la fin des principaux dispositifs d'urgence. En 2023, la dépense publique continuerait de reculer de -1,3% en volume, principalement en raison de la baisse des dépenses d'urgence et de France relance. En 2024, la dépense publique augmenterait de +0,5% en volume, soit +0,9% en volume hors urgence et relance.</w:t>
      </w:r>
    </w:p>
    <w:p>
      <w:pPr>
        <w:pStyle w:val="Heading3"/>
      </w:pPr>
      <w:r>
        <w:t>Répartition des Dépenses</w:t>
      </w:r>
    </w:p>
    <w:p>
      <w:pPr>
        <w:jc w:val="both"/>
      </w:pPr>
      <w:r>
        <w:t>La dépense publique hors crédits d'impôt est prévue à 57,7% du PIB en 2022, 55,9% en 2023 et 55,3% en 2024. La progression en valeur des dépenses publiques est estimée à 4,1% en 2022, 3,4% en 2023 et 3,0% en 2024. La progression en volume des dépenses publiques hors soutien d'urgence et relance est de 2,5% en 2022, 0,0% en 2023 et 0,9% en 2024.</w:t>
      </w:r>
    </w:p>
    <w:p>
      <w:pPr>
        <w:pStyle w:val="Heading2"/>
      </w:pPr>
      <w:r>
        <w:t>Recettes Publiques</w:t>
      </w:r>
    </w:p>
    <w:p>
      <w:pPr>
        <w:pStyle w:val="Heading3"/>
      </w:pPr>
      <w:r>
        <w:t>Prélèvements Obligatoires</w:t>
      </w:r>
    </w:p>
    <w:p>
      <w:pPr>
        <w:jc w:val="both"/>
      </w:pPr>
      <w:r>
        <w:t>Les prélèvements obligatoires sont estimés à 45,4% du PIB en 2022, 44,0% en 2023 et 44,1% en 2024. Le taux de prélèvements obligatoires corrigé des effets du bouclier tarifaire est de 45,6% en 2022, 44,4% en 2023 et 2024.</w:t>
      </w:r>
    </w:p>
    <w:p>
      <w:pPr>
        <w:pStyle w:val="Heading3"/>
      </w:pPr>
      <w:r>
        <w:t>Progression des Recettes</w:t>
      </w:r>
    </w:p>
    <w:p>
      <w:pPr>
        <w:jc w:val="both"/>
      </w:pPr>
      <w:r>
        <w:t>La progression des recettes publiques est influencée par la reprise économique et la dynamique des revenus salariaux. En 2024, la valeur ajoutée et la masse salariale progresseraient à un rythme similaire, soutenant la stabilité des prélèvements obligatoires.</w:t>
      </w:r>
    </w:p>
    <w:p>
      <w:pPr>
        <w:pStyle w:val="Heading2"/>
      </w:pPr>
      <w:r>
        <w:t>Dette Publique</w:t>
      </w:r>
    </w:p>
    <w:p>
      <w:pPr>
        <w:pStyle w:val="Heading3"/>
      </w:pPr>
      <w:r>
        <w:t>Évolution de la Dette</w:t>
      </w:r>
    </w:p>
    <w:p>
      <w:pPr>
        <w:jc w:val="both"/>
      </w:pPr>
      <w:r>
        <w:t>La dette publique totale est prévue à 111,8% du PIB en 2022, 109,7% en 2023 et 109,7% en 2024. La dette publique hors soutien à la zone euro est estimée à 109,3% en 2022, 107,4% en 2023 et 107,6% en 2024. La stabilisation de la dette publique en 2024 est due à l'amélioration du déficit public et à la reprise économique.</w:t>
      </w:r>
    </w:p>
    <w:p>
      <w:pPr>
        <w:pStyle w:val="Heading3"/>
      </w:pPr>
      <w:r>
        <w:t>Facteurs de Stabilisation</w:t>
      </w:r>
    </w:p>
    <w:p>
      <w:pPr>
        <w:jc w:val="both"/>
      </w:pPr>
      <w:r>
        <w:t>La stabilisation de la dette publique est soutenue par la réduction des dépenses d'urgence et la reprise économique. En 2024, le taux de marge des entreprises serait quasi-stable à 32,7%, bénéficiant des baisses d'impôts de production. L'investissement des entreprises, soutenu par la progression des marges, serait encore peu pénalisé par la hausse des taux d'intérêts.</w:t>
      </w:r>
    </w:p>
    <w:p>
      <w:pPr>
        <w:pStyle w:val="Heading2"/>
      </w:pPr>
      <w:r>
        <w:t>Perspectives</w:t>
      </w:r>
    </w:p>
    <w:p>
      <w:pPr>
        <w:pStyle w:val="Heading3"/>
      </w:pPr>
      <w:r>
        <w:t>Scénario Économique</w:t>
      </w:r>
    </w:p>
    <w:p>
      <w:pPr>
        <w:jc w:val="both"/>
      </w:pPr>
      <w:r>
        <w:t>Le scénario économique sous-jacent au PLF 2024 prévoit une croissance du PIB de 1,0% en 2023 et 1,4% en 2024. La consommation des ménages est estimée à -0,2% en 2023 et 1,8% en 2024. L'investissement des entreprises progresserait de 3,2% en 2023 et 0,9% en 2024. L'inflation poursuivrait sa décrue et s'établirait à +2,6% en moyenne annuelle en 2024.</w:t>
      </w:r>
    </w:p>
    <w:p>
      <w:pPr>
        <w:pStyle w:val="Heading3"/>
      </w:pPr>
      <w:r>
        <w:t>Comparaison Internationale</w:t>
      </w:r>
    </w:p>
    <w:p>
      <w:pPr>
        <w:jc w:val="both"/>
      </w:pPr>
      <w:r>
        <w:t>La prévision de croissance pour 2024 se situe légèrement au-dessus des prévisions publiées récemment. Le scénario du Gouvernement est proche de celui de la Commission européenne et de l'OCDE de septembre (+1,2%). La prévision est également très proche des prévisions publiées par le FMI en juillet (+1,3%). La prévision du Consensus Forecasts de septembre est inférieure à celle du Gouvernement (+0,8%).</w:t>
      </w:r>
    </w:p>
    <w:p>
      <w:pPr>
        <w:pStyle w:val="Heading3"/>
      </w:pPr>
      <w:r>
        <w:t>Conclusion</w:t>
      </w:r>
    </w:p>
    <w:p>
      <w:pPr>
        <w:jc w:val="both"/>
      </w:pPr>
      <w:r>
        <w:t>Les prévisions de déficit public et de dette publique pour 2024 montrent une amélioration progressive, soutenue par la réduction des dépenses d'urgence et la reprise économique. La stabilisation de la dette publique en 2024 est un signe positif pour la soutenabilité des finances publiques. Cependant, les incertitudes persistantes, notamment sur le contexte géopolitique et les évolutions des prix de l'énergie, nécessitent une vigilance accrue.</w:t>
      </w:r>
    </w:p>
    <w:p>
      <w:pPr>
        <w:pStyle w:val="Heading3"/>
      </w:pPr>
      <w:r>
        <w:t>Tableaux de Données</w:t>
      </w:r>
    </w:p>
    <w:p>
      <w:pPr>
        <w:pStyle w:val="Heading4"/>
      </w:pPr>
      <w:r>
        <w:t xml:space="preserve"> Tableau 1 : Prévisions de Croissance et Inflation</w:t>
      </w:r>
    </w:p>
    <w:p>
      <w:pPr>
        <w:pStyle w:val="Heading4"/>
      </w:pPr>
      <w:r>
        <w:t xml:space="preserve"> Tableau 2 : Dépenses et Recettes Publiques</w:t>
      </w:r>
    </w:p>
    <w:p>
      <w:pPr>
        <w:pStyle w:val="Heading4"/>
      </w:pPr>
      <w:r>
        <w:t xml:space="preserve"> Tableau 3 : Dette Publique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2023</w:t>
            </w:r>
          </w:p>
        </w:tc>
        <w:tc>
          <w:tcPr>
            <w:tcW w:type="dxa" w:w="2880"/>
          </w:tcPr>
          <w:p>
            <w:pPr>
              <w:jc w:val="center"/>
            </w:pPr>
            <w:r>
              <w:rPr>
                <w:b/>
              </w:rPr>
              <w:t>2024</w:t>
            </w:r>
          </w:p>
        </w:tc>
      </w:tr>
      <w:tr>
        <w:tc>
          <w:tcPr>
            <w:tcW w:type="dxa" w:w="2880"/>
          </w:tcPr>
          <w:p>
            <w:r>
              <w:t>:--</w:t>
            </w:r>
          </w:p>
        </w:tc>
        <w:tc>
          <w:tcPr>
            <w:tcW w:type="dxa" w:w="2880"/>
          </w:tcPr>
          <w:p>
            <w:r>
              <w:t>:--:</w:t>
            </w:r>
          </w:p>
        </w:tc>
        <w:tc>
          <w:tcPr>
            <w:tcW w:type="dxa" w:w="2880"/>
          </w:tcPr>
          <w:p>
            <w:r>
              <w:t>:--:</w:t>
            </w:r>
          </w:p>
        </w:tc>
      </w:tr>
      <w:tr>
        <w:tc>
          <w:tcPr>
            <w:tcW w:type="dxa" w:w="2880"/>
          </w:tcPr>
          <w:p>
            <w:r>
              <w:t>PIB (PLF 2024)</w:t>
            </w:r>
          </w:p>
        </w:tc>
        <w:tc>
          <w:tcPr>
            <w:tcW w:type="dxa" w:w="2880"/>
          </w:tcPr>
          <w:p>
            <w:r>
              <w:t>1,0%</w:t>
            </w:r>
          </w:p>
        </w:tc>
        <w:tc>
          <w:tcPr>
            <w:tcW w:type="dxa" w:w="2880"/>
          </w:tcPr>
          <w:p>
            <w:r>
              <w:t>1,4%</w:t>
            </w:r>
          </w:p>
        </w:tc>
      </w:tr>
      <w:tr>
        <w:tc>
          <w:tcPr>
            <w:tcW w:type="dxa" w:w="2880"/>
          </w:tcPr>
          <w:p>
            <w:r>
              <w:t>Indice des prix à la consommation harmonisé (PLF 2024)</w:t>
            </w:r>
          </w:p>
        </w:tc>
        <w:tc>
          <w:tcPr>
            <w:tcW w:type="dxa" w:w="2880"/>
          </w:tcPr>
          <w:p>
            <w:r>
              <w:t>5,7%</w:t>
            </w:r>
          </w:p>
        </w:tc>
        <w:tc>
          <w:tcPr>
            <w:tcW w:type="dxa" w:w="2880"/>
          </w:tcPr>
          <w:p>
            <w:r>
              <w:t>2,7%</w:t>
            </w:r>
          </w:p>
        </w:tc>
      </w:tr>
      <w:tr>
        <w:tc>
          <w:tcPr>
            <w:tcW w:type="dxa" w:w="2880"/>
          </w:tcPr>
          <w:p>
            <w:r>
              <w:t>Solde public (en % du PIB) (PLF 2024)</w:t>
            </w:r>
          </w:p>
        </w:tc>
        <w:tc>
          <w:tcPr>
            <w:tcW w:type="dxa" w:w="2880"/>
          </w:tcPr>
          <w:p>
            <w:r>
              <w:t>-4,9%</w:t>
            </w:r>
          </w:p>
        </w:tc>
        <w:tc>
          <w:tcPr>
            <w:tcW w:type="dxa" w:w="2880"/>
          </w:tcPr>
          <w:p>
            <w:r>
              <w:t>-4,4%</w:t>
            </w:r>
          </w:p>
        </w:tc>
      </w:tr>
      <w:tr>
        <w:tc>
          <w:tcPr>
            <w:tcW w:type="dxa" w:w="2880"/>
          </w:tcPr>
          <w:p>
            <w:r/>
          </w:p>
        </w:tc>
        <w:tc>
          <w:tcPr>
            <w:tcW w:type="dxa" w:w="2880"/>
          </w:tcPr>
          <w:p>
            <w:r>
              <w:t>2022</w:t>
            </w:r>
          </w:p>
        </w:tc>
        <w:tc>
          <w:tcPr>
            <w:tcW w:type="dxa" w:w="2880"/>
          </w:tcPr>
          <w:p>
            <w:r>
              <w:t>2023</w:t>
            </w:r>
          </w:p>
        </w:tc>
      </w:tr>
      <w:tr>
        <w:tc>
          <w:tcPr>
            <w:tcW w:type="dxa" w:w="2880"/>
          </w:tcPr>
          <w:p>
            <w:r>
              <w:t>:--</w:t>
            </w:r>
          </w:p>
        </w:tc>
        <w:tc>
          <w:tcPr>
            <w:tcW w:type="dxa" w:w="2880"/>
          </w:tcPr>
          <w:p>
            <w:r>
              <w:t>:--:</w:t>
            </w:r>
          </w:p>
        </w:tc>
        <w:tc>
          <w:tcPr>
            <w:tcW w:type="dxa" w:w="2880"/>
          </w:tcPr>
          <w:p>
            <w:r>
              <w:t>:--:</w:t>
            </w:r>
          </w:p>
        </w:tc>
      </w:tr>
      <w:tr>
        <w:tc>
          <w:tcPr>
            <w:tcW w:type="dxa" w:w="2880"/>
          </w:tcPr>
          <w:p>
            <w:r>
              <w:t>Dépense publique hors crédits d'impôt (en % du PIB)</w:t>
            </w:r>
          </w:p>
        </w:tc>
        <w:tc>
          <w:tcPr>
            <w:tcW w:type="dxa" w:w="2880"/>
          </w:tcPr>
          <w:p>
            <w:r>
              <w:t>57,7%</w:t>
            </w:r>
          </w:p>
        </w:tc>
        <w:tc>
          <w:tcPr>
            <w:tcW w:type="dxa" w:w="2880"/>
          </w:tcPr>
          <w:p>
            <w:r>
              <w:t>55,9%</w:t>
            </w:r>
          </w:p>
        </w:tc>
      </w:tr>
      <w:tr>
        <w:tc>
          <w:tcPr>
            <w:tcW w:type="dxa" w:w="2880"/>
          </w:tcPr>
          <w:p>
            <w:r>
              <w:t>Progression en volume des dépenses publiques</w:t>
            </w:r>
          </w:p>
        </w:tc>
        <w:tc>
          <w:tcPr>
            <w:tcW w:type="dxa" w:w="2880"/>
          </w:tcPr>
          <w:p>
            <w:r>
              <w:t>-1,1%</w:t>
            </w:r>
          </w:p>
        </w:tc>
        <w:tc>
          <w:tcPr>
            <w:tcW w:type="dxa" w:w="2880"/>
          </w:tcPr>
          <w:p>
            <w:r>
              <w:t>-1,3%</w:t>
            </w:r>
          </w:p>
        </w:tc>
      </w:tr>
      <w:tr>
        <w:tc>
          <w:tcPr>
            <w:tcW w:type="dxa" w:w="2880"/>
          </w:tcPr>
          <w:p>
            <w:r>
              <w:t>Prélèvements obligatoires (en % du PIB)</w:t>
            </w:r>
          </w:p>
        </w:tc>
        <w:tc>
          <w:tcPr>
            <w:tcW w:type="dxa" w:w="2880"/>
          </w:tcPr>
          <w:p>
            <w:r>
              <w:t>45,4%</w:t>
            </w:r>
          </w:p>
        </w:tc>
        <w:tc>
          <w:tcPr>
            <w:tcW w:type="dxa" w:w="2880"/>
          </w:tcPr>
          <w:p>
            <w:r>
              <w:t>44,0%</w:t>
            </w:r>
          </w:p>
        </w:tc>
      </w:tr>
      <w:tr>
        <w:tc>
          <w:tcPr>
            <w:tcW w:type="dxa" w:w="2880"/>
          </w:tcPr>
          <w:p>
            <w:r/>
          </w:p>
        </w:tc>
        <w:tc>
          <w:tcPr>
            <w:tcW w:type="dxa" w:w="2880"/>
          </w:tcPr>
          <w:p>
            <w:r>
              <w:t>2022</w:t>
            </w:r>
          </w:p>
        </w:tc>
        <w:tc>
          <w:tcPr>
            <w:tcW w:type="dxa" w:w="2880"/>
          </w:tcPr>
          <w:p>
            <w:r>
              <w:t>2023</w:t>
            </w:r>
          </w:p>
        </w:tc>
      </w:tr>
      <w:tr>
        <w:tc>
          <w:tcPr>
            <w:tcW w:type="dxa" w:w="2880"/>
          </w:tcPr>
          <w:p>
            <w:r>
              <w:t>:--</w:t>
            </w:r>
          </w:p>
        </w:tc>
        <w:tc>
          <w:tcPr>
            <w:tcW w:type="dxa" w:w="2880"/>
          </w:tcPr>
          <w:p>
            <w:r>
              <w:t>:--:</w:t>
            </w:r>
          </w:p>
        </w:tc>
        <w:tc>
          <w:tcPr>
            <w:tcW w:type="dxa" w:w="2880"/>
          </w:tcPr>
          <w:p>
            <w:r>
              <w:t>:--:</w:t>
            </w:r>
          </w:p>
        </w:tc>
      </w:tr>
      <w:tr>
        <w:tc>
          <w:tcPr>
            <w:tcW w:type="dxa" w:w="2880"/>
          </w:tcPr>
          <w:p>
            <w:r>
              <w:t>Dette publique totale (en % du PIB)</w:t>
            </w:r>
          </w:p>
        </w:tc>
        <w:tc>
          <w:tcPr>
            <w:tcW w:type="dxa" w:w="2880"/>
          </w:tcPr>
          <w:p>
            <w:r>
              <w:t>111,8%</w:t>
            </w:r>
          </w:p>
        </w:tc>
        <w:tc>
          <w:tcPr>
            <w:tcW w:type="dxa" w:w="2880"/>
          </w:tcPr>
          <w:p>
            <w:r>
              <w:t>109,7%</w:t>
            </w:r>
          </w:p>
        </w:tc>
      </w:tr>
      <w:tr>
        <w:tc>
          <w:tcPr>
            <w:tcW w:type="dxa" w:w="2880"/>
          </w:tcPr>
          <w:p>
            <w:r>
              <w:t>Dette publique hors soutien à la zone euro (en % du PIB)</w:t>
            </w:r>
          </w:p>
        </w:tc>
        <w:tc>
          <w:tcPr>
            <w:tcW w:type="dxa" w:w="2880"/>
          </w:tcPr>
          <w:p>
            <w:r>
              <w:t>109,3%</w:t>
            </w:r>
          </w:p>
        </w:tc>
        <w:tc>
          <w:tcPr>
            <w:tcW w:type="dxa" w:w="2880"/>
          </w:tcPr>
          <w:p>
            <w:r>
              <w:t>107,4%</w:t>
            </w:r>
          </w:p>
        </w:tc>
      </w:tr>
    </w:tbl>
    <w:p/>
    <w:p>
      <w:pPr>
        <w:jc w:val="both"/>
      </w:pPr>
      <w:r>
        <w:t>Cette analyse met en évidence les points clés et les chiffres importants concernant les prévisions de déficit public et de dette publique pour 2024, en se basant sur les informations fournies dans le contexte. Les perspectives économiques et les mesures de politiques publiques jouent un rôle crucial dans la trajectoire des finances publiques.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