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Analyse RESF 2025</w:t>
      </w:r>
    </w:p>
    <w:p>
      <w:pPr>
        <w:pStyle w:val="Heading1"/>
      </w:pPr>
      <w:r>
        <w:t>Note d'Analyse des Finances Publiques pour 2025</w:t>
      </w:r>
    </w:p>
    <w:p>
      <w:pPr>
        <w:pStyle w:val="Heading2"/>
      </w:pPr>
      <w:r>
        <w:t>Contexte Économique</w:t>
      </w:r>
    </w:p>
    <w:p>
      <w:pPr>
        <w:jc w:val="both"/>
      </w:pPr>
      <w:r>
        <w:t>En 2025, la croissance économique est prévue à 1,1 %, principalement soutenue par la demande intérieure privée. Cette croissance modérée intervient dans un contexte de baisse de l'inflation, qui devrait se situer à 1,8 % en moyenne annuelle, en dessous du seuil de 2 %. La consommation des ménages sera le principal moteur de cette croissance, grâce à une modération de l'inflation et à des gains de pouvoir d'achat. Le taux d'épargne, bien que supérieur à sa moyenne historique, devrait diminuer légèrement, passant de 17,6 % à un niveau encore élevé. L'investissement des ménages et des entreprises devrait également rebondir, bénéficiant d'une amélioration des conditions financières. Enfin, les exportations devraient accélérer, soutenues par une demande mondiale en hausse.</w:t>
      </w:r>
    </w:p>
    <w:p>
      <w:pPr>
        <w:pStyle w:val="Heading2"/>
      </w:pPr>
      <w:r>
        <w:t>Déficit Public</w:t>
      </w:r>
    </w:p>
    <w:p>
      <w:pPr>
        <w:pStyle w:val="Heading3"/>
      </w:pPr>
      <w:r>
        <w:t>Solde Public</w:t>
      </w:r>
    </w:p>
    <w:p>
      <w:pPr>
        <w:jc w:val="both"/>
      </w:pPr>
      <w:r>
        <w:t>Le solde public pour 2025 est prévu à -5,0 % du PIB, une amélioration significative par rapport à -6,1 % en 2024. Cette amélioration est le résultat d'un effort de redressement budgétaire, qui devrait réduire le déficit de près de 2 points de PIB, soit environ 60 milliards d'euros. Le solde structurel pour 2025 est estimé à -4,6 %, le solde conjoncturel à -0,4 %, et le solde des mesures ponctuelles et temporaires à -0,1 %.</w:t>
      </w:r>
    </w:p>
    <w:p>
      <w:pPr>
        <w:pStyle w:val="Heading3"/>
      </w:pPr>
      <w:r>
        <w:t>Comparaison des Prévisions</w:t>
      </w:r>
    </w:p>
    <w:p>
      <w:pPr>
        <w:jc w:val="both"/>
      </w:pPr>
      <w:r>
        <w:t>Le tableau ci-dessous compare les prévisions du PLF 2025 avec celles de la LPFP 2023-2027 :</w:t>
      </w:r>
    </w:p>
    <w:p>
      <w:pPr>
        <w:pStyle w:val="Heading3"/>
      </w:pPr>
      <w:r>
        <w:t>Dépenses Publiques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r>
          </w:p>
        </w:tc>
        <w:tc>
          <w:tcPr>
            <w:tcW w:type="dxa" w:w="2880"/>
          </w:tcPr>
          <w:p>
            <w:pPr>
              <w:jc w:val="center"/>
            </w:pPr>
            <w:r>
              <w:rPr>
                <w:b/>
              </w:rPr>
              <w:t>PLF 2025</w:t>
            </w:r>
          </w:p>
        </w:tc>
        <w:tc>
          <w:tcPr>
            <w:tcW w:type="dxa" w:w="2880"/>
          </w:tcPr>
          <w:p>
            <w:pPr>
              <w:jc w:val="center"/>
            </w:pPr>
            <w:r>
              <w:rPr>
                <w:b/>
              </w:rPr>
              <w:t>LPFP 2023-2027</w:t>
            </w:r>
          </w:p>
        </w:tc>
      </w:tr>
      <w:tr>
        <w:tc>
          <w:tcPr>
            <w:tcW w:type="dxa" w:w="2880"/>
          </w:tcPr>
          <w:p>
            <w:r>
              <w:t>---</w:t>
            </w:r>
          </w:p>
        </w:tc>
        <w:tc>
          <w:tcPr>
            <w:tcW w:type="dxa" w:w="2880"/>
          </w:tcPr>
          <w:p>
            <w:r>
              <w:t>---</w:t>
            </w:r>
          </w:p>
        </w:tc>
        <w:tc>
          <w:tcPr>
            <w:tcW w:type="dxa" w:w="2880"/>
          </w:tcPr>
          <w:p>
            <w:r>
              <w:t>---</w:t>
            </w:r>
          </w:p>
        </w:tc>
      </w:tr>
      <w:tr>
        <w:tc>
          <w:tcPr>
            <w:tcW w:type="dxa" w:w="2880"/>
          </w:tcPr>
          <w:p>
            <w:r>
              <w:t>Solde structurel (en % du PIB)</w:t>
            </w:r>
          </w:p>
        </w:tc>
        <w:tc>
          <w:tcPr>
            <w:tcW w:type="dxa" w:w="2880"/>
          </w:tcPr>
          <w:p>
            <w:r>
              <w:t>-4,6</w:t>
            </w:r>
          </w:p>
        </w:tc>
        <w:tc>
          <w:tcPr>
            <w:tcW w:type="dxa" w:w="2880"/>
          </w:tcPr>
          <w:p>
            <w:r>
              <w:t>-3,3</w:t>
            </w:r>
          </w:p>
        </w:tc>
      </w:tr>
      <w:tr>
        <w:tc>
          <w:tcPr>
            <w:tcW w:type="dxa" w:w="2880"/>
          </w:tcPr>
          <w:p>
            <w:r>
              <w:t>Solde conjoncturel (en % du PIB)</w:t>
            </w:r>
          </w:p>
        </w:tc>
        <w:tc>
          <w:tcPr>
            <w:tcW w:type="dxa" w:w="2880"/>
          </w:tcPr>
          <w:p>
            <w:r>
              <w:t>-0,4</w:t>
            </w:r>
          </w:p>
        </w:tc>
        <w:tc>
          <w:tcPr>
            <w:tcW w:type="dxa" w:w="2880"/>
          </w:tcPr>
          <w:p>
            <w:r>
              <w:t>-0,4</w:t>
            </w:r>
          </w:p>
        </w:tc>
      </w:tr>
      <w:tr>
        <w:tc>
          <w:tcPr>
            <w:tcW w:type="dxa" w:w="2880"/>
          </w:tcPr>
          <w:p>
            <w:r>
              <w:t>Solde des mesures ponctuelles et temporaires (en % du PIB)</w:t>
            </w:r>
          </w:p>
        </w:tc>
        <w:tc>
          <w:tcPr>
            <w:tcW w:type="dxa" w:w="2880"/>
          </w:tcPr>
          <w:p>
            <w:r>
              <w:t>-0,1</w:t>
            </w:r>
          </w:p>
        </w:tc>
        <w:tc>
          <w:tcPr>
            <w:tcW w:type="dxa" w:w="2880"/>
          </w:tcPr>
          <w:p>
            <w:r>
              <w:t>-0,1</w:t>
            </w:r>
          </w:p>
        </w:tc>
      </w:tr>
      <w:tr>
        <w:tc>
          <w:tcPr>
            <w:tcW w:type="dxa" w:w="2880"/>
          </w:tcPr>
          <w:p>
            <w:r>
              <w:t>Solde effectif (en % du PIB)</w:t>
            </w:r>
          </w:p>
        </w:tc>
        <w:tc>
          <w:tcPr>
            <w:tcW w:type="dxa" w:w="2880"/>
          </w:tcPr>
          <w:p>
            <w:r>
              <w:t>-5,0</w:t>
            </w:r>
          </w:p>
        </w:tc>
        <w:tc>
          <w:tcPr>
            <w:tcW w:type="dxa" w:w="2880"/>
          </w:tcPr>
          <w:p>
            <w:r>
              <w:t>-3,7</w:t>
            </w:r>
          </w:p>
        </w:tc>
      </w:tr>
    </w:tbl>
    <w:p/>
    <w:p>
      <w:pPr>
        <w:jc w:val="both"/>
      </w:pPr>
      <w:r>
        <w:t>Les dépenses publiques pour 2025 sont prévues à 56,4 % du PIB, soit 1 694 milliards d'euros. L'évolution de la dépense publique hors crédits d'impôt (CI) en volume est estimée à 0,4 %. Les principales dépenses d'investissement s'élèveront à 31 milliards d'euros. Les administrations publiques centrales devraient voir leurs dépenses augmenter de 0,2 %, pour atteindre 663 milliards d'euros.</w:t>
      </w:r>
    </w:p>
    <w:p>
      <w:pPr>
        <w:pStyle w:val="Heading3"/>
      </w:pPr>
      <w:r>
        <w:t>Recettes Publiques</w:t>
      </w:r>
    </w:p>
    <w:p>
      <w:pPr>
        <w:jc w:val="both"/>
      </w:pPr>
      <w:r>
        <w:t>Le taux de prélèvements obligatoires (y compris les contributions de l'UE nettes des crédits d'impôt) est prévu à 43,6 % du PIB. Les recettes publiques devraient bénéficier de la reprise économique et des mesures de redressement budgétaire.</w:t>
      </w:r>
    </w:p>
    <w:p>
      <w:pPr>
        <w:pStyle w:val="Heading2"/>
      </w:pPr>
      <w:r>
        <w:t>Dette Publique</w:t>
      </w:r>
    </w:p>
    <w:p>
      <w:pPr>
        <w:jc w:val="both"/>
      </w:pPr>
      <w:r>
        <w:t>La dette publique au sens de Maastricht est prévue à 114,7 % du PIB en 2025, contre 109,6 % dans la LPFP 2023-2027. Cette augmentation est principalement due aux déficits antérieurs et aux mesures de soutien économique.</w:t>
      </w:r>
    </w:p>
    <w:p>
      <w:pPr>
        <w:pStyle w:val="Heading3"/>
      </w:pPr>
      <w:r>
        <w:t>Perspectives de la Dette</w:t>
      </w:r>
    </w:p>
    <w:p>
      <w:pPr>
        <w:jc w:val="both"/>
      </w:pPr>
      <w:r>
        <w:t>La trajectoire de la dette publique est influencée par les déficits publics et les mesures de redressement budgétaire. La stratégie de réduction des dépenses publiques devrait permettre de stabiliser la dette à long terme.</w:t>
      </w:r>
    </w:p>
    <w:p>
      <w:pPr>
        <w:pStyle w:val="Heading2"/>
      </w:pPr>
      <w:r>
        <w:t>Perspectives</w:t>
      </w:r>
    </w:p>
    <w:p>
      <w:pPr>
        <w:pStyle w:val="Heading3"/>
      </w:pPr>
      <w:r>
        <w:t>Stratégie de Redressement</w:t>
      </w:r>
    </w:p>
    <w:p>
      <w:pPr>
        <w:jc w:val="both"/>
      </w:pPr>
      <w:r>
        <w:t>La stratégie de redressement budgétaire pour 2025 repose principalement sur la réduction des dépenses publiques. Les efforts de réduction des dépenses impliqueront tous les sous-secteurs des administrations publiques, avec une attention particulière portée aux dépenses destinées aux plus fragiles. Les baisses de dépenses associeront directement les collectivités territoriales.</w:t>
      </w:r>
    </w:p>
    <w:p>
      <w:pPr>
        <w:pStyle w:val="Heading3"/>
      </w:pPr>
      <w:r>
        <w:t>Avis du HCFP</w:t>
      </w:r>
    </w:p>
    <w:p>
      <w:pPr>
        <w:jc w:val="both"/>
      </w:pPr>
      <w:r>
        <w:t>Le Haut Conseil des Finances Publiques (HCFP) a jugé réaliste la prévision de croissance pour 2024, ainsi que celle de masse salariale et d'inflation. Pour 2025, la prévision de croissance est qualifiée de légèrement élevée, tout comme la prévision d'inflation, et celle de masse salariale d'un peu optimiste.</w:t>
      </w:r>
    </w:p>
    <w:p>
      <w:pPr>
        <w:pStyle w:val="Heading3"/>
      </w:pPr>
      <w:r>
        <w:t>Comparaison des Prévisions Macroéconomiques</w:t>
      </w:r>
    </w:p>
    <w:p>
      <w:pPr>
        <w:jc w:val="both"/>
      </w:pPr>
      <w:r>
        <w:t>Le tableau ci-dessous compare les prévisions du PLF 2025 avec celles de l'OCDE, de la Commission européenne et du FMI :</w:t>
      </w:r>
    </w:p>
    <w:p>
      <w:pPr>
        <w:pStyle w:val="Heading2"/>
      </w:pPr>
      <w:r>
        <w:t>Conclusion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r>
          </w:p>
        </w:tc>
        <w:tc>
          <w:tcPr>
            <w:tcW w:type="dxa" w:w="1728"/>
          </w:tcPr>
          <w:p>
            <w:pPr>
              <w:jc w:val="center"/>
            </w:pPr>
            <w:r>
              <w:rPr>
                <w:b/>
              </w:rPr>
              <w:t>PLF 2025</w:t>
            </w:r>
          </w:p>
        </w:tc>
        <w:tc>
          <w:tcPr>
            <w:tcW w:type="dxa" w:w="1728"/>
          </w:tcPr>
          <w:p>
            <w:pPr>
              <w:jc w:val="center"/>
            </w:pPr>
            <w:r>
              <w:rPr>
                <w:b/>
              </w:rPr>
              <w:t>OCDE</w:t>
            </w:r>
          </w:p>
        </w:tc>
        <w:tc>
          <w:tcPr>
            <w:tcW w:type="dxa" w:w="1728"/>
          </w:tcPr>
          <w:p>
            <w:pPr>
              <w:jc w:val="center"/>
            </w:pPr>
            <w:r>
              <w:rPr>
                <w:b/>
              </w:rPr>
              <w:t>Commission Européenne</w:t>
            </w:r>
          </w:p>
        </w:tc>
        <w:tc>
          <w:tcPr>
            <w:tcW w:type="dxa" w:w="1728"/>
          </w:tcPr>
          <w:p>
            <w:pPr>
              <w:jc w:val="center"/>
            </w:pPr>
            <w:r>
              <w:rPr>
                <w:b/>
              </w:rPr>
              <w:t>FMI</w:t>
            </w:r>
          </w:p>
        </w:tc>
      </w:tr>
      <w:tr>
        <w:tc>
          <w:tcPr>
            <w:tcW w:type="dxa" w:w="1728"/>
          </w:tcPr>
          <w:p>
            <w:r>
              <w:t>---</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PIB (2024)</w:t>
            </w:r>
          </w:p>
        </w:tc>
        <w:tc>
          <w:tcPr>
            <w:tcW w:type="dxa" w:w="1728"/>
          </w:tcPr>
          <w:p>
            <w:r>
              <w:t>1,1 %</w:t>
            </w:r>
          </w:p>
        </w:tc>
        <w:tc>
          <w:tcPr>
            <w:tcW w:type="dxa" w:w="1728"/>
          </w:tcPr>
          <w:p>
            <w:r>
              <w:t>1,1 %</w:t>
            </w:r>
          </w:p>
        </w:tc>
        <w:tc>
          <w:tcPr>
            <w:tcW w:type="dxa" w:w="1728"/>
          </w:tcPr>
          <w:p>
            <w:r>
              <w:t>0,7 %</w:t>
            </w:r>
          </w:p>
        </w:tc>
        <w:tc>
          <w:tcPr>
            <w:tcW w:type="dxa" w:w="1728"/>
          </w:tcPr>
          <w:p>
            <w:r>
              <w:t>0,9 %</w:t>
            </w:r>
          </w:p>
        </w:tc>
      </w:tr>
      <w:tr>
        <w:tc>
          <w:tcPr>
            <w:tcW w:type="dxa" w:w="1728"/>
          </w:tcPr>
          <w:p>
            <w:r>
              <w:t>PIB (2025)</w:t>
            </w:r>
          </w:p>
        </w:tc>
        <w:tc>
          <w:tcPr>
            <w:tcW w:type="dxa" w:w="1728"/>
          </w:tcPr>
          <w:p>
            <w:r>
              <w:t>1,1 %</w:t>
            </w:r>
          </w:p>
        </w:tc>
        <w:tc>
          <w:tcPr>
            <w:tcW w:type="dxa" w:w="1728"/>
          </w:tcPr>
          <w:p>
            <w:r>
              <w:t>1,2 %</w:t>
            </w:r>
          </w:p>
        </w:tc>
        <w:tc>
          <w:tcPr>
            <w:tcW w:type="dxa" w:w="1728"/>
          </w:tcPr>
          <w:p>
            <w:r>
              <w:t>1,3 %</w:t>
            </w:r>
          </w:p>
        </w:tc>
        <w:tc>
          <w:tcPr>
            <w:tcW w:type="dxa" w:w="1728"/>
          </w:tcPr>
          <w:p>
            <w:r>
              <w:t>1,3 %</w:t>
            </w:r>
          </w:p>
        </w:tc>
      </w:tr>
      <w:tr>
        <w:tc>
          <w:tcPr>
            <w:tcW w:type="dxa" w:w="1728"/>
          </w:tcPr>
          <w:p>
            <w:r>
              <w:t>IPC (2024)</w:t>
            </w:r>
          </w:p>
        </w:tc>
        <w:tc>
          <w:tcPr>
            <w:tcW w:type="dxa" w:w="1728"/>
          </w:tcPr>
          <w:p>
            <w:r>
              <w:t>2,5 %</w:t>
            </w:r>
          </w:p>
        </w:tc>
        <w:tc>
          <w:tcPr>
            <w:tcW w:type="dxa" w:w="1728"/>
          </w:tcPr>
          <w:p>
            <w:r>
              <w:t>2,4 %</w:t>
            </w:r>
          </w:p>
        </w:tc>
        <w:tc>
          <w:tcPr>
            <w:tcW w:type="dxa" w:w="1728"/>
          </w:tcPr>
          <w:p>
            <w:r>
              <w:t>2,5 %</w:t>
            </w:r>
          </w:p>
        </w:tc>
        <w:tc>
          <w:tcPr>
            <w:tcW w:type="dxa" w:w="1728"/>
          </w:tcPr>
          <w:p>
            <w:r>
              <w:t>n.d.</w:t>
            </w:r>
          </w:p>
        </w:tc>
      </w:tr>
      <w:tr>
        <w:tc>
          <w:tcPr>
            <w:tcW w:type="dxa" w:w="1728"/>
          </w:tcPr>
          <w:p>
            <w:r>
              <w:t>IPC (2025)</w:t>
            </w:r>
          </w:p>
        </w:tc>
        <w:tc>
          <w:tcPr>
            <w:tcW w:type="dxa" w:w="1728"/>
          </w:tcPr>
          <w:p>
            <w:r>
              <w:t>1,9 %</w:t>
            </w:r>
          </w:p>
        </w:tc>
        <w:tc>
          <w:tcPr>
            <w:tcW w:type="dxa" w:w="1728"/>
          </w:tcPr>
          <w:p>
            <w:r>
              <w:t>1,9 %</w:t>
            </w:r>
          </w:p>
        </w:tc>
        <w:tc>
          <w:tcPr>
            <w:tcW w:type="dxa" w:w="1728"/>
          </w:tcPr>
          <w:p>
            <w:r>
              <w:t>2,0 %</w:t>
            </w:r>
          </w:p>
        </w:tc>
        <w:tc>
          <w:tcPr>
            <w:tcW w:type="dxa" w:w="1728"/>
          </w:tcPr>
          <w:p>
            <w:r>
              <w:t>n.d.</w:t>
            </w:r>
          </w:p>
        </w:tc>
      </w:tr>
    </w:tbl>
    <w:p/>
    <w:p>
      <w:pPr>
        <w:jc w:val="both"/>
      </w:pPr>
      <w:r>
        <w:t>En conclusion, les perspectives économiques pour 2025 sont marquées par une croissance modérée tirée par la demande intérieure et une baisse de l'inflation. Le déficit public devrait s'améliorer grâce à un effort de redressement budgétaire portant principalement sur la réduction des dépenses publiques. La dette publique devrait augmenter légèrement, mais la stratégie de redressement vise à la stabiliser à long terme. Les prévisions macroéconomiques sont globalement alignées avec celles des principales institutions internationales, bien que le HCFP les juge légèrement optimistes.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