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mbria" w:hAnsi="Cambria"/>
          <w:b/>
          <w:color w:val="232629"/>
        </w:rPr>
        <w:t>Comment est structurée la société française actuelle</w:t>
      </w:r>
    </w:p>
    <w:p>
      <w:pPr>
        <w:jc w:val="center"/>
      </w:pPr>
      <w:r>
        <w:rPr>
          <w:b/>
          <w:color w:val="1F4E61"/>
          <w:sz w:val="18"/>
        </w:rPr>
        <w:t>TERMINALE  ·  SPÉCIALITÉ SES  ·  LIVRET ÉLÈVES 2026–2027</w:t>
      </w:r>
    </w:p>
    <w:p>
      <w:pPr>
        <w:spacing w:after="260"/>
      </w:pPr>
      <w:r>
        <w:rPr>
          <w:b w:val="0"/>
          <w:i w:val="0"/>
        </w:rPr>
        <w:t>Nom : __________________________________________    Groupe : __________</w:t>
      </w:r>
    </w:p>
    <w:p>
      <w:pPr>
        <w:spacing w:before="160" w:after="100"/>
      </w:pPr>
      <w:r>
        <w:rPr>
          <w:b/>
          <w:color w:val="1F4E61"/>
          <w:sz w:val="24"/>
        </w:rPr>
        <w:t>Objectifs d’apprentissage officiels</w:t>
      </w:r>
    </w:p>
    <w:p>
      <w:pPr>
        <w:spacing w:after="120"/>
      </w:pPr>
      <w:r>
        <w:rPr>
          <w:b w:val="0"/>
          <w:i w:val="0"/>
        </w:rPr>
        <w:t>OA1. Savoir identifier les multiples facteurs de structuration et de hiérarchisation de l’espace social (catégorie socioprofessionnelle, revenu, diplôme, composition du ménage, position dans le cycle de vie, sexe, lieu de résidence).</w:t>
      </w:r>
    </w:p>
    <w:p>
      <w:pPr>
        <w:spacing w:after="120"/>
      </w:pPr>
      <w:r>
        <w:rPr>
          <w:b w:val="0"/>
          <w:i w:val="0"/>
        </w:rPr>
        <w:t>OA2. Comprendre les principales évolutions de la structure socioprofessionnelle en France depuis la seconde moitié du XXe siècle (salarisation, tertiarisation, élévation du niveau de qualification, féminisation des emplois).</w:t>
      </w:r>
    </w:p>
    <w:p>
      <w:pPr>
        <w:spacing w:after="120"/>
      </w:pPr>
      <w:r>
        <w:rPr>
          <w:b w:val="0"/>
          <w:i w:val="0"/>
        </w:rPr>
        <w:t>OA3. Connaître les théories des classes et de la stratification sociale dans la tradition sociologique (Marx, Weber) ; comprendre que la pertinence d’une approche en termes de classes sociales pour rendre compte de la société française fait l’objet de débats théoriques et statistiques : évolution des distances inter et intra-classes, articulation avec les rapports sociaux de genre, identifications subjectives à un groupe social, multiplication des facteurs d’individualisation.</w:t>
      </w:r>
    </w:p>
    <w:p>
      <w:pPr>
        <w:spacing w:after="60"/>
      </w:pPr>
      <w:r>
        <w:rPr>
          <w:b w:val="0"/>
          <w:i/>
          <w:color w:val="63696B"/>
          <w:sz w:val="15"/>
        </w:rPr>
        <w:t>Références : programme de SES de terminale, BO spécial n°8 du 25 juillet 2019 ; ressource d’accompagnement Éduscol « Comment est structurée la société française actuelle ? ».</w:t>
      </w:r>
    </w:p>
    <w:p>
      <w:pPr>
        <w:spacing w:before="160" w:after="100"/>
      </w:pPr>
      <w:r>
        <w:rPr>
          <w:b/>
          <w:color w:val="1F4E61"/>
          <w:sz w:val="24"/>
        </w:rPr>
        <w:t xml:space="preserve">Plan et progression  ·  8 séances de 2 h + 2 h d’évaluation (18 h)</w:t>
      </w:r>
    </w:p>
    <w:tbl>
      <w:tblPr>
        <w:tblStyle w:val="TableGrid"/>
        <w:tblW w:type="auto" w:w="0"/>
        <w:tblLook w:firstColumn="1" w:firstRow="1" w:lastColumn="0" w:lastRow="0" w:noHBand="0" w:noVBand="1" w:val="04A0"/>
      </w:tblPr>
      <w:tblGrid>
        <w:gridCol w:w="3289"/>
        <w:gridCol w:w="3289"/>
        <w:gridCol w:w="3289"/>
      </w:tblGrid>
      <w:tr>
        <w:tc>
          <w:tcPr>
            <w:tcW w:type="dxa" w:w="3289"/>
          </w:tcPr>
          <w:p>
            <w:pPr>
              <w:spacing w:after="0"/>
            </w:pPr>
            <w:r>
              <w:rPr>
                <w:sz w:val="17"/>
              </w:rPr>
              <w:t>Fait</w:t>
            </w:r>
          </w:p>
        </w:tc>
        <w:tc>
          <w:tcPr>
            <w:tcW w:type="dxa" w:w="3289"/>
          </w:tcPr>
          <w:p>
            <w:pPr>
              <w:spacing w:after="0"/>
            </w:pPr>
            <w:r>
              <w:rPr>
                <w:sz w:val="17"/>
              </w:rPr>
              <w:t xml:space="preserve">Séance</w:t>
            </w:r>
          </w:p>
        </w:tc>
        <w:tc>
          <w:tcPr>
            <w:tcW w:type="dxa" w:w="3289"/>
          </w:tcPr>
          <w:p>
            <w:pPr>
              <w:spacing w:after="0"/>
            </w:pPr>
            <w:r>
              <w:rPr>
                <w:sz w:val="17"/>
              </w:rPr>
              <w:t xml:space="preserve">Sous-question</w:t>
            </w:r>
          </w:p>
        </w:tc>
      </w:tr>
      <w:tr>
        <w:tc>
          <w:tcPr>
            <w:tcW w:type="dxa" w:w="3289"/>
          </w:tcPr>
          <w:p>
            <w:pPr>
              <w:spacing w:after="0"/>
            </w:pPr>
            <w:r>
              <w:rPr>
                <w:sz w:val="17"/>
              </w:rPr>
              <w:t>☐</w:t>
            </w:r>
          </w:p>
        </w:tc>
        <w:tc>
          <w:tcPr>
            <w:tcW w:type="dxa" w:w="3289"/>
          </w:tcPr>
          <w:p>
            <w:pPr>
              <w:spacing w:after="0"/>
            </w:pPr>
            <w:r>
              <w:rPr>
                <w:sz w:val="17"/>
              </w:rPr>
              <w:t xml:space="preserve">S1</w:t>
            </w:r>
          </w:p>
        </w:tc>
        <w:tc>
          <w:tcPr>
            <w:tcW w:type="dxa" w:w="3289"/>
          </w:tcPr>
          <w:p>
            <w:pPr>
              <w:spacing w:after="0"/>
            </w:pPr>
            <w:r>
              <w:rPr>
                <w:sz w:val="17"/>
              </w:rPr>
              <w:t xml:space="preserve">1.1 · Comment décrire une position dans l’espace social ?</w:t>
            </w:r>
          </w:p>
        </w:tc>
      </w:tr>
      <w:tr>
        <w:tc>
          <w:tcPr>
            <w:tcW w:type="dxa" w:w="3289"/>
          </w:tcPr>
          <w:p>
            <w:pPr>
              <w:spacing w:after="0"/>
            </w:pPr>
            <w:r>
              <w:rPr>
                <w:sz w:val="17"/>
              </w:rPr>
              <w:t>☐</w:t>
            </w:r>
          </w:p>
        </w:tc>
        <w:tc>
          <w:tcPr>
            <w:tcW w:type="dxa" w:w="3289"/>
          </w:tcPr>
          <w:p>
            <w:pPr>
              <w:spacing w:after="0"/>
            </w:pPr>
            <w:r>
              <w:rPr>
                <w:sz w:val="17"/>
              </w:rPr>
              <w:t xml:space="preserve">S1</w:t>
            </w:r>
          </w:p>
        </w:tc>
        <w:tc>
          <w:tcPr>
            <w:tcW w:type="dxa" w:w="3289"/>
          </w:tcPr>
          <w:p>
            <w:pPr>
              <w:spacing w:after="0"/>
            </w:pPr>
            <w:r>
              <w:rPr>
                <w:sz w:val="17"/>
              </w:rPr>
              <w:t xml:space="preserve">1.2 · Que révèlent les écarts de niveau de vie ?</w:t>
            </w:r>
          </w:p>
        </w:tc>
      </w:tr>
      <w:tr>
        <w:tc>
          <w:tcPr>
            <w:tcW w:type="dxa" w:w="3289"/>
          </w:tcPr>
          <w:p>
            <w:pPr>
              <w:spacing w:after="0"/>
            </w:pPr>
            <w:r>
              <w:rPr>
                <w:sz w:val="17"/>
              </w:rPr>
              <w:t>☐</w:t>
            </w:r>
          </w:p>
        </w:tc>
        <w:tc>
          <w:tcPr>
            <w:tcW w:type="dxa" w:w="3289"/>
          </w:tcPr>
          <w:p>
            <w:pPr>
              <w:spacing w:after="0"/>
            </w:pPr>
            <w:r>
              <w:rPr>
                <w:sz w:val="17"/>
              </w:rPr>
              <w:t xml:space="preserve">S1</w:t>
            </w:r>
          </w:p>
        </w:tc>
        <w:tc>
          <w:tcPr>
            <w:tcW w:type="dxa" w:w="3289"/>
          </w:tcPr>
          <w:p>
            <w:pPr>
              <w:spacing w:after="0"/>
            </w:pPr>
            <w:r>
              <w:rPr>
                <w:sz w:val="17"/>
              </w:rPr>
              <w:t xml:space="preserve">1.3 · Pourquoi le patrimoine compte-t-il dans les positions sociales ?</w:t>
            </w:r>
          </w:p>
        </w:tc>
      </w:tr>
      <w:tr>
        <w:tc>
          <w:tcPr>
            <w:tcW w:type="dxa" w:w="3289"/>
          </w:tcPr>
          <w:p>
            <w:pPr>
              <w:spacing w:after="0"/>
            </w:pPr>
            <w:r>
              <w:rPr>
                <w:sz w:val="17"/>
              </w:rPr>
              <w:t>☐</w:t>
            </w:r>
          </w:p>
        </w:tc>
        <w:tc>
          <w:tcPr>
            <w:tcW w:type="dxa" w:w="3289"/>
          </w:tcPr>
          <w:p>
            <w:pPr>
              <w:spacing w:after="0"/>
            </w:pPr>
            <w:r>
              <w:rPr>
                <w:sz w:val="17"/>
              </w:rPr>
              <w:t xml:space="preserve">S2</w:t>
            </w:r>
          </w:p>
        </w:tc>
        <w:tc>
          <w:tcPr>
            <w:tcW w:type="dxa" w:w="3289"/>
          </w:tcPr>
          <w:p>
            <w:pPr>
              <w:spacing w:after="0"/>
            </w:pPr>
            <w:r>
              <w:rPr>
                <w:sz w:val="17"/>
              </w:rPr>
              <w:t xml:space="preserve">1.4 · Comment le sexe contribue-t-il à la hiérarchie sociale ?</w:t>
            </w:r>
          </w:p>
        </w:tc>
      </w:tr>
      <w:tr>
        <w:tc>
          <w:tcPr>
            <w:tcW w:type="dxa" w:w="3289"/>
          </w:tcPr>
          <w:p>
            <w:pPr>
              <w:spacing w:after="0"/>
            </w:pPr>
            <w:r>
              <w:rPr>
                <w:sz w:val="17"/>
              </w:rPr>
              <w:t>☐</w:t>
            </w:r>
          </w:p>
        </w:tc>
        <w:tc>
          <w:tcPr>
            <w:tcW w:type="dxa" w:w="3289"/>
          </w:tcPr>
          <w:p>
            <w:pPr>
              <w:spacing w:after="0"/>
            </w:pPr>
            <w:r>
              <w:rPr>
                <w:sz w:val="17"/>
              </w:rPr>
              <w:t xml:space="preserve">S2</w:t>
            </w:r>
          </w:p>
        </w:tc>
        <w:tc>
          <w:tcPr>
            <w:tcW w:type="dxa" w:w="3289"/>
          </w:tcPr>
          <w:p>
            <w:pPr>
              <w:spacing w:after="0"/>
            </w:pPr>
            <w:r>
              <w:rPr>
                <w:sz w:val="17"/>
              </w:rPr>
              <w:t xml:space="preserve">1.5 · Pourquoi la composition du ménage modifie-t-elle le niveau de vie ?</w:t>
            </w:r>
          </w:p>
        </w:tc>
      </w:tr>
      <w:tr>
        <w:tc>
          <w:tcPr>
            <w:tcW w:type="dxa" w:w="3289"/>
          </w:tcPr>
          <w:p>
            <w:pPr>
              <w:spacing w:after="0"/>
            </w:pPr>
            <w:r>
              <w:rPr>
                <w:sz w:val="17"/>
              </w:rPr>
              <w:t>☐</w:t>
            </w:r>
          </w:p>
        </w:tc>
        <w:tc>
          <w:tcPr>
            <w:tcW w:type="dxa" w:w="3289"/>
          </w:tcPr>
          <w:p>
            <w:pPr>
              <w:spacing w:after="0"/>
            </w:pPr>
            <w:r>
              <w:rPr>
                <w:sz w:val="17"/>
              </w:rPr>
              <w:t xml:space="preserve">S3</w:t>
            </w:r>
          </w:p>
        </w:tc>
        <w:tc>
          <w:tcPr>
            <w:tcW w:type="dxa" w:w="3289"/>
          </w:tcPr>
          <w:p>
            <w:pPr>
              <w:spacing w:after="0"/>
            </w:pPr>
            <w:r>
              <w:rPr>
                <w:sz w:val="17"/>
              </w:rPr>
              <w:t xml:space="preserve">1.6 · Quel rôle joue la position dans le cycle de vie ?</w:t>
            </w:r>
          </w:p>
        </w:tc>
      </w:tr>
      <w:tr>
        <w:tc>
          <w:tcPr>
            <w:tcW w:type="dxa" w:w="3289"/>
          </w:tcPr>
          <w:p>
            <w:pPr>
              <w:spacing w:after="0"/>
            </w:pPr>
            <w:r>
              <w:rPr>
                <w:sz w:val="17"/>
              </w:rPr>
              <w:t>☐</w:t>
            </w:r>
          </w:p>
        </w:tc>
        <w:tc>
          <w:tcPr>
            <w:tcW w:type="dxa" w:w="3289"/>
          </w:tcPr>
          <w:p>
            <w:pPr>
              <w:spacing w:after="0"/>
            </w:pPr>
            <w:r>
              <w:rPr>
                <w:sz w:val="17"/>
              </w:rPr>
              <w:t xml:space="preserve">S3</w:t>
            </w:r>
          </w:p>
        </w:tc>
        <w:tc>
          <w:tcPr>
            <w:tcW w:type="dxa" w:w="3289"/>
          </w:tcPr>
          <w:p>
            <w:pPr>
              <w:spacing w:after="0"/>
            </w:pPr>
            <w:r>
              <w:rPr>
                <w:sz w:val="17"/>
              </w:rPr>
              <w:t xml:space="preserve">1.7 · Pourquoi le lieu de résidence renforce-t-il certains écarts ?</w:t>
            </w:r>
          </w:p>
        </w:tc>
      </w:tr>
      <w:tr>
        <w:tc>
          <w:tcPr>
            <w:tcW w:type="dxa" w:w="3289"/>
          </w:tcPr>
          <w:p>
            <w:pPr>
              <w:spacing w:after="0"/>
            </w:pPr>
            <w:r>
              <w:rPr>
                <w:sz w:val="17"/>
              </w:rPr>
              <w:t>☐</w:t>
            </w:r>
          </w:p>
        </w:tc>
        <w:tc>
          <w:tcPr>
            <w:tcW w:type="dxa" w:w="3289"/>
          </w:tcPr>
          <w:p>
            <w:pPr>
              <w:spacing w:after="0"/>
            </w:pPr>
            <w:r>
              <w:rPr>
                <w:sz w:val="17"/>
              </w:rPr>
              <w:t xml:space="preserve">S4</w:t>
            </w:r>
          </w:p>
        </w:tc>
        <w:tc>
          <w:tcPr>
            <w:tcW w:type="dxa" w:w="3289"/>
          </w:tcPr>
          <w:p>
            <w:pPr>
              <w:spacing w:after="0"/>
            </w:pPr>
            <w:r>
              <w:rPr>
                <w:sz w:val="17"/>
              </w:rPr>
              <w:t xml:space="preserve">2.1 · Comment la salarisation a-t-elle transformé l’emploi ?</w:t>
            </w:r>
          </w:p>
        </w:tc>
      </w:tr>
      <w:tr>
        <w:tc>
          <w:tcPr>
            <w:tcW w:type="dxa" w:w="3289"/>
          </w:tcPr>
          <w:p>
            <w:pPr>
              <w:spacing w:after="0"/>
            </w:pPr>
            <w:r>
              <w:rPr>
                <w:sz w:val="17"/>
              </w:rPr>
              <w:t>☐</w:t>
            </w:r>
          </w:p>
        </w:tc>
        <w:tc>
          <w:tcPr>
            <w:tcW w:type="dxa" w:w="3289"/>
          </w:tcPr>
          <w:p>
            <w:pPr>
              <w:spacing w:after="0"/>
            </w:pPr>
            <w:r>
              <w:rPr>
                <w:sz w:val="17"/>
              </w:rPr>
              <w:t xml:space="preserve">S4</w:t>
            </w:r>
          </w:p>
        </w:tc>
        <w:tc>
          <w:tcPr>
            <w:tcW w:type="dxa" w:w="3289"/>
          </w:tcPr>
          <w:p>
            <w:pPr>
              <w:spacing w:after="0"/>
            </w:pPr>
            <w:r>
              <w:rPr>
                <w:sz w:val="17"/>
              </w:rPr>
              <w:t xml:space="preserve">2.2 · Comment mesurer la tertiarisation ?</w:t>
            </w:r>
          </w:p>
        </w:tc>
      </w:tr>
      <w:tr>
        <w:tc>
          <w:tcPr>
            <w:tcW w:type="dxa" w:w="3289"/>
          </w:tcPr>
          <w:p>
            <w:pPr>
              <w:spacing w:after="0"/>
            </w:pPr>
            <w:r>
              <w:rPr>
                <w:sz w:val="17"/>
              </w:rPr>
              <w:t>☐</w:t>
            </w:r>
          </w:p>
        </w:tc>
        <w:tc>
          <w:tcPr>
            <w:tcW w:type="dxa" w:w="3289"/>
          </w:tcPr>
          <w:p>
            <w:pPr>
              <w:spacing w:after="0"/>
            </w:pPr>
            <w:r>
              <w:rPr>
                <w:sz w:val="17"/>
              </w:rPr>
              <w:t xml:space="preserve">S5</w:t>
            </w:r>
          </w:p>
        </w:tc>
        <w:tc>
          <w:tcPr>
            <w:tcW w:type="dxa" w:w="3289"/>
          </w:tcPr>
          <w:p>
            <w:pPr>
              <w:spacing w:after="0"/>
            </w:pPr>
            <w:r>
              <w:rPr>
                <w:sz w:val="17"/>
              </w:rPr>
              <w:t xml:space="preserve">2.3 · L’élévation des diplômes est-elle la même chose que celle des qualifications des emplois ?</w:t>
            </w:r>
          </w:p>
        </w:tc>
      </w:tr>
      <w:tr>
        <w:tc>
          <w:tcPr>
            <w:tcW w:type="dxa" w:w="3289"/>
          </w:tcPr>
          <w:p>
            <w:pPr>
              <w:spacing w:after="0"/>
            </w:pPr>
            <w:r>
              <w:rPr>
                <w:sz w:val="17"/>
              </w:rPr>
              <w:t>☐</w:t>
            </w:r>
          </w:p>
        </w:tc>
        <w:tc>
          <w:tcPr>
            <w:tcW w:type="dxa" w:w="3289"/>
          </w:tcPr>
          <w:p>
            <w:pPr>
              <w:spacing w:after="0"/>
            </w:pPr>
            <w:r>
              <w:rPr>
                <w:sz w:val="17"/>
              </w:rPr>
              <w:t xml:space="preserve">S5</w:t>
            </w:r>
          </w:p>
        </w:tc>
        <w:tc>
          <w:tcPr>
            <w:tcW w:type="dxa" w:w="3289"/>
          </w:tcPr>
          <w:p>
            <w:pPr>
              <w:spacing w:after="0"/>
            </w:pPr>
            <w:r>
              <w:rPr>
                <w:sz w:val="17"/>
              </w:rPr>
              <w:t xml:space="preserve">2.4 · Que signifie la féminisation des emplois ?</w:t>
            </w:r>
          </w:p>
        </w:tc>
      </w:tr>
      <w:tr>
        <w:tc>
          <w:tcPr>
            <w:tcW w:type="dxa" w:w="3289"/>
          </w:tcPr>
          <w:p>
            <w:pPr>
              <w:spacing w:after="0"/>
            </w:pPr>
            <w:r>
              <w:rPr>
                <w:sz w:val="17"/>
              </w:rPr>
              <w:t>☐</w:t>
            </w:r>
          </w:p>
        </w:tc>
        <w:tc>
          <w:tcPr>
            <w:tcW w:type="dxa" w:w="3289"/>
          </w:tcPr>
          <w:p>
            <w:pPr>
              <w:spacing w:after="0"/>
            </w:pPr>
            <w:r>
              <w:rPr>
                <w:sz w:val="17"/>
              </w:rPr>
              <w:t xml:space="preserve">S6</w:t>
            </w:r>
          </w:p>
        </w:tc>
        <w:tc>
          <w:tcPr>
            <w:tcW w:type="dxa" w:w="3289"/>
          </w:tcPr>
          <w:p>
            <w:pPr>
              <w:spacing w:after="0"/>
            </w:pPr>
            <w:r>
              <w:rPr>
                <w:sz w:val="17"/>
              </w:rPr>
              <w:t xml:space="preserve">3.1 · Comment Marx définit-il les classes sociales ?</w:t>
            </w:r>
          </w:p>
        </w:tc>
      </w:tr>
      <w:tr>
        <w:tc>
          <w:tcPr>
            <w:tcW w:type="dxa" w:w="3289"/>
          </w:tcPr>
          <w:p>
            <w:pPr>
              <w:spacing w:after="0"/>
            </w:pPr>
            <w:r>
              <w:rPr>
                <w:sz w:val="17"/>
              </w:rPr>
              <w:t>☐</w:t>
            </w:r>
          </w:p>
        </w:tc>
        <w:tc>
          <w:tcPr>
            <w:tcW w:type="dxa" w:w="3289"/>
          </w:tcPr>
          <w:p>
            <w:pPr>
              <w:spacing w:after="0"/>
            </w:pPr>
            <w:r>
              <w:rPr>
                <w:sz w:val="17"/>
              </w:rPr>
              <w:t xml:space="preserve">S6</w:t>
            </w:r>
          </w:p>
        </w:tc>
        <w:tc>
          <w:tcPr>
            <w:tcW w:type="dxa" w:w="3289"/>
          </w:tcPr>
          <w:p>
            <w:pPr>
              <w:spacing w:after="0"/>
            </w:pPr>
            <w:r>
              <w:rPr>
                <w:sz w:val="17"/>
              </w:rPr>
              <w:t xml:space="preserve">3.2 · Pourquoi Weber distingue-t-il trois ordres de hiérarchie ?</w:t>
            </w:r>
          </w:p>
        </w:tc>
      </w:tr>
      <w:tr>
        <w:tc>
          <w:tcPr>
            <w:tcW w:type="dxa" w:w="3289"/>
          </w:tcPr>
          <w:p>
            <w:pPr>
              <w:spacing w:after="0"/>
            </w:pPr>
            <w:r>
              <w:rPr>
                <w:sz w:val="17"/>
              </w:rPr>
              <w:t>☐</w:t>
            </w:r>
          </w:p>
        </w:tc>
        <w:tc>
          <w:tcPr>
            <w:tcW w:type="dxa" w:w="3289"/>
          </w:tcPr>
          <w:p>
            <w:pPr>
              <w:spacing w:after="0"/>
            </w:pPr>
            <w:r>
              <w:rPr>
                <w:sz w:val="17"/>
              </w:rPr>
              <w:t xml:space="preserve">S7</w:t>
            </w:r>
          </w:p>
        </w:tc>
        <w:tc>
          <w:tcPr>
            <w:tcW w:type="dxa" w:w="3289"/>
          </w:tcPr>
          <w:p>
            <w:pPr>
              <w:spacing w:after="0"/>
            </w:pPr>
            <w:r>
              <w:rPr>
                <w:sz w:val="17"/>
              </w:rPr>
              <w:t xml:space="preserve">3.3 · Les distances entre les classes et à l’intérieur des classes se sont-elles réduites ?</w:t>
            </w:r>
          </w:p>
        </w:tc>
      </w:tr>
      <w:tr>
        <w:tc>
          <w:tcPr>
            <w:tcW w:type="dxa" w:w="3289"/>
          </w:tcPr>
          <w:p>
            <w:pPr>
              <w:spacing w:after="0"/>
            </w:pPr>
            <w:r>
              <w:rPr>
                <w:sz w:val="17"/>
              </w:rPr>
              <w:t>☐</w:t>
            </w:r>
          </w:p>
        </w:tc>
        <w:tc>
          <w:tcPr>
            <w:tcW w:type="dxa" w:w="3289"/>
          </w:tcPr>
          <w:p>
            <w:pPr>
              <w:spacing w:after="0"/>
            </w:pPr>
            <w:r>
              <w:rPr>
                <w:sz w:val="17"/>
              </w:rPr>
              <w:t xml:space="preserve">S7</w:t>
            </w:r>
          </w:p>
        </w:tc>
        <w:tc>
          <w:tcPr>
            <w:tcW w:type="dxa" w:w="3289"/>
          </w:tcPr>
          <w:p>
            <w:pPr>
              <w:spacing w:after="0"/>
            </w:pPr>
            <w:r>
              <w:rPr>
                <w:sz w:val="17"/>
              </w:rPr>
              <w:t xml:space="preserve">3.4 · Pourquoi l’identification à une classe sociale s’est-elle affaiblie ?</w:t>
            </w:r>
          </w:p>
        </w:tc>
      </w:tr>
      <w:tr>
        <w:tc>
          <w:tcPr>
            <w:tcW w:type="dxa" w:w="3289"/>
          </w:tcPr>
          <w:p>
            <w:pPr>
              <w:spacing w:after="0"/>
            </w:pPr>
            <w:r>
              <w:rPr>
                <w:sz w:val="17"/>
              </w:rPr>
              <w:t>☐</w:t>
            </w:r>
          </w:p>
        </w:tc>
        <w:tc>
          <w:tcPr>
            <w:tcW w:type="dxa" w:w="3289"/>
          </w:tcPr>
          <w:p>
            <w:pPr>
              <w:spacing w:after="0"/>
            </w:pPr>
            <w:r>
              <w:rPr>
                <w:sz w:val="17"/>
              </w:rPr>
              <w:t xml:space="preserve">S8</w:t>
            </w:r>
          </w:p>
        </w:tc>
        <w:tc>
          <w:tcPr>
            <w:tcW w:type="dxa" w:w="3289"/>
          </w:tcPr>
          <w:p>
            <w:pPr>
              <w:spacing w:after="0"/>
            </w:pPr>
            <w:r>
              <w:rPr>
                <w:sz w:val="17"/>
              </w:rPr>
              <w:t xml:space="preserve">3.5 · Les mobilisations peuvent-elles rendre des classes sociales visibles ?</w:t>
            </w:r>
          </w:p>
        </w:tc>
      </w:tr>
      <w:tr>
        <w:tc>
          <w:tcPr>
            <w:tcW w:type="dxa" w:w="3289"/>
          </w:tcPr>
          <w:p>
            <w:pPr>
              <w:spacing w:after="0"/>
            </w:pPr>
            <w:r>
              <w:rPr>
                <w:sz w:val="17"/>
              </w:rPr>
              <w:t>☐</w:t>
            </w:r>
          </w:p>
        </w:tc>
        <w:tc>
          <w:tcPr>
            <w:tcW w:type="dxa" w:w="3289"/>
          </w:tcPr>
          <w:p>
            <w:pPr>
              <w:spacing w:after="0"/>
            </w:pPr>
            <w:r>
              <w:rPr>
                <w:sz w:val="17"/>
              </w:rPr>
              <w:t xml:space="preserve">S8</w:t>
            </w:r>
          </w:p>
        </w:tc>
        <w:tc>
          <w:tcPr>
            <w:tcW w:type="dxa" w:w="3289"/>
          </w:tcPr>
          <w:p>
            <w:pPr>
              <w:spacing w:after="0"/>
            </w:pPr>
            <w:r>
              <w:rPr>
                <w:sz w:val="17"/>
              </w:rPr>
              <w:t xml:space="preserve">3.6 · Comment articuler rapports de classe et rapports sociaux de genre ?</w:t>
            </w:r>
          </w:p>
        </w:tc>
      </w:tr>
      <w:tr>
        <w:tc>
          <w:tcPr>
            <w:tcW w:type="dxa" w:w="3289"/>
          </w:tcPr>
          <w:p>
            <w:pPr>
              <w:spacing w:after="0"/>
            </w:pPr>
            <w:r>
              <w:rPr>
                <w:sz w:val="17"/>
              </w:rPr>
              <w:t>☐</w:t>
            </w:r>
          </w:p>
        </w:tc>
        <w:tc>
          <w:tcPr>
            <w:tcW w:type="dxa" w:w="3289"/>
          </w:tcPr>
          <w:p>
            <w:pPr>
              <w:spacing w:after="0"/>
            </w:pPr>
            <w:r>
              <w:rPr>
                <w:sz w:val="17"/>
              </w:rPr>
              <w:t xml:space="preserve">S8</w:t>
            </w:r>
          </w:p>
        </w:tc>
        <w:tc>
          <w:tcPr>
            <w:tcW w:type="dxa" w:w="3289"/>
          </w:tcPr>
          <w:p>
            <w:pPr>
              <w:spacing w:after="0"/>
            </w:pPr>
            <w:r>
              <w:rPr>
                <w:sz w:val="17"/>
              </w:rPr>
              <w:t xml:space="preserve">Synthèse · Comment est structurée la société française actuelle ?</w:t>
            </w:r>
          </w:p>
        </w:tc>
      </w:tr>
      <w:tr>
        <w:tc>
          <w:tcPr>
            <w:tcW w:type="dxa" w:w="3289"/>
          </w:tcPr>
          <w:p>
            <w:pPr>
              <w:spacing w:after="0"/>
            </w:pPr>
            <w:r>
              <w:rPr>
                <w:sz w:val="17"/>
              </w:rPr>
              <w:t>☐</w:t>
            </w:r>
          </w:p>
        </w:tc>
        <w:tc>
          <w:tcPr>
            <w:tcW w:type="dxa" w:w="3289"/>
          </w:tcPr>
          <w:p>
            <w:pPr>
              <w:spacing w:after="0"/>
            </w:pPr>
            <w:r>
              <w:rPr>
                <w:sz w:val="17"/>
              </w:rPr>
              <w:t xml:space="preserve">S9</w:t>
            </w:r>
          </w:p>
        </w:tc>
        <w:tc>
          <w:tcPr>
            <w:tcW w:type="dxa" w:w="3289"/>
          </w:tcPr>
          <w:p>
            <w:pPr>
              <w:spacing w:after="0"/>
            </w:pPr>
            <w:r>
              <w:rPr>
                <w:sz w:val="17"/>
              </w:rPr>
              <w:t xml:space="preserve">Évaluation du chapitre (2 h)</w:t>
            </w:r>
          </w:p>
        </w:tc>
      </w:tr>
    </w:tbl>
    <w:p>
      <w:pPr>
        <w:spacing w:after="0"/>
      </w:pPr>
      <w:r>
        <w:t xml:space="preserve">Organisation : chaque séance de 2 h commence par un rappel (5 min) et se termine par « Pour terminer la séance » : un paragraphe A-E-I en classe et une validation à la maison. Lisez individuellement les documents, puis discutez les réponses en groupes de trois. La séance 9 est l’évaluation du chapitre.</w:t>
      </w:r>
    </w:p>
    <w:p>
      <w:pPr>
        <w:pageBreakBefore/>
        <w:spacing w:after="40"/>
      </w:pPr>
      <w:r>
        <w:rPr>
          <w:b/>
          <w:color w:val="1F4E61"/>
          <w:sz w:val="16"/>
        </w:rPr>
        <w:t xml:space="preserve">SÉANCE 1  ·  2 H    /    STRUCTURE SOCIALE</w:t>
      </w:r>
    </w:p>
    <w:p>
      <w:pPr>
        <w:spacing w:after="140"/>
      </w:pPr>
      <w:r>
        <w:rPr>
          <w:i/>
          <w:color w:val="63696B"/>
          <w:sz w:val="17"/>
        </w:rPr>
        <w:t xml:space="preserve">Déroulé : 1.1 (≈ 30 min) · 1.2 (≈ 20 min) · 1.3 (≈ 40 min) · pour terminer (≈ 25 min).</w:t>
      </w:r>
    </w:p>
    <w:p>
      <w:pPr>
        <w:spacing w:after="100"/>
      </w:pPr>
      <w:r>
        <w:rPr>
          <w:b/>
          <w:color w:val="232629"/>
          <w:sz w:val="28"/>
        </w:rPr>
        <w:t>1.1  ·  Comment décrire une position dans l’espace social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Comment décrire une position dans l’espace social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1</w:t>
            </w:r>
          </w:p>
        </w:tc>
        <w:tc>
          <w:tcPr>
            <w:tcW w:type="dxa" w:w="4933"/>
            <w:tcMar>
              <w:top w:w="70" w:type="dxa"/>
              <w:start w:w="100" w:type="dxa"/>
              <w:bottom w:w="70" w:type="dxa"/>
              <w:end w:w="40" w:type="dxa"/>
            </w:tcMar>
          </w:tcPr>
          <w:p>
            <w:r>
              <w:rPr>
                <w:b/>
                <w:color w:val="1F4E61"/>
                <w:sz w:val="21"/>
              </w:rPr>
              <w:t>La stratification sociale selon Serge Paugam</w:t>
            </w:r>
          </w:p>
        </w:tc>
      </w:tr>
    </w:tbl>
    <w:tbl>
      <w:tblPr>
        <w:tblW w:type="auto" w:w="0"/>
        <w:tblLayout w:type="fixed"/>
        <w:tblLook w:firstColumn="1" w:firstRow="1" w:lastColumn="0" w:lastRow="0" w:noHBand="0" w:noVBand="1" w:val="04A0"/>
      </w:tblPr>
      <w:tblGrid>
        <w:gridCol w:w="9866"/>
      </w:tblGrid>
      <w:tr>
        <w:tc>
          <w:tcPr>
            <w:tcW w:type="dxa" w:w="9866"/>
            <w:tcMar>
              <w:top w:w="60" w:type="dxa"/>
              <w:start w:w="100" w:type="dxa"/>
              <w:bottom w:w="50" w:type="dxa"/>
              <w:end w:w="100" w:type="dxa"/>
            </w:tcMar>
          </w:tcPr>
          <w:p>
            <w:r>
              <w:drawing>
                <wp:inline xmlns:a="http://schemas.openxmlformats.org/drawingml/2006/main" xmlns:pic="http://schemas.openxmlformats.org/drawingml/2006/picture">
                  <wp:extent cx="5760000" cy="1891930"/>
                  <wp:docPr id="1" name="Picture 1"/>
                  <wp:cNvGraphicFramePr>
                    <a:graphicFrameLocks noChangeAspect="1"/>
                  </wp:cNvGraphicFramePr>
                  <a:graphic>
                    <a:graphicData uri="http://schemas.openxmlformats.org/drawingml/2006/picture">
                      <pic:pic>
                        <pic:nvPicPr>
                          <pic:cNvPr id="0" name="paugam_original.png"/>
                          <pic:cNvPicPr/>
                        </pic:nvPicPr>
                        <pic:blipFill>
                          <a:blip r:embed="rId9"/>
                          <a:stretch>
                            <a:fillRect/>
                          </a:stretch>
                        </pic:blipFill>
                        <pic:spPr>
                          <a:xfrm>
                            <a:off x="0" y="0"/>
                            <a:ext cx="5760000" cy="1891930"/>
                          </a:xfrm>
                          <a:prstGeom prst="rect"/>
                        </pic:spPr>
                      </pic:pic>
                    </a:graphicData>
                  </a:graphic>
                </wp:inline>
              </w:drawing>
            </w:r>
          </w:p>
          <w:p>
            <w:pPr>
              <w:spacing w:after="60"/>
            </w:pPr>
            <w:r>
              <w:rPr>
                <w:b w:val="0"/>
                <w:i/>
                <w:color w:val="63696B"/>
                <w:sz w:val="15"/>
              </w:rPr>
              <w:t>Serge Paugam, Les 100 mots de la sociologie, PUF, coll. « Les 100 mots », 2018.</w:t>
            </w:r>
          </w:p>
        </w:tc>
      </w:tr>
    </w:tbl>
    <w:tbl>
      <w:tblPr>
        <w:tblW w:type="auto" w:w="0"/>
        <w:tblLayout w:type="autofit"/>
        <w:tblLook w:firstColumn="1" w:firstRow="1" w:lastColumn="0" w:lastRow="0" w:noHBand="0" w:noVBand="1" w:val="04A0"/>
      </w:tblPr>
      <w:tblGrid>
        <w:gridCol w:w="9866"/>
      </w:tblGrid>
      <w:tr>
        <w:trPr/>
        <w:tc>
          <w:tcPr>
            <w:tcW w:type="dxa" w:w="9866"/>
            <w:shd w:fill="F7F5F0"/>
            <w:tcMar>
              <w:top w:w="60" w:type="dxa"/>
              <w:start w:w="90" w:type="dxa"/>
              <w:bottom w:w="60" w:type="dxa"/>
              <w:end w:w="90" w:type="dxa"/>
            </w:tcMar>
          </w:tcPr>
          <w:p>
            <w:r>
              <w:rPr>
                <w:b/>
                <w:color w:val="995133"/>
                <w:sz w:val="16"/>
              </w:rPr>
              <w:t xml:space="preserve">QUESTIONS  </w:t>
            </w:r>
          </w:p>
          <w:p>
            <w:pPr>
              <w:spacing w:after="60"/>
            </w:pPr>
            <w:r>
              <w:rPr>
                <w:b/>
                <w:color w:val="995133"/>
              </w:rPr>
              <w:t xml:space="preserve">Q1.  </w:t>
            </w:r>
            <w:r>
              <w:t>Selon Paugam, que désigne la stratification sociale ?</w:t>
            </w:r>
          </w:p>
          <w:p>
            <w:pPr>
              <w:spacing w:after="60"/>
            </w:pPr>
            <w:r>
              <w:rPr>
                <w:b/>
                <w:color w:val="995133"/>
              </w:rPr>
              <w:t xml:space="preserve">Q2.  </w:t>
            </w:r>
            <w:r>
              <w:t>Distinguez les représentations unidimensionnelle et pluridimensionnelle évoquées dans le document 1.</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2</w:t>
            </w:r>
          </w:p>
        </w:tc>
        <w:tc>
          <w:tcPr>
            <w:tcW w:type="dxa" w:w="4933"/>
            <w:tcMar>
              <w:top w:w="70" w:type="dxa"/>
              <w:start w:w="100" w:type="dxa"/>
              <w:bottom w:w="70" w:type="dxa"/>
              <w:end w:w="40" w:type="dxa"/>
            </w:tcMar>
          </w:tcPr>
          <w:p>
            <w:r>
              <w:rPr>
                <w:b/>
                <w:color w:val="1F4E61"/>
                <w:sz w:val="21"/>
              </w:rPr>
              <w:t>Bourdieu et les positions dans l’espace social</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p>
            <w:pPr>
              <w:spacing w:after="100"/>
            </w:pPr>
            <w:r>
              <w:rPr>
                <w:b w:val="0"/>
                <w:i w:val="0"/>
              </w:rPr>
              <w:t>Pierre Bourdieu décrit l’espace social comme un ensemble de positions définies les unes par rapport aux autres par leur proximité, leur éloignement et leur ordre. « au-dessus », « au-dessous » et « entre » rendent visibles des relations de hiérarchie. Il distingue notamment les ressources économiques (revenu, patrimoine) et culturelles (diplômes, savoirs, pratiques). Une personne peut posséder beaucoup de ressources économiques et moins de diplômes ; une autre peut présenter la combinaison inverse. Le volume des ressources et leur composition aident ainsi à comprendre leurs positions respectives.</w:t>
            </w:r>
          </w:p>
          <w:p>
            <w:pPr>
              <w:spacing w:after="100"/>
            </w:pPr>
            <w:r>
              <w:rPr>
                <w:b w:val="0"/>
                <w:i w:val="0"/>
              </w:rPr>
              <w:t>Pour l’enquête, les catégories socioprofessionnelles fournissent un classement utile de l’emploi, mais n’épuisent pas la diversité des situations. Il faut aussi observer la famille, l’âge, le sexe et le lieu de résidence. Des écarts deviennent une hiérarchie lorsqu’ils se traduisent par des chances inégales d’accès à des ressources, des positions ou des espaces.</w:t>
            </w:r>
          </w:p>
          <w:p>
            <w:pPr>
              <w:spacing w:after="60"/>
            </w:pPr>
            <w:r>
              <w:rPr>
                <w:b w:val="0"/>
                <w:i/>
                <w:color w:val="63696B"/>
                <w:sz w:val="15"/>
              </w:rPr>
              <w:t>Présentation rédigée pour le livret d’après Pierre Bourdieu, Raisons pratiques. Sur la théorie de l’action, Seuil, 1994.</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Q3.  </w:t>
            </w:r>
            <w:r>
              <w:t>À partir du document 2, identifiez deux ressources qui permettent de situer les individus.</w:t>
            </w:r>
          </w:p>
          <w:p>
            <w:pPr>
              <w:spacing w:after="180"/>
            </w:pPr>
            <w:r>
              <w:rPr>
                <w:b/>
                <w:color w:val="995133"/>
              </w:rPr>
              <w:t xml:space="preserve">Q4.  </w:t>
            </w:r>
            <w:r>
              <w:t>Expliquez pourquoi une différence de ressources peut devenir une hiérarchie sociale.</w:t>
            </w:r>
          </w:p>
        </w:tc>
      </w:tr>
    </w:tbl>
    <w:p>
      <w:pPr>
        <w:spacing w:after="100"/>
      </w:pPr>
      <w:r>
        <w:rPr>
          <w:b/>
          <w:color w:val="232629"/>
          <w:sz w:val="28"/>
        </w:rPr>
        <w:t>1.2  ·  Que révèlent les écarts de niveau de vie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Que révèlent les écarts de niveau de vie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3</w:t>
            </w:r>
          </w:p>
        </w:tc>
        <w:tc>
          <w:tcPr>
            <w:tcW w:type="dxa" w:w="4933"/>
            <w:tcMar>
              <w:top w:w="70" w:type="dxa"/>
              <w:start w:w="100" w:type="dxa"/>
              <w:bottom w:w="70" w:type="dxa"/>
              <w:end w:w="40" w:type="dxa"/>
            </w:tcMar>
          </w:tcPr>
          <w:p>
            <w:r>
              <w:rPr>
                <w:b/>
                <w:color w:val="1F4E61"/>
                <w:sz w:val="21"/>
              </w:rPr>
              <w:t>Niveaux de vie en France métropolitaine en 2023</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tbl>
            <w:tblPr>
              <w:tblStyle w:val="TableGrid"/>
              <w:tblW w:type="auto" w:w="0"/>
              <w:tblLayout w:type="fixed"/>
              <w:tblLook w:firstColumn="1" w:firstRow="1" w:lastColumn="0" w:lastRow="0" w:noHBand="0" w:noVBand="1" w:val="04A0"/>
            </w:tblPr>
            <w:tblGrid>
              <w:gridCol w:w="3160"/>
              <w:gridCol w:w="3160"/>
            </w:tblGrid>
            <w:tr>
              <w:tc>
                <w:tcPr>
                  <w:tcW w:type="dxa" w:w="3160"/>
                </w:tcPr>
                <w:p>
                  <w:r>
                    <w:rPr>
                      <w:b/>
                      <w:color w:val="1F4E61"/>
                      <w:sz w:val="17"/>
                    </w:rPr>
                    <w:t>Indicateur 2023</w:t>
                  </w:r>
                </w:p>
              </w:tc>
              <w:tc>
                <w:tcPr>
                  <w:tcW w:type="dxa" w:w="3160"/>
                </w:tcPr>
                <w:p>
                  <w:r>
                    <w:rPr>
                      <w:b/>
                      <w:color w:val="1F4E61"/>
                      <w:sz w:val="17"/>
                    </w:rPr>
                    <w:t>Seuil annuel</w:t>
                  </w:r>
                </w:p>
              </w:tc>
            </w:tr>
            <w:tr>
              <w:tc>
                <w:tcPr>
                  <w:tcW w:type="dxa" w:w="3160"/>
                </w:tcPr>
                <w:p>
                  <w:pPr>
                    <w:spacing w:after="20"/>
                  </w:pPr>
                  <w:r>
                    <w:rPr>
                      <w:sz w:val="17"/>
                    </w:rPr>
                    <w:t>D1</w:t>
                  </w:r>
                </w:p>
              </w:tc>
              <w:tc>
                <w:tcPr>
                  <w:tcW w:type="dxa" w:w="3160"/>
                </w:tcPr>
                <w:p>
                  <w:pPr>
                    <w:spacing w:after="20"/>
                  </w:pPr>
                  <w:r>
                    <w:rPr>
                      <w:sz w:val="17"/>
                    </w:rPr>
                    <w:t>13 460 €</w:t>
                  </w:r>
                </w:p>
              </w:tc>
            </w:tr>
            <w:tr>
              <w:tc>
                <w:tcPr>
                  <w:tcW w:type="dxa" w:w="3160"/>
                </w:tcPr>
                <w:p>
                  <w:pPr>
                    <w:spacing w:after="20"/>
                  </w:pPr>
                  <w:r>
                    <w:rPr>
                      <w:sz w:val="17"/>
                    </w:rPr>
                    <w:t>Médiane</w:t>
                  </w:r>
                </w:p>
              </w:tc>
              <w:tc>
                <w:tcPr>
                  <w:tcW w:type="dxa" w:w="3160"/>
                </w:tcPr>
                <w:p>
                  <w:pPr>
                    <w:spacing w:after="20"/>
                  </w:pPr>
                  <w:r>
                    <w:rPr>
                      <w:sz w:val="17"/>
                    </w:rPr>
                    <w:t>25 760 €</w:t>
                  </w:r>
                </w:p>
              </w:tc>
            </w:tr>
            <w:tr>
              <w:tc>
                <w:tcPr>
                  <w:tcW w:type="dxa" w:w="3160"/>
                </w:tcPr>
                <w:p>
                  <w:pPr>
                    <w:spacing w:after="20"/>
                  </w:pPr>
                  <w:r>
                    <w:rPr>
                      <w:sz w:val="17"/>
                    </w:rPr>
                    <w:t>D9</w:t>
                  </w:r>
                </w:p>
              </w:tc>
              <w:tc>
                <w:tcPr>
                  <w:tcW w:type="dxa" w:w="3160"/>
                </w:tcPr>
                <w:p>
                  <w:pPr>
                    <w:spacing w:after="20"/>
                  </w:pPr>
                  <w:r>
                    <w:rPr>
                      <w:sz w:val="17"/>
                    </w:rPr>
                    <w:t>46 960 €</w:t>
                  </w:r>
                </w:p>
              </w:tc>
            </w:tr>
          </w:tbl>
          <w:p/>
          <w:p>
            <w:pPr>
              <w:spacing w:after="0"/>
            </w:pPr>
          </w:p>
          <w:p>
            <w:pPr>
              <w:spacing w:after="100"/>
            </w:pPr>
            <w:r>
              <w:rPr>
                <w:b w:val="0"/>
                <w:i w:val="0"/>
              </w:rPr>
              <w:t>Distribution des niveaux de vie annuels, France métropolitaine, 2023. Seuil D1 : 13 460 € ; médiane : 25 760 € ; seuil D9 : 46 960 €. Le rapport D9/D1 est d'environ 3,5. Le seuil D1 partage les 10 % de personnes au niveau de vie le plus faible du reste de la population. Le seuil D9 laisse 10 % de personnes au-dessus de lui. La médiane partage la population en deux moitiés ; elle ne correspond pas à la moyenne.</w:t>
            </w:r>
          </w:p>
          <w:p>
            <w:pPr>
              <w:spacing w:after="100"/>
            </w:pPr>
            <w:r>
              <w:rPr>
                <w:b w:val="0"/>
                <w:i w:val="0"/>
              </w:rPr>
              <w:t>Le niveau de vie est calculé à partir du revenu disponible du ménage divisé par ses unités de consommation. Dans cette distribution, l'unité statistique est la personne vivant dans un ménage, et non le ménage lui-même. Ainsi, lire D9 comme « le revenu moyen des 10 % les plus riches » serait erroné : c'est une limite qui sépare des groupes. De même, le rapport interdécile compare deux seuils et ne dit rien, à lui seul, des revenus extrêmes au-delà de D9.</w:t>
            </w:r>
          </w:p>
          <w:p>
            <w:pPr>
              <w:spacing w:after="60"/>
            </w:pPr>
            <w:r>
              <w:rPr>
                <w:b w:val="0"/>
                <w:i/>
                <w:color w:val="63696B"/>
                <w:sz w:val="15"/>
              </w:rPr>
              <w:t>Source : Insee, France, portrait social, édition 2025, fiche Niveaux de vie, données 2023, https://www.insee.fr/fr/statistiques/8612538</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Q5.  </w:t>
            </w:r>
            <w:r>
              <w:t>Distinguez D1, médiane et D9 dans les données récentes.</w:t>
            </w:r>
          </w:p>
          <w:p>
            <w:pPr>
              <w:spacing w:after="180"/>
            </w:pPr>
            <w:r>
              <w:rPr>
                <w:b/>
                <w:color w:val="995133"/>
              </w:rPr>
              <w:t xml:space="preserve">Q6.  </w:t>
            </w:r>
            <w:r>
              <w:t>Rédigez une phrase de lecture précisant l’année et le champ.</w:t>
            </w:r>
          </w:p>
        </w:tc>
      </w:tr>
    </w:tbl>
    <w:p>
      <w:pPr>
        <w:spacing w:after="100"/>
      </w:pPr>
      <w:r>
        <w:rPr>
          <w:b/>
          <w:color w:val="232629"/>
          <w:sz w:val="28"/>
        </w:rPr>
        <w:t>1.3  ·  Pourquoi le patrimoine compte-t-il dans les positions sociales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Pourquoi le patrimoine compte-t-il dans les positions sociales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4</w:t>
            </w:r>
          </w:p>
        </w:tc>
        <w:tc>
          <w:tcPr>
            <w:tcW w:type="dxa" w:w="4933"/>
            <w:tcMar>
              <w:top w:w="70" w:type="dxa"/>
              <w:start w:w="100" w:type="dxa"/>
              <w:bottom w:w="70" w:type="dxa"/>
              <w:end w:w="40" w:type="dxa"/>
            </w:tcMar>
          </w:tcPr>
          <w:p>
            <w:r>
              <w:rPr>
                <w:b/>
                <w:color w:val="1F4E61"/>
                <w:sz w:val="21"/>
              </w:rPr>
              <w:t>Une autre dimension des inégalités</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tbl>
            <w:tblPr>
              <w:tblStyle w:val="TableGrid"/>
              <w:tblW w:type="auto" w:w="0"/>
              <w:tblLayout w:type="fixed"/>
              <w:tblLook w:firstColumn="1" w:firstRow="1" w:lastColumn="0" w:lastRow="0" w:noHBand="0" w:noVBand="1" w:val="04A0"/>
            </w:tblPr>
            <w:tblGrid>
              <w:gridCol w:w="3160"/>
              <w:gridCol w:w="3160"/>
            </w:tblGrid>
            <w:tr>
              <w:tc>
                <w:tcPr>
                  <w:tcW w:type="dxa" w:w="3160"/>
                </w:tcPr>
                <w:p>
                  <w:r>
                    <w:rPr>
                      <w:b/>
                      <w:color w:val="1F4E61"/>
                      <w:sz w:val="17"/>
                    </w:rPr>
                    <w:t>Patrimoine brut début 2024</w:t>
                  </w:r>
                </w:p>
              </w:tc>
              <w:tc>
                <w:tcPr>
                  <w:tcW w:type="dxa" w:w="3160"/>
                </w:tcPr>
                <w:p>
                  <w:r>
                    <w:rPr>
                      <w:b/>
                      <w:color w:val="1F4E61"/>
                      <w:sz w:val="17"/>
                    </w:rPr>
                    <w:t>Valeur</w:t>
                  </w:r>
                </w:p>
              </w:tc>
            </w:tr>
            <w:tr>
              <w:tc>
                <w:tcPr>
                  <w:tcW w:type="dxa" w:w="3160"/>
                </w:tcPr>
                <w:p>
                  <w:pPr>
                    <w:spacing w:after="20"/>
                  </w:pPr>
                  <w:r>
                    <w:rPr>
                      <w:sz w:val="17"/>
                    </w:rPr>
                    <w:t>30 % en dessous de</w:t>
                  </w:r>
                </w:p>
              </w:tc>
              <w:tc>
                <w:tcPr>
                  <w:tcW w:type="dxa" w:w="3160"/>
                </w:tcPr>
                <w:p>
                  <w:pPr>
                    <w:spacing w:after="20"/>
                  </w:pPr>
                  <w:r>
                    <w:rPr>
                      <w:sz w:val="17"/>
                    </w:rPr>
                    <w:t>40 000 €</w:t>
                  </w:r>
                </w:p>
              </w:tc>
            </w:tr>
            <w:tr>
              <w:tc>
                <w:tcPr>
                  <w:tcW w:type="dxa" w:w="3160"/>
                </w:tcPr>
                <w:p>
                  <w:pPr>
                    <w:spacing w:after="20"/>
                  </w:pPr>
                  <w:r>
                    <w:rPr>
                      <w:sz w:val="17"/>
                    </w:rPr>
                    <w:t>Médiane</w:t>
                  </w:r>
                </w:p>
              </w:tc>
              <w:tc>
                <w:tcPr>
                  <w:tcW w:type="dxa" w:w="3160"/>
                </w:tcPr>
                <w:p>
                  <w:pPr>
                    <w:spacing w:after="20"/>
                  </w:pPr>
                  <w:r>
                    <w:rPr>
                      <w:sz w:val="17"/>
                    </w:rPr>
                    <w:t>205 000 €</w:t>
                  </w:r>
                </w:p>
              </w:tc>
            </w:tr>
            <w:tr>
              <w:tc>
                <w:tcPr>
                  <w:tcW w:type="dxa" w:w="3160"/>
                </w:tcPr>
                <w:p>
                  <w:pPr>
                    <w:spacing w:after="20"/>
                  </w:pPr>
                  <w:r>
                    <w:rPr>
                      <w:sz w:val="17"/>
                    </w:rPr>
                    <w:t>10 % au-dessus de</w:t>
                  </w:r>
                </w:p>
              </w:tc>
              <w:tc>
                <w:tcPr>
                  <w:tcW w:type="dxa" w:w="3160"/>
                </w:tcPr>
                <w:p>
                  <w:pPr>
                    <w:spacing w:after="20"/>
                  </w:pPr>
                  <w:r>
                    <w:rPr>
                      <w:sz w:val="17"/>
                    </w:rPr>
                    <w:t>858 000 €</w:t>
                  </w:r>
                </w:p>
              </w:tc>
            </w:tr>
          </w:tbl>
          <w:p/>
          <w:p>
            <w:pPr>
              <w:spacing w:after="0"/>
            </w:pPr>
          </w:p>
          <w:p>
            <w:pPr>
              <w:spacing w:after="100"/>
            </w:pPr>
            <w:r>
              <w:rPr>
                <w:b w:val="0"/>
                <w:i w:val="0"/>
              </w:rPr>
              <w:t>Début 2024, selon l'Insee, le patrimoine brut médian des ménages atteint 205 000 €. Les 10 % de ménages les mieux dotés possèdent plus de 858 000 € de patrimoine brut ; à l'inverse, 30 % des ménages en possèdent moins de 40 000 €. Les 10 % les mieux dotés détiennent près de la moitié de la masse totale de patrimoine brut. Ces données décrivent des stocks de biens à une date donnée ; le revenu désigne un flux reçu pendant une période.</w:t>
            </w:r>
          </w:p>
          <w:p>
            <w:pPr>
              <w:spacing w:after="100"/>
            </w:pPr>
            <w:r>
              <w:rPr>
                <w:b w:val="0"/>
                <w:i w:val="0"/>
              </w:rPr>
              <w:t>Le patrimoine brut peut inclure logement, terrains, actifs financiers et biens professionnels ; le patrimoine net retranche les emprunts restant à rembourser. Une personne propriétaire d'un logement et une personne locataire peuvent recevoir des revenus comparables sans posséder le même patrimoine. La comparaison avec les déciles de niveau de vie du document 3 demande de la prudence : indicateurs, populations, unités statistiques et années ne sont pas identiques.</w:t>
            </w:r>
          </w:p>
          <w:p>
            <w:pPr>
              <w:spacing w:after="60"/>
            </w:pPr>
            <w:r>
              <w:rPr>
                <w:b w:val="0"/>
                <w:i/>
                <w:color w:val="63696B"/>
                <w:sz w:val="15"/>
              </w:rPr>
              <w:t>Source : Insee, Patrimoine et endettement des ménages en 2024, https://www.insee.fr/fr/statistiques/8672665</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Q7.  </w:t>
            </w:r>
            <w:r>
              <w:t>Que mesurent la médiane et le seuil supérieur de patrimoine dans le document 4 ?</w:t>
            </w:r>
          </w:p>
          <w:p>
            <w:pPr>
              <w:spacing w:after="180"/>
            </w:pPr>
            <w:r>
              <w:rPr>
                <w:b/>
                <w:color w:val="995133"/>
              </w:rPr>
              <w:t xml:space="preserve">Q8.  </w:t>
            </w:r>
            <w:r>
              <w:t>Pourquoi revenu et patrimoine ne décrivent-ils pas la même ressource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5</w:t>
            </w:r>
          </w:p>
        </w:tc>
        <w:tc>
          <w:tcPr>
            <w:tcW w:type="dxa" w:w="4933"/>
            <w:tcMar>
              <w:top w:w="70" w:type="dxa"/>
              <w:start w:w="100" w:type="dxa"/>
              <w:bottom w:w="70" w:type="dxa"/>
              <w:end w:w="40" w:type="dxa"/>
            </w:tcMar>
          </w:tcPr>
          <w:p>
            <w:r>
              <w:rPr>
                <w:b/>
                <w:color w:val="1F4E61"/>
                <w:sz w:val="21"/>
              </w:rPr>
              <w:t>Courbe de Lorenz du revenu et du patrimoine en 2015</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p>
            <w:r>
              <w:drawing>
                <wp:inline xmlns:a="http://schemas.openxmlformats.org/drawingml/2006/main" xmlns:pic="http://schemas.openxmlformats.org/drawingml/2006/picture">
                  <wp:extent cx="3744000" cy="2725269"/>
                  <wp:docPr id="3" name="Picture 3"/>
                  <wp:cNvGraphicFramePr>
                    <a:graphicFrameLocks noChangeAspect="1"/>
                  </wp:cNvGraphicFramePr>
                  <a:graphic>
                    <a:graphicData uri="http://schemas.openxmlformats.org/drawingml/2006/picture">
                      <pic:pic>
                        <pic:nvPicPr>
                          <pic:cNvPr id="0" name="lorenz_2015_original.png"/>
                          <pic:cNvPicPr/>
                        </pic:nvPicPr>
                        <pic:blipFill>
                          <a:blip r:embed="rId11"/>
                          <a:stretch>
                            <a:fillRect/>
                          </a:stretch>
                        </pic:blipFill>
                        <pic:spPr>
                          <a:xfrm>
                            <a:off x="0" y="0"/>
                            <a:ext cx="3744000" cy="2725269"/>
                          </a:xfrm>
                          <a:prstGeom prst="rect"/>
                        </pic:spPr>
                      </pic:pic>
                    </a:graphicData>
                  </a:graphic>
                </wp:inline>
              </w:drawing>
            </w:r>
          </w:p>
          <w:p>
            <w:pPr>
              <w:spacing w:after="60"/>
            </w:pPr>
            <w:r>
              <w:rPr>
                <w:b w:val="0"/>
                <w:i/>
                <w:color w:val="63696B"/>
                <w:sz w:val="15"/>
              </w:rPr>
              <w:t>Source : Insee, 2017, « Courbe de Lorenz du revenu et du patrimoine en France, 2015 ».</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Q9.  </w:t>
            </w:r>
            <w:r>
              <w:t>À partir de la courbe de Lorenz, comparez la concentration du patrimoine et celle du revenu.</w:t>
            </w:r>
          </w:p>
          <w:p>
            <w:pPr>
              <w:spacing w:after="180"/>
            </w:pPr>
            <w:r>
              <w:rPr>
                <w:b/>
                <w:color w:val="995133"/>
              </w:rPr>
              <w:t xml:space="preserve">Q10.  </w:t>
            </w:r>
            <w:r>
              <w:t>Quelle limite pose l’usage d’un graphique de 2015 pour décrire la situation récente ?</w:t>
            </w:r>
          </w:p>
          <w:p/>
        </w:tc>
      </w:tr>
    </w:tbl>
    <w:tbl>
      <w:tblPr>
        <w:tblW w:type="auto" w:w="0"/>
        <w:tblLayout w:type="autofit"/>
        <w:tblLook w:firstColumn="1" w:firstRow="1" w:lastColumn="0" w:lastRow="0" w:noHBand="0" w:noVBand="1" w:val="04A0"/>
      </w:tblPr>
      <w:tblGrid>
        <w:gridCol w:w="5301"/>
        <w:gridCol w:w="4507"/>
      </w:tblGrid>
      <w:tr>
        <w:trPr>
          <w:cantSplit/>
        </w:trPr>
        <w:tc>
          <w:tcPr>
            <w:tcW w:type="dxa" w:w="9808"/>
            <w:gridSpan w:val="2"/>
            <w:shd w:fill="EDF5FF"/>
            <w:tcMar>
              <w:top w:w="65" w:type="dxa"/>
              <w:start w:w="100" w:type="dxa"/>
              <w:bottom w:w="65" w:type="dxa"/>
              <w:end w:w="100" w:type="dxa"/>
            </w:tcMar>
          </w:tcPr>
          <w:p>
            <w:pPr>
              <w:spacing w:after="80"/>
            </w:pPr>
            <w:r>
              <w:rPr>
                <w:b/>
                <w:i w:val="0"/>
                <w:color w:val="104982"/>
                <w:sz w:val="18"/>
              </w:rPr>
              <w:t xml:space="preserve">POUR TERMINER LA SÉANCE</w:t>
            </w:r>
          </w:p>
          <w:p>
            <w:pPr>
              <w:spacing w:after="40"/>
            </w:pPr>
            <w:r>
              <w:rPr>
                <w:b/>
                <w:i w:val="0"/>
                <w:color w:val="104982"/>
                <w:sz w:val="18"/>
              </w:rPr>
              <w:t xml:space="preserve">1 · DU CAS AU SAVOIR · 20 min (paragraphe A-E-I, type partie 1) : </w:t>
            </w:r>
            <w:r>
              <w:rPr>
                <w:b/>
                <w:i w:val="0"/>
                <w:sz w:val="18"/>
              </w:rPr>
              <w:t xml:space="preserve">Montrez que la position d’un individu dans l’espace social dépend de plusieurs ressources, économiques et culturelles.</w:t>
            </w:r>
          </w:p>
          <w:p>
            <w:pPr>
              <w:spacing w:after="80"/>
            </w:pPr>
            <w:r>
              <w:rPr>
                <w:b/>
                <w:i w:val="0"/>
                <w:sz w:val="17"/>
              </w:rPr>
              <w:t xml:space="preserve">Notions : </w:t>
            </w:r>
            <w:r>
              <w:rPr>
                <w:b w:val="0"/>
                <w:i w:val="0"/>
                <w:sz w:val="17"/>
              </w:rPr>
              <w:t xml:space="preserve">espace social · PCS · diplôme · revenu disponible · niveau de vie · D1 · médiane · D9 · patrimoine · stock et flux.</w:t>
            </w:r>
          </w:p>
          <w:p>
            <w:pPr>
              <w:spacing w:after="0"/>
            </w:pPr>
            <w:r>
              <w:rPr>
                <w:b/>
                <w:i w:val="0"/>
                <w:color w:val="104982"/>
                <w:sz w:val="18"/>
              </w:rPr>
              <w:t xml:space="preserve">2 · À LA MAISON · VALIDATION : </w:t>
            </w:r>
            <w:r>
              <w:rPr>
                <w:b w:val="0"/>
                <w:i w:val="0"/>
                <w:sz w:val="18"/>
              </w:rPr>
              <w:t xml:space="preserve">expliquez la différence entre un seuil de décile et une moyenne de décile, puis rédigez une phrase de lecture du patrimoine médian (document 4).</w:t>
            </w:r>
          </w:p>
        </w:tc>
      </w:tr>
    </w:tbl>
    <w:p>
      <w:pPr>
        <w:pageBreakBefore/>
        <w:spacing w:after="40"/>
      </w:pPr>
      <w:r>
        <w:rPr>
          <w:b/>
          <w:color w:val="1F4E61"/>
          <w:sz w:val="16"/>
        </w:rPr>
        <w:t xml:space="preserve">SÉANCE 2  ·  2 H    /    STRUCTURE SOCIALE</w:t>
      </w:r>
    </w:p>
    <w:p>
      <w:pPr>
        <w:spacing w:after="140"/>
      </w:pPr>
      <w:r>
        <w:rPr>
          <w:i/>
          <w:color w:val="63696B"/>
          <w:sz w:val="17"/>
        </w:rPr>
        <w:t xml:space="preserve">Déroulé : rappel (5 min) · 1.4 (≈ 45 min) · 1.5 (≈ 45 min) · pour terminer (≈ 25 min).</w:t>
      </w:r>
    </w:p>
    <w:p>
      <w:pPr>
        <w:spacing w:after="60"/>
      </w:pPr>
      <w:r>
        <w:rPr>
          <w:b/>
          <w:i w:val="0"/>
          <w:color w:val="1F4E61"/>
          <w:sz w:val="18"/>
        </w:rPr>
        <w:t>Rappel ou remédiation  ·  3 à 5 min</w:t>
      </w:r>
    </w:p>
    <w:p>
      <w:pPr>
        <w:spacing w:after="140"/>
      </w:pPr>
      <w:r>
        <w:rPr>
          <w:b w:val="0"/>
          <w:i w:val="0"/>
        </w:rPr>
        <w:t>Question flash : retrouvez sans document le sens du rapport D9/D1 et donnez un autre facteur que le revenu qui crée des écarts.</w:t>
      </w:r>
    </w:p>
    <w:p>
      <w:pPr>
        <w:spacing w:after="100"/>
      </w:pPr>
      <w:r>
        <w:rPr>
          <w:b/>
          <w:color w:val="232629"/>
          <w:sz w:val="28"/>
        </w:rPr>
        <w:t>1.4  ·  Comment le sexe contribue-t-il à la hiérarchie sociale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Comment le sexe contribue-t-il à la hiérarchie sociale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6</w:t>
            </w:r>
          </w:p>
        </w:tc>
        <w:tc>
          <w:tcPr>
            <w:tcW w:type="dxa" w:w="4933"/>
            <w:tcMar>
              <w:top w:w="70" w:type="dxa"/>
              <w:start w:w="100" w:type="dxa"/>
              <w:bottom w:w="70" w:type="dxa"/>
              <w:end w:w="40" w:type="dxa"/>
            </w:tcMar>
          </w:tcPr>
          <w:p>
            <w:r>
              <w:rPr>
                <w:b/>
                <w:color w:val="1F4E61"/>
                <w:sz w:val="21"/>
              </w:rPr>
              <w:t>Écarts de rémunération dans le secteur privé en 2024</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tbl>
            <w:tblPr>
              <w:tblStyle w:val="TableGrid"/>
              <w:tblW w:type="auto" w:w="0"/>
              <w:tblLayout w:type="fixed"/>
              <w:tblLook w:firstColumn="1" w:firstRow="1" w:lastColumn="0" w:lastRow="0" w:noHBand="0" w:noVBand="1" w:val="04A0"/>
            </w:tblPr>
            <w:tblGrid>
              <w:gridCol w:w="2107"/>
              <w:gridCol w:w="2107"/>
              <w:gridCol w:w="2107"/>
            </w:tblGrid>
            <w:tr>
              <w:tc>
                <w:tcPr>
                  <w:tcW w:type="dxa" w:w="2107"/>
                </w:tcPr>
                <w:p>
                  <w:r>
                    <w:rPr>
                      <w:b/>
                      <w:color w:val="1F4E61"/>
                      <w:sz w:val="17"/>
                    </w:rPr>
                    <w:t>Indicateur 2024</w:t>
                  </w:r>
                </w:p>
              </w:tc>
              <w:tc>
                <w:tcPr>
                  <w:tcW w:type="dxa" w:w="2107"/>
                </w:tcPr>
                <w:p>
                  <w:r>
                    <w:rPr>
                      <w:b/>
                      <w:color w:val="1F4E61"/>
                      <w:sz w:val="17"/>
                    </w:rPr>
                    <w:t>Femmes</w:t>
                  </w:r>
                </w:p>
              </w:tc>
              <w:tc>
                <w:tcPr>
                  <w:tcW w:type="dxa" w:w="2107"/>
                </w:tcPr>
                <w:p>
                  <w:r>
                    <w:rPr>
                      <w:b/>
                      <w:color w:val="1F4E61"/>
                      <w:sz w:val="17"/>
                    </w:rPr>
                    <w:t>Hommes</w:t>
                  </w:r>
                </w:p>
              </w:tc>
            </w:tr>
            <w:tr>
              <w:tc>
                <w:tcPr>
                  <w:tcW w:type="dxa" w:w="2107"/>
                </w:tcPr>
                <w:p>
                  <w:pPr>
                    <w:spacing w:after="20"/>
                  </w:pPr>
                  <w:r>
                    <w:rPr>
                      <w:sz w:val="17"/>
                    </w:rPr>
                    <w:t>Revenu salarial annuel</w:t>
                  </w:r>
                </w:p>
              </w:tc>
              <w:tc>
                <w:tcPr>
                  <w:tcW w:type="dxa" w:w="2107"/>
                </w:tcPr>
                <w:p>
                  <w:pPr>
                    <w:spacing w:after="20"/>
                  </w:pPr>
                  <w:r>
                    <w:rPr>
                      <w:sz w:val="17"/>
                    </w:rPr>
                    <w:t>22 060 €</w:t>
                  </w:r>
                </w:p>
              </w:tc>
              <w:tc>
                <w:tcPr>
                  <w:tcW w:type="dxa" w:w="2107"/>
                </w:tcPr>
                <w:p>
                  <w:pPr>
                    <w:spacing w:after="20"/>
                  </w:pPr>
                  <w:r>
                    <w:rPr>
                      <w:sz w:val="17"/>
                    </w:rPr>
                    <w:t>28 220 €</w:t>
                  </w:r>
                </w:p>
              </w:tc>
            </w:tr>
            <w:tr>
              <w:tc>
                <w:tcPr>
                  <w:tcW w:type="dxa" w:w="2107"/>
                </w:tcPr>
                <w:p>
                  <w:pPr>
                    <w:spacing w:after="20"/>
                  </w:pPr>
                  <w:r>
                    <w:rPr>
                      <w:sz w:val="17"/>
                    </w:rPr>
                    <w:t>Écart à temps identique</w:t>
                  </w:r>
                </w:p>
              </w:tc>
              <w:tc>
                <w:tcPr>
                  <w:tcW w:type="dxa" w:w="2107"/>
                </w:tcPr>
                <w:p>
                  <w:pPr>
                    <w:spacing w:after="20"/>
                  </w:pPr>
                  <w:r>
                    <w:rPr>
                      <w:sz w:val="17"/>
                    </w:rPr>
                    <w:t>14,0 % de moins</w:t>
                  </w:r>
                </w:p>
              </w:tc>
              <w:tc>
                <w:tcPr>
                  <w:tcW w:type="dxa" w:w="2107"/>
                </w:tcPr>
                <w:p>
                  <w:pPr>
                    <w:spacing w:after="20"/>
                  </w:pPr>
                  <w:r>
                    <w:rPr>
                      <w:sz w:val="17"/>
                    </w:rPr>
                    <w:t>Référence</w:t>
                  </w:r>
                </w:p>
              </w:tc>
            </w:tr>
          </w:tbl>
          <w:p/>
          <w:p>
            <w:pPr>
              <w:spacing w:after="0"/>
            </w:pPr>
          </w:p>
          <w:p>
            <w:pPr>
              <w:spacing w:after="100"/>
            </w:pPr>
            <w:r>
              <w:rPr>
                <w:b w:val="0"/>
                <w:i w:val="0"/>
              </w:rPr>
              <w:t>Dans le secteur privé en 2024, le revenu salarial annuel moyen des femmes est de 22 060 €, contre 28 220 € pour les hommes, soit 21,8 % de moins. Le revenu salarial mesure ce qui a été effectivement perçu pendant l'année : il dépend aussi du nombre de jours travaillés et du recours au temps partiel. À temps de travail identique, le salaire moyen des femmes est inférieur de 14,0 % à celui des hommes. Ces deux écarts ne sont donc pas deux mesures interchangeables d'un même phénomène.</w:t>
            </w:r>
          </w:p>
          <w:p>
            <w:pPr>
              <w:spacing w:after="100"/>
            </w:pPr>
            <w:r>
              <w:rPr>
                <w:b w:val="0"/>
                <w:i w:val="0"/>
              </w:rPr>
              <w:t>L'Insee indique que le volume de travail annuel moyen des femmes est inférieur de 9,1 % à celui des hommes en 2024. La répartition des emplois et des responsabilités peut également peser sur les écarts. Ces chiffres décrivent des moyennes : ils n'autorisent pas à conclure que toute femme reçoit moins que tout homme, ni à attribuer l'intégralité de l'écart à une seule cause. Pour l'expliquer, il faut relier position professionnelle, durée du travail et organisation sociale des activités domestiques.</w:t>
            </w:r>
          </w:p>
          <w:p>
            <w:pPr>
              <w:spacing w:after="60"/>
            </w:pPr>
            <w:r>
              <w:rPr>
                <w:b w:val="0"/>
                <w:i/>
                <w:color w:val="63696B"/>
                <w:sz w:val="15"/>
              </w:rPr>
              <w:t>Source : Insee, Écart de salaire entre femmes et hommes en 2024, https://www.insee.fr/fr/statistiques/8743657</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Q11.  </w:t>
            </w:r>
            <w:r>
              <w:t>Rédigez une phrase de lecture pour l’écart de revenu salarial et celui à temps de travail identique.</w:t>
            </w:r>
          </w:p>
          <w:p>
            <w:pPr>
              <w:spacing w:after="180"/>
            </w:pPr>
            <w:r>
              <w:rPr>
                <w:b/>
                <w:color w:val="995133"/>
              </w:rPr>
              <w:t xml:space="preserve">Q12.  </w:t>
            </w:r>
            <w:r>
              <w:t>Comment la durée du travail peut-elle expliquer une partie des différences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7</w:t>
            </w:r>
          </w:p>
        </w:tc>
        <w:tc>
          <w:tcPr>
            <w:tcW w:type="dxa" w:w="4933"/>
            <w:tcMar>
              <w:top w:w="70" w:type="dxa"/>
              <w:start w:w="100" w:type="dxa"/>
              <w:bottom w:w="70" w:type="dxa"/>
              <w:end w:w="40" w:type="dxa"/>
            </w:tcMar>
          </w:tcPr>
          <w:p>
            <w:r>
              <w:rPr>
                <w:b/>
                <w:color w:val="1F4E61"/>
                <w:sz w:val="21"/>
              </w:rPr>
              <w:t>L’évolution de deux écarts de rémunération</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p>
            <w:pPr>
              <w:spacing w:after="100"/>
            </w:pPr>
            <w:r>
              <w:rPr>
                <w:b w:val="0"/>
                <w:i w:val="0"/>
              </w:rPr>
              <w:t>En 2024, les femmes salariées du secteur privé perçoivent en moyenne un revenu salarial inférieur à celui des hommes. Le revenu salarial dépend à la fois du salaire en équivalent temps plein et du volume de travail rémunéré dans l’année. L’Insee souligne que l’écart de revenu salarial s’est réduit d’un tiers depuis 1995 : le rapprochement des volumes de travail et celui des salaires en équivalent temps plein ont tous deux contribué à la baisse. Entre 2001 et 2024, l’écart de revenu salarial a diminué de 12,3 points. Cette évolution de moyenne ne signifie pas que les femmes et les hommes exercent désormais les mêmes métiers ni que tous les écarts individuels sont identiques.</w:t>
            </w:r>
          </w:p>
          <w:p>
            <w:pPr>
              <w:spacing w:after="60"/>
            </w:pPr>
            <w:r>
              <w:rPr>
                <w:b w:val="0"/>
                <w:i/>
                <w:color w:val="63696B"/>
                <w:sz w:val="15"/>
              </w:rPr>
              <w:t>Source : Insee, « Écart de salaire entre femmes et hommes en 2024 », Insee Focus n°377, https://www.insee.fr/fr/statistiques/8743657.</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Q13.  </w:t>
            </w:r>
            <w:r>
              <w:t>Quels deux mécanismes ont contribué à la réduction des écarts depuis 1995 ?</w:t>
            </w:r>
          </w:p>
          <w:p>
            <w:pPr>
              <w:spacing w:after="180"/>
            </w:pPr>
            <w:r>
              <w:rPr>
                <w:b/>
                <w:color w:val="995133"/>
              </w:rPr>
              <w:t xml:space="preserve">Q14.  </w:t>
            </w:r>
            <w:r>
              <w:t>Pourquoi une réduction moyenne ne prouve-t-elle pas une égalité dans chaque métier ?</w:t>
            </w:r>
          </w:p>
        </w:tc>
      </w:tr>
    </w:tbl>
    <w:p>
      <w:pPr>
        <w:spacing w:after="100"/>
      </w:pPr>
      <w:r>
        <w:rPr>
          <w:b/>
          <w:color w:val="232629"/>
          <w:sz w:val="28"/>
        </w:rPr>
        <w:t>1.5  ·  Pourquoi la composition du ménage modifie-t-elle le niveau de vie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Pourquoi la composition du ménage modifie-t-elle le niveau de vie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8</w:t>
            </w:r>
          </w:p>
        </w:tc>
        <w:tc>
          <w:tcPr>
            <w:tcW w:type="dxa" w:w="4933"/>
            <w:tcMar>
              <w:top w:w="70" w:type="dxa"/>
              <w:start w:w="100" w:type="dxa"/>
              <w:bottom w:w="70" w:type="dxa"/>
              <w:end w:w="40" w:type="dxa"/>
            </w:tcMar>
          </w:tcPr>
          <w:p>
            <w:r>
              <w:rPr>
                <w:b/>
                <w:color w:val="1F4E61"/>
                <w:sz w:val="21"/>
              </w:rPr>
              <w:t>Ménages fictifs et unités de consommation</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p>
            <w:pPr>
              <w:spacing w:after="100"/>
            </w:pPr>
            <w:r>
              <w:rPr>
                <w:b w:val="0"/>
                <w:i w:val="0"/>
              </w:rPr>
              <w:t>Pour comparer des ménages de tailles différentes, l'Insee utilise une échelle d'équivalence : le premier adulte compte pour 1 unité de consommation (UC), une autre personne d'au moins 14 ans pour 0,5 UC, un enfant de moins de 14 ans pour 0,3 UC. Le niveau de vie est le revenu disponible du ménage divisé par le nombre d'UC. L'échelle tient compte des économies réalisées lorsque plusieurs personnes partagent un logement et certains biens.</w:t>
            </w:r>
          </w:p>
          <w:p>
            <w:pPr>
              <w:spacing w:after="100"/>
            </w:pPr>
            <w:r>
              <w:rPr>
                <w:b w:val="0"/>
                <w:i w:val="0"/>
              </w:rPr>
              <w:t>Ménage A : une personne seule dispose de 2 400 € par mois. Ménage B : un couple et un enfant de 10 ans disposent de 3 600 € par mois. Ménage C : une personne seule avec deux enfants de 8 et 12 ans dispose de 2 700 € par mois. Calculez les UC avant de comparer : un ménage qui reçoit davantage au total peut avoir un niveau de vie par UC inférieur. Les ménages et leurs ressources sont fictifs ; seule l'échelle des UC reprend la méthode de l'Insee.</w:t>
            </w:r>
          </w:p>
          <w:p>
            <w:pPr>
              <w:spacing w:after="60"/>
            </w:pPr>
            <w:r>
              <w:rPr>
                <w:b w:val="0"/>
                <w:i/>
                <w:color w:val="63696B"/>
                <w:sz w:val="15"/>
              </w:rPr>
              <w:t>Source : Échelle d’équivalence Insee ; revenus des ménages A, B et C construits pour l’exercice.</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Q15.  </w:t>
            </w:r>
            <w:r>
              <w:t>Calculez les unités de consommation et le niveau de vie des ménages A, B et C.</w:t>
            </w:r>
          </w:p>
          <w:p>
            <w:pPr>
              <w:spacing w:after="180"/>
            </w:pPr>
            <w:r>
              <w:rPr>
                <w:b/>
                <w:color w:val="995133"/>
              </w:rPr>
              <w:t xml:space="preserve">Q16.  </w:t>
            </w:r>
            <w:r>
              <w:t>Pourquoi le revenu total ne classe-t-il pas toujours les ménages comme leur niveau de vie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9</w:t>
            </w:r>
          </w:p>
        </w:tc>
        <w:tc>
          <w:tcPr>
            <w:tcW w:type="dxa" w:w="4933"/>
            <w:tcMar>
              <w:top w:w="70" w:type="dxa"/>
              <w:start w:w="100" w:type="dxa"/>
              <w:bottom w:w="70" w:type="dxa"/>
              <w:end w:w="40" w:type="dxa"/>
            </w:tcMar>
          </w:tcPr>
          <w:p>
            <w:r>
              <w:rPr>
                <w:b/>
                <w:color w:val="1F4E61"/>
                <w:sz w:val="21"/>
              </w:rPr>
              <w:t>La pauvreté selon la configuration familiale</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p>
            <w:pPr>
              <w:spacing w:after="100"/>
            </w:pPr>
            <w:r>
              <w:rPr>
                <w:b w:val="0"/>
                <w:i w:val="0"/>
              </w:rPr>
              <w:t>En 2024, en France métropolitaine, 34,0 % des personnes vivant dans une famille monoparentale sont pauvres selon le seuil retenu par l’Insee. Ce taux était de 34,3 % en 2023. Parmi les enfants, 22,4 % vivent sous le seuil de pauvreté en 2024. Ces proportions portent sur des personnes appartenant à des ménages de composition différente ; le taux de pauvreté ne représente pas le revenu moyen des familles. Les économies réalisées en partageant un logement et les dépenses liées aux enfants expliquent pourquoi, à revenu du ménage identique, les situations de niveau de vie diffèrent.</w:t>
            </w:r>
          </w:p>
          <w:p>
            <w:pPr>
              <w:spacing w:after="60"/>
            </w:pPr>
            <w:r>
              <w:rPr>
                <w:b w:val="0"/>
                <w:i/>
                <w:color w:val="63696B"/>
                <w:sz w:val="15"/>
              </w:rPr>
              <w:t>Source des données : Insee-DGFiP-Cnaf-Cnav-CCMSA, enquêtes Revenus fiscaux et sociaux 2023 et 2024, Insee Première n°2117, https://www.insee.fr/fr/statistiques/9019316.</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Q17.  </w:t>
            </w:r>
            <w:r>
              <w:t>Comment interpréter précisément le taux de pauvreté de 34,0 % des familles monoparentales ?</w:t>
            </w:r>
          </w:p>
          <w:p>
            <w:pPr>
              <w:spacing w:after="180"/>
            </w:pPr>
            <w:r>
              <w:rPr>
                <w:b/>
                <w:color w:val="995133"/>
              </w:rPr>
              <w:t xml:space="preserve">Q18.  </w:t>
            </w:r>
            <w:r>
              <w:t>Pourquoi ne peut-on pas déduire le revenu moyen d’un taux de pauvreté ?</w:t>
            </w:r>
          </w:p>
        </w:tc>
      </w:tr>
    </w:tbl>
    <w:tbl>
      <w:tblPr>
        <w:tblW w:type="auto" w:w="0"/>
        <w:tblLayout w:type="autofit"/>
        <w:tblLook w:firstColumn="1" w:firstRow="1" w:lastColumn="0" w:lastRow="0" w:noHBand="0" w:noVBand="1" w:val="04A0"/>
      </w:tblPr>
      <w:tblGrid>
        <w:gridCol w:w="5301"/>
        <w:gridCol w:w="4507"/>
      </w:tblGrid>
      <w:tr>
        <w:trPr>
          <w:cantSplit/>
        </w:trPr>
        <w:tc>
          <w:tcPr>
            <w:tcW w:type="dxa" w:w="9808"/>
            <w:gridSpan w:val="2"/>
            <w:shd w:fill="EDF5FF"/>
            <w:tcMar>
              <w:top w:w="65" w:type="dxa"/>
              <w:start w:w="100" w:type="dxa"/>
              <w:bottom w:w="65" w:type="dxa"/>
              <w:end w:w="100" w:type="dxa"/>
            </w:tcMar>
          </w:tcPr>
          <w:p>
            <w:pPr>
              <w:spacing w:after="80"/>
            </w:pPr>
            <w:r>
              <w:rPr>
                <w:b/>
                <w:i w:val="0"/>
                <w:color w:val="104982"/>
                <w:sz w:val="18"/>
              </w:rPr>
              <w:t xml:space="preserve">POUR TERMINER LA SÉANCE</w:t>
            </w:r>
          </w:p>
          <w:p>
            <w:pPr>
              <w:spacing w:after="40"/>
            </w:pPr>
            <w:r>
              <w:rPr>
                <w:b/>
                <w:i w:val="0"/>
                <w:color w:val="104982"/>
                <w:sz w:val="18"/>
              </w:rPr>
              <w:t xml:space="preserve">1 · DU CAS AU SAVOIR · 20 min (paragraphe A-E-I, type partie 1) : </w:t>
            </w:r>
            <w:r>
              <w:rPr>
                <w:b/>
                <w:i w:val="0"/>
                <w:sz w:val="18"/>
              </w:rPr>
              <w:t xml:space="preserve">Montrez que le sexe et la composition du ménage contribuent à hiérarchiser l’espace social.</w:t>
            </w:r>
          </w:p>
          <w:p>
            <w:pPr>
              <w:spacing w:after="80"/>
            </w:pPr>
            <w:r>
              <w:rPr>
                <w:b/>
                <w:i w:val="0"/>
                <w:sz w:val="17"/>
              </w:rPr>
              <w:t xml:space="preserve">Notions : </w:t>
            </w:r>
            <w:r>
              <w:rPr>
                <w:b w:val="0"/>
                <w:i w:val="0"/>
                <w:sz w:val="17"/>
              </w:rPr>
              <w:t xml:space="preserve">genre · revenu salarial · temps partiel · ménage · unité de consommation · niveau de vie · famille monoparentale · taux de pauvreté.</w:t>
            </w:r>
          </w:p>
          <w:p>
            <w:pPr>
              <w:spacing w:after="0"/>
            </w:pPr>
            <w:r>
              <w:rPr>
                <w:b/>
                <w:i w:val="0"/>
                <w:color w:val="104982"/>
                <w:sz w:val="18"/>
              </w:rPr>
              <w:t xml:space="preserve">2 · À LA MAISON · VALIDATION : </w:t>
            </w:r>
            <w:r>
              <w:rPr>
                <w:b w:val="0"/>
                <w:i w:val="0"/>
                <w:sz w:val="18"/>
              </w:rPr>
              <w:t xml:space="preserve">un couple avec deux enfants de 6 et 15 ans dispose de 4 200 € par mois : calculez ses UC et son niveau de vie, puis comparez-le au ménage A du document 8.</w:t>
            </w:r>
          </w:p>
        </w:tc>
      </w:tr>
    </w:tbl>
    <w:p>
      <w:pPr>
        <w:pageBreakBefore/>
        <w:spacing w:after="40"/>
      </w:pPr>
      <w:r>
        <w:rPr>
          <w:b/>
          <w:color w:val="1F4E61"/>
          <w:sz w:val="16"/>
        </w:rPr>
        <w:t xml:space="preserve">SÉANCE 3  ·  2 H    /    STRUCTURE SOCIALE</w:t>
      </w:r>
    </w:p>
    <w:p>
      <w:pPr>
        <w:spacing w:after="140"/>
      </w:pPr>
      <w:r>
        <w:rPr>
          <w:i/>
          <w:color w:val="63696B"/>
          <w:sz w:val="17"/>
        </w:rPr>
        <w:t xml:space="preserve">Déroulé : rappel (5 min) · 1.6 (≈ 40 min) · 1.7 (≈ 45 min) · pour terminer (≈ 25 min).</w:t>
      </w:r>
    </w:p>
    <w:p>
      <w:pPr>
        <w:spacing w:after="60"/>
      </w:pPr>
      <w:r>
        <w:rPr>
          <w:b/>
          <w:i w:val="0"/>
          <w:color w:val="1F4E61"/>
          <w:sz w:val="18"/>
        </w:rPr>
        <w:t>Rappel ou remédiation  ·  3 à 5 min</w:t>
      </w:r>
    </w:p>
    <w:p>
      <w:pPr>
        <w:spacing w:after="140"/>
      </w:pPr>
      <w:r>
        <w:rPr>
          <w:b w:val="0"/>
          <w:i w:val="0"/>
        </w:rPr>
        <w:t>Mini-cas : deux ménages disposent de 3 600 € mais comportent une ou trois personnes. Quelle information manque pour comparer leurs niveaux de vie ?</w:t>
      </w:r>
    </w:p>
    <w:p>
      <w:pPr>
        <w:spacing w:after="100"/>
      </w:pPr>
      <w:r>
        <w:rPr>
          <w:b/>
          <w:color w:val="232629"/>
          <w:sz w:val="28"/>
        </w:rPr>
        <w:t>1.6  ·  Quel rôle joue la position dans le cycle de vie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Quel rôle joue la position dans le cycle de vie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10</w:t>
            </w:r>
          </w:p>
        </w:tc>
        <w:tc>
          <w:tcPr>
            <w:tcW w:type="dxa" w:w="4933"/>
            <w:tcMar>
              <w:top w:w="70" w:type="dxa"/>
              <w:start w:w="100" w:type="dxa"/>
              <w:bottom w:w="70" w:type="dxa"/>
              <w:end w:w="40" w:type="dxa"/>
            </w:tcMar>
          </w:tcPr>
          <w:p>
            <w:r>
              <w:rPr>
                <w:b/>
                <w:color w:val="1F4E61"/>
                <w:sz w:val="21"/>
              </w:rPr>
              <w:t>Trois étapes du parcours de vie</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p>
            <w:pPr>
              <w:spacing w:after="100"/>
            </w:pPr>
            <w:r>
              <w:rPr>
                <w:b w:val="0"/>
                <w:i w:val="0"/>
              </w:rPr>
              <w:t>Trois personnes fictives illustrent des configurations possibles, sans prétendre représenter tous les membres de leur âge. À 22 ans, Inès termine des études supérieures, loue un studio, travaille quelques heures par semaine et reçoit une aide familiale. Ses revenus propres sont modestes, mais l'appui de sa famille réduit certaines contraintes. À 42 ans, Malik travaille à temps plein, rembourse un prêt immobilier et vit avec ses deux enfants ; il a acquis un logement, mais doit encore rembourser une dette. À 72 ans, Jeanne reçoit une pension, possède son logement sans crédit et puise parfois dans son épargne pour financer certaines dépenses.</w:t>
            </w:r>
          </w:p>
          <w:p>
            <w:pPr>
              <w:spacing w:after="100"/>
            </w:pPr>
            <w:r>
              <w:rPr>
                <w:b w:val="0"/>
                <w:i w:val="0"/>
              </w:rPr>
              <w:t>Pour comparer ces positions, il faut distinguer revenu courant, aides reçues, patrimoine brut et net, composition du ménage et charges. Le cycle de vie éclaire certaines différences : études, activité, retraite et accumulation de biens. Mais deux personnes au même âge peuvent connaître des situations très éloignées selon leur parcours scolaire, leur origine sociale, leur santé et leur carrière.</w:t>
            </w:r>
          </w:p>
          <w:p>
            <w:pPr>
              <w:spacing w:after="60"/>
            </w:pPr>
            <w:r>
              <w:rPr>
                <w:b w:val="0"/>
                <w:i/>
                <w:color w:val="63696B"/>
                <w:sz w:val="15"/>
              </w:rPr>
              <w:t>Source : Situations pédagogiques construites pour le livret.</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Q19.  </w:t>
            </w:r>
            <w:r>
              <w:t>Comparez revenus courants, aides et patrimoine des trois personnes.</w:t>
            </w:r>
          </w:p>
          <w:p>
            <w:pPr>
              <w:spacing w:after="180"/>
            </w:pPr>
            <w:r>
              <w:rPr>
                <w:b/>
                <w:color w:val="995133"/>
              </w:rPr>
              <w:t xml:space="preserve">Q20.  </w:t>
            </w:r>
            <w:r>
              <w:t>Montrez pourquoi deux personnes du même âge peuvent néanmoins occuper des positions éloignées.</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11</w:t>
            </w:r>
          </w:p>
        </w:tc>
        <w:tc>
          <w:tcPr>
            <w:tcW w:type="dxa" w:w="4933"/>
            <w:tcMar>
              <w:top w:w="70" w:type="dxa"/>
              <w:start w:w="100" w:type="dxa"/>
              <w:bottom w:w="70" w:type="dxa"/>
              <w:end w:w="40" w:type="dxa"/>
            </w:tcMar>
          </w:tcPr>
          <w:p>
            <w:r>
              <w:rPr>
                <w:b/>
                <w:color w:val="1F4E61"/>
                <w:sz w:val="21"/>
              </w:rPr>
              <w:t>Professions exercées selon l’âge en 2025</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p>
            <w:pPr>
              <w:spacing w:after="100"/>
            </w:pPr>
            <w:r>
              <w:rPr>
                <w:b w:val="0"/>
                <w:i w:val="0"/>
              </w:rPr>
              <w:t>En France, parmi les personnes en emploi de 15 à 24 ans, 9,5 % sont cadres, 35,6 % sont employés et 25,8 % ouvriers. Parmi les 25-49 ans, ces parts sont respectivement de 26,2 %, 22,0 % et 16,2 %. Pour les personnes en emploi âgées de 50 ans ou plus, elles atteignent 23,8 %, 25,1 % et 17,6 %. Chaque colonne d’âge a sa propre population de référence et totalise 100 % avec les autres catégories.</w:t>
            </w:r>
          </w:p>
          <w:p>
            <w:pPr>
              <w:spacing w:after="100"/>
            </w:pPr>
            <w:r>
              <w:rPr>
                <w:b w:val="0"/>
                <w:i w:val="0"/>
              </w:rPr>
              <w:t>Les écarts observés entre âges à une date donnée ne démontrent pas à eux seuls la trajectoire future des jeunes de 2025. Certains postes de cadre exigent une formation plus longue ou une expérience acquise au fil des ans ; les possibilités d’accès varient aussi selon le diplôme, le sexe et l’origine sociale. Un tableau transversal compare des groupes d’âge différents à une même date : il ne suit pas les mêmes personnes dans le temps.</w:t>
            </w:r>
          </w:p>
          <w:p>
            <w:pPr>
              <w:spacing w:after="60"/>
            </w:pPr>
            <w:r>
              <w:rPr>
                <w:b w:val="0"/>
                <w:i/>
                <w:color w:val="63696B"/>
                <w:sz w:val="15"/>
              </w:rPr>
              <w:t>Source du tableau : Insee, enquête Emploi 2025, « Catégorie socioprofessionnelle selon le sexe et l’âge », https://www.insee.fr/fr/statistiques/2489546</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Q21.  </w:t>
            </w:r>
            <w:r>
              <w:t>Distinguez un effet possible de l’âge d’une différence entre générations.</w:t>
            </w:r>
          </w:p>
        </w:tc>
      </w:tr>
    </w:tbl>
    <w:p>
      <w:pPr>
        <w:spacing w:after="100"/>
      </w:pPr>
      <w:r>
        <w:rPr>
          <w:b/>
          <w:color w:val="232629"/>
          <w:sz w:val="28"/>
        </w:rPr>
        <w:t>1.7  ·  Pourquoi le lieu de résidence renforce-t-il certains écarts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Pourquoi le lieu de résidence renforce-t-il certains écarts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12</w:t>
            </w:r>
          </w:p>
        </w:tc>
        <w:tc>
          <w:tcPr>
            <w:tcW w:type="dxa" w:w="4933"/>
            <w:tcMar>
              <w:top w:w="70" w:type="dxa"/>
              <w:start w:w="100" w:type="dxa"/>
              <w:bottom w:w="70" w:type="dxa"/>
              <w:end w:w="40" w:type="dxa"/>
            </w:tcMar>
          </w:tcPr>
          <w:p>
            <w:r>
              <w:rPr>
                <w:b/>
                <w:color w:val="1F4E61"/>
                <w:sz w:val="21"/>
              </w:rPr>
              <w:t>Les quartiers et leurs ressources</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p>
            <w:pPr>
              <w:spacing w:after="100"/>
            </w:pPr>
            <w:r>
              <w:rPr>
                <w:b w:val="0"/>
                <w:i w:val="0"/>
              </w:rPr>
              <w:t>Les groupes sociaux, inégalement dotés en ressources économiques, culturelles et sociales (diplômes, revenus, etc.), se répartissent de façon inégale entre les quartiers d’une ville. Les espaces urbains eux-mêmes sont inégalement pourvus en ressources publiques et privées de toutes sortes (écoles, transports, équipements culturels et sportifs, sécurité, espaces verts, commerces, etc.). Il en découle une hiérarchie qui différencie les quartiers d’une ville et de sa banlieue à la fois sur la base du profil socio-économique, [voire ethnique], des populations qui y résident, mais aussi en fonction de leurs équipements, infrastructures, et surtout de leur « qualité ». Cette relation est complexe, puisque, en se concentrant dans certains espaces, les groupes sociaux les plus favorisés y concentrent également une partie de leurs ressources, ce qui rejaillit sur le quartier lui-même. D’un autre côté, c’est aussi parce que certains espaces sont mieux dotés qu’ils sont attractifs, et donc choisis par les groupes sociaux favorisés. Leur forte présence contribue à maintenir, voire à accentuer, leur entre-soi, et donc à creuser les inégalités urbaines.</w:t>
            </w:r>
          </w:p>
          <w:p>
            <w:pPr>
              <w:spacing w:after="60"/>
            </w:pPr>
            <w:r>
              <w:rPr>
                <w:b w:val="0"/>
                <w:i/>
                <w:color w:val="63696B"/>
                <w:sz w:val="15"/>
              </w:rPr>
              <w:t>Source : M. Oberti, dans L. Maurin et N. Schmidt (dir.), Que faire contre les inégalités, Observatoire des inégalités, 2016.</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Q22.  </w:t>
            </w:r>
            <w:r>
              <w:t>Dans le texte d’Oberti, relevez trois ressources inégalement distribuées dans l’espace urbain.</w:t>
            </w:r>
          </w:p>
          <w:p>
            <w:pPr>
              <w:spacing w:after="180"/>
            </w:pPr>
            <w:r>
              <w:rPr>
                <w:b/>
                <w:color w:val="995133"/>
              </w:rPr>
              <w:t xml:space="preserve">Q23.  </w:t>
            </w:r>
            <w:r>
              <w:t>Expliquez les deux sens de la relation entre populations favorisées et quartiers dotés.</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13</w:t>
            </w:r>
          </w:p>
        </w:tc>
        <w:tc>
          <w:tcPr>
            <w:tcW w:type="dxa" w:w="4933"/>
            <w:tcMar>
              <w:top w:w="70" w:type="dxa"/>
              <w:start w:w="100" w:type="dxa"/>
              <w:bottom w:w="70" w:type="dxa"/>
              <w:end w:w="40" w:type="dxa"/>
            </w:tcMar>
          </w:tcPr>
          <w:p>
            <w:r>
              <w:rPr>
                <w:b/>
                <w:color w:val="1F4E61"/>
                <w:sz w:val="21"/>
              </w:rPr>
              <w:t xml:space="preserve">Niveaux de vie et pauvreté en Guyane en 2017</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tbl>
            <w:tblPr>
              <w:tblStyle w:val="TableGrid"/>
              <w:tblW w:type="dxa" w:w="6100"/>
            </w:tblPr>
            <w:tblGrid>
              <w:gridCol w:w="2900"/>
              <w:gridCol w:w="1500"/>
              <w:gridCol w:w="1700"/>
            </w:tblGrid>
            <w:tr>
              <w:tc>
                <w:tcPr>
                  <w:tcW w:type="dxa" w:w="2900"/>
                  <w:shd w:val="clear" w:fill="EAF0F1"/>
                </w:tcPr>
                <w:p>
                  <w:pPr>
                    <w:spacing w:after="0"/>
                  </w:pPr>
                  <w:r>
                    <w:rPr>
                      <w:b/>
                      <w:i w:val="0"/>
                      <w:sz w:val="17"/>
                    </w:rPr>
                    <w:t xml:space="preserve">2017</w:t>
                  </w:r>
                </w:p>
              </w:tc>
              <w:tc>
                <w:tcPr>
                  <w:tcW w:type="dxa" w:w="1500"/>
                  <w:shd w:val="clear" w:fill="EAF0F1"/>
                </w:tcPr>
                <w:p>
                  <w:pPr>
                    <w:spacing w:after="0"/>
                    <w:jc w:val="center"/>
                  </w:pPr>
                  <w:r>
                    <w:rPr>
                      <w:b/>
                      <w:i w:val="0"/>
                      <w:sz w:val="17"/>
                    </w:rPr>
                    <w:t xml:space="preserve">Guyane</w:t>
                  </w:r>
                </w:p>
              </w:tc>
              <w:tc>
                <w:tcPr>
                  <w:tcW w:type="dxa" w:w="1700"/>
                  <w:shd w:val="clear" w:fill="EAF0F1"/>
                </w:tcPr>
                <w:p>
                  <w:pPr>
                    <w:spacing w:after="0"/>
                    <w:jc w:val="center"/>
                  </w:pPr>
                  <w:r>
                    <w:rPr>
                      <w:b/>
                      <w:i w:val="0"/>
                      <w:sz w:val="17"/>
                    </w:rPr>
                    <w:t xml:space="preserve">France métropolitaine</w:t>
                  </w:r>
                </w:p>
              </w:tc>
            </w:tr>
            <w:tr>
              <w:tc>
                <w:tcPr>
                  <w:tcW w:type="dxa" w:w="2900"/>
                </w:tcPr>
                <w:p>
                  <w:pPr>
                    <w:spacing w:after="0"/>
                  </w:pPr>
                  <w:r>
                    <w:rPr>
                      <w:b w:val="0"/>
                      <w:i w:val="0"/>
                      <w:sz w:val="17"/>
                    </w:rPr>
                    <w:t xml:space="preserve">Taux de pauvreté (seuil national)</w:t>
                  </w:r>
                </w:p>
              </w:tc>
              <w:tc>
                <w:tcPr>
                  <w:tcW w:type="dxa" w:w="1500"/>
                </w:tcPr>
                <w:p>
                  <w:pPr>
                    <w:spacing w:after="0"/>
                    <w:jc w:val="center"/>
                  </w:pPr>
                  <w:r>
                    <w:rPr>
                      <w:b w:val="0"/>
                      <w:i w:val="0"/>
                      <w:sz w:val="17"/>
                    </w:rPr>
                    <w:t xml:space="preserve">50 %</w:t>
                  </w:r>
                </w:p>
              </w:tc>
              <w:tc>
                <w:tcPr>
                  <w:tcW w:type="dxa" w:w="1700"/>
                </w:tcPr>
                <w:p>
                  <w:pPr>
                    <w:spacing w:after="0"/>
                    <w:jc w:val="center"/>
                  </w:pPr>
                  <w:r>
                    <w:rPr>
                      <w:b w:val="0"/>
                      <w:i w:val="0"/>
                      <w:sz w:val="17"/>
                    </w:rPr>
                    <w:t xml:space="preserve">14 %</w:t>
                  </w:r>
                </w:p>
              </w:tc>
            </w:tr>
            <w:tr>
              <w:tc>
                <w:tcPr>
                  <w:tcW w:type="dxa" w:w="2900"/>
                </w:tcPr>
                <w:p>
                  <w:pPr>
                    <w:spacing w:after="0"/>
                  </w:pPr>
                  <w:r>
                    <w:rPr>
                      <w:b w:val="0"/>
                      <w:i w:val="0"/>
                      <w:sz w:val="17"/>
                    </w:rPr>
                    <w:t xml:space="preserve">Rapport interdécile D9/D1</w:t>
                  </w:r>
                </w:p>
              </w:tc>
              <w:tc>
                <w:tcPr>
                  <w:tcW w:type="dxa" w:w="1500"/>
                </w:tcPr>
                <w:p>
                  <w:pPr>
                    <w:spacing w:after="0"/>
                    <w:jc w:val="center"/>
                  </w:pPr>
                  <w:r>
                    <w:rPr>
                      <w:b w:val="0"/>
                      <w:i w:val="0"/>
                      <w:sz w:val="17"/>
                    </w:rPr>
                    <w:t xml:space="preserve">7,8</w:t>
                  </w:r>
                </w:p>
              </w:tc>
              <w:tc>
                <w:tcPr>
                  <w:tcW w:type="dxa" w:w="1700"/>
                </w:tcPr>
                <w:p>
                  <w:pPr>
                    <w:spacing w:after="0"/>
                    <w:jc w:val="center"/>
                  </w:pPr>
                  <w:r>
                    <w:rPr>
                      <w:b w:val="0"/>
                      <w:i w:val="0"/>
                      <w:sz w:val="17"/>
                    </w:rPr>
                    <w:t xml:space="preserve">3,3</w:t>
                  </w:r>
                </w:p>
              </w:tc>
            </w:tr>
            <w:tr>
              <w:tc>
                <w:tcPr>
                  <w:tcW w:type="dxa" w:w="2900"/>
                </w:tcPr>
                <w:p>
                  <w:pPr>
                    <w:spacing w:after="0"/>
                  </w:pPr>
                  <w:r>
                    <w:rPr>
                      <w:b w:val="0"/>
                      <w:i w:val="0"/>
                      <w:sz w:val="17"/>
                    </w:rPr>
                    <w:t xml:space="preserve">Familles monoparentales : taux de pauvreté</w:t>
                  </w:r>
                </w:p>
              </w:tc>
              <w:tc>
                <w:tcPr>
                  <w:tcW w:type="dxa" w:w="1500"/>
                </w:tcPr>
                <w:p>
                  <w:pPr>
                    <w:spacing w:after="0"/>
                    <w:jc w:val="center"/>
                  </w:pPr>
                  <w:r>
                    <w:rPr>
                      <w:b w:val="0"/>
                      <w:i w:val="0"/>
                      <w:sz w:val="17"/>
                    </w:rPr>
                    <w:t xml:space="preserve">64 %</w:t>
                  </w:r>
                </w:p>
              </w:tc>
              <w:tc>
                <w:tcPr>
                  <w:tcW w:type="dxa" w:w="1700"/>
                </w:tcPr>
                <w:p>
                  <w:pPr>
                    <w:spacing w:after="0"/>
                    <w:jc w:val="center"/>
                  </w:pPr>
                  <w:r>
                    <w:rPr>
                      <w:b w:val="0"/>
                      <w:i w:val="0"/>
                      <w:sz w:val="17"/>
                    </w:rPr>
                    <w:t xml:space="preserve">non repris</w:t>
                  </w:r>
                </w:p>
              </w:tc>
            </w:tr>
          </w:tbl>
          <w:p>
            <w:pPr>
              <w:spacing w:after="60"/>
            </w:pPr>
          </w:p>
          <w:p>
            <w:pPr>
              <w:spacing w:after="100"/>
            </w:pPr>
            <w:r>
              <w:rPr>
                <w:b w:val="0"/>
                <w:i w:val="0"/>
              </w:rPr>
              <w:t xml:space="preserve">En 2017, en Guyane, une personne sur deux (50 %) vit sous le seuil de pauvreté national, fixé à 1 010 € par mois et par unité de consommation (UC). Ce taux est de 34 % en Guadeloupe et de 14 % en France métropolitaine. La moitié des Guyanais vit avec moins de 920 € par mois et par UC, soit environ la moitié du niveau de vie médian national (1 700 €).</w:t>
            </w:r>
          </w:p>
          <w:p>
            <w:pPr>
              <w:spacing w:after="100"/>
            </w:pPr>
            <w:r>
              <w:rPr>
                <w:b w:val="0"/>
                <w:i w:val="0"/>
              </w:rPr>
              <w:t xml:space="preserve">Les écarts à l’intérieur du territoire sont aussi plus forts : le rapport interdécile D9/D1 atteint 7,8 en Guyane, contre 4,9 en Guadeloupe et 3,3 en France métropolitaine. Dans les familles monoparentales guyanaises, 64 % des personnes vivent sous le seuil de pauvreté national. Champ : Guyane « routière » (15 communes enquêtées, 235 000 habitants).</w:t>
            </w:r>
          </w:p>
          <w:p>
            <w:pPr>
              <w:spacing w:after="60"/>
            </w:pPr>
            <w:r>
              <w:rPr>
                <w:b w:val="0"/>
                <w:i/>
                <w:color w:val="63696B"/>
                <w:sz w:val="15"/>
              </w:rPr>
              <w:t xml:space="preserve">Source : B. Raimbaud, N. Kempf, L. Demougeot, « Niveaux de vie et pauvreté en Guyane en 2017 : la moitié des Guyanais vivent sous le seuil de pauvreté », Insee Analyses Guyane n°46, juillet 2020, https://www.insee.fr/fr/statistiques/4623886</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Q24.  </w:t>
            </w:r>
            <w:r>
              <w:t>Rédigez une phrase de lecture du taux de pauvreté en Guyane, avec la date, le champ et la source.</w:t>
            </w:r>
          </w:p>
          <w:p>
            <w:pPr>
              <w:spacing w:after="180"/>
            </w:pPr>
            <w:r>
              <w:rPr>
                <w:b/>
                <w:color w:val="995133"/>
              </w:rPr>
              <w:t xml:space="preserve">Q25.  </w:t>
            </w:r>
            <w:r>
              <w:t>Comparez les rapports D9/D1 : que montrent-ils des écarts à l’intérieur de chaque territoire ?</w:t>
            </w:r>
          </w:p>
          <w:p>
            <w:pPr>
              <w:spacing w:after="180"/>
            </w:pPr>
            <w:r>
              <w:rPr>
                <w:b/>
                <w:color w:val="995133"/>
              </w:rPr>
              <w:t xml:space="preserve">Q26.  </w:t>
            </w:r>
            <w:r>
              <w:t>À l’aide des documents 12 et 13, montrez que le lieu de résidence peut cumuler écarts de revenus et inégal accès aux ressources.</w:t>
            </w:r>
          </w:p>
        </w:tc>
      </w:tr>
    </w:tbl>
    <w:tbl>
      <w:tblPr>
        <w:tblW w:type="auto" w:w="0"/>
        <w:tblLayout w:type="autofit"/>
        <w:tblLook w:firstColumn="1" w:firstRow="1" w:lastColumn="0" w:lastRow="0" w:noHBand="0" w:noVBand="1" w:val="04A0"/>
      </w:tblPr>
      <w:tblGrid>
        <w:gridCol w:w="5301"/>
        <w:gridCol w:w="4507"/>
      </w:tblGrid>
      <w:tr>
        <w:trPr>
          <w:cantSplit/>
        </w:trPr>
        <w:tc>
          <w:tcPr>
            <w:tcW w:type="dxa" w:w="9808"/>
            <w:gridSpan w:val="2"/>
            <w:shd w:fill="EDF5FF"/>
            <w:tcMar>
              <w:top w:w="65" w:type="dxa"/>
              <w:start w:w="100" w:type="dxa"/>
              <w:bottom w:w="65" w:type="dxa"/>
              <w:end w:w="100" w:type="dxa"/>
            </w:tcMar>
          </w:tcPr>
          <w:p>
            <w:pPr>
              <w:spacing w:after="80"/>
            </w:pPr>
            <w:r>
              <w:rPr>
                <w:b/>
                <w:i w:val="0"/>
                <w:color w:val="104982"/>
                <w:sz w:val="18"/>
              </w:rPr>
              <w:t xml:space="preserve">POUR TERMINER LA SÉANCE</w:t>
            </w:r>
          </w:p>
          <w:p>
            <w:pPr>
              <w:spacing w:after="40"/>
            </w:pPr>
            <w:r>
              <w:rPr>
                <w:b/>
                <w:i w:val="0"/>
                <w:color w:val="104982"/>
                <w:sz w:val="18"/>
              </w:rPr>
              <w:t xml:space="preserve">1 · DU CAS AU SAVOIR · 20 min (paragraphe A-E-I, type partie 1) : </w:t>
            </w:r>
            <w:r>
              <w:rPr>
                <w:b/>
                <w:i w:val="0"/>
                <w:sz w:val="18"/>
              </w:rPr>
              <w:t xml:space="preserve">Montrez que le cycle de vie et le lieu de résidence contribuent à structurer l’espace social.</w:t>
            </w:r>
          </w:p>
          <w:p>
            <w:pPr>
              <w:spacing w:after="80"/>
            </w:pPr>
            <w:r>
              <w:rPr>
                <w:b/>
                <w:i w:val="0"/>
                <w:sz w:val="17"/>
              </w:rPr>
              <w:t xml:space="preserve">Notions : </w:t>
            </w:r>
            <w:r>
              <w:rPr>
                <w:b w:val="0"/>
                <w:i w:val="0"/>
                <w:sz w:val="17"/>
              </w:rPr>
              <w:t xml:space="preserve">cycle de vie · effet d’âge · effet de génération · lieu de résidence · ségrégation spatiale · taux de pauvreté · rapport interdécile.</w:t>
            </w:r>
          </w:p>
          <w:p>
            <w:pPr>
              <w:spacing w:after="0"/>
            </w:pPr>
            <w:r>
              <w:rPr>
                <w:b/>
                <w:i w:val="0"/>
                <w:color w:val="104982"/>
                <w:sz w:val="18"/>
              </w:rPr>
              <w:t xml:space="preserve">2 · À LA MAISON · VALIDATION : </w:t>
            </w:r>
            <w:r>
              <w:rPr>
                <w:b w:val="0"/>
                <w:i w:val="0"/>
                <w:sz w:val="18"/>
              </w:rPr>
              <w:t xml:space="preserve">bilan de l’objectif 1 : classez les sept facteurs (PCS, revenu, diplôme, composition du ménage, cycle de vie, sexe, lieu de résidence) et associez à chacun un document du livret.</w:t>
            </w:r>
          </w:p>
        </w:tc>
      </w:tr>
    </w:tbl>
    <w:p>
      <w:pPr>
        <w:pageBreakBefore/>
        <w:spacing w:after="40"/>
      </w:pPr>
      <w:r>
        <w:rPr>
          <w:b/>
          <w:color w:val="1F4E61"/>
          <w:sz w:val="16"/>
        </w:rPr>
        <w:t xml:space="preserve">SÉANCE 4  ·  2 H    /    STRUCTURE SOCIALE</w:t>
      </w:r>
    </w:p>
    <w:p>
      <w:pPr>
        <w:spacing w:after="140"/>
      </w:pPr>
      <w:r>
        <w:rPr>
          <w:i/>
          <w:color w:val="63696B"/>
          <w:sz w:val="17"/>
        </w:rPr>
        <w:t xml:space="preserve">Déroulé : rappel (5 min) · 2.1 (≈ 50 min) · 2.2 (≈ 40 min) · pour terminer (≈ 25 min).</w:t>
      </w:r>
    </w:p>
    <w:p>
      <w:pPr>
        <w:spacing w:after="60"/>
      </w:pPr>
      <w:r>
        <w:rPr>
          <w:b/>
          <w:i w:val="0"/>
          <w:color w:val="1F4E61"/>
          <w:sz w:val="18"/>
        </w:rPr>
        <w:t>Rappel ou remédiation  ·  3 à 5 min</w:t>
      </w:r>
    </w:p>
    <w:p>
      <w:pPr>
        <w:spacing w:after="140"/>
      </w:pPr>
      <w:r>
        <w:rPr>
          <w:b w:val="0"/>
          <w:i w:val="0"/>
        </w:rPr>
        <w:t>Classez de mémoire les sept facteurs étudiés dans trois ensembles : ressources, caractéristiques du ménage et de la personne, espace résidentiel.</w:t>
      </w:r>
    </w:p>
    <w:p>
      <w:pPr>
        <w:spacing w:after="100"/>
      </w:pPr>
      <w:r>
        <w:rPr>
          <w:b/>
          <w:color w:val="232629"/>
          <w:sz w:val="28"/>
        </w:rPr>
        <w:t>2.1  ·  Comment la salarisation a-t-elle transformé l’emploi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Comment la salarisation a-t-elle transformé l’emploi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14</w:t>
            </w:r>
          </w:p>
        </w:tc>
        <w:tc>
          <w:tcPr>
            <w:tcW w:type="dxa" w:w="4933"/>
            <w:tcMar>
              <w:top w:w="70" w:type="dxa"/>
              <w:start w:w="100" w:type="dxa"/>
              <w:bottom w:w="70" w:type="dxa"/>
              <w:end w:w="40" w:type="dxa"/>
            </w:tcMar>
          </w:tcPr>
          <w:p>
            <w:r>
              <w:rPr>
                <w:b/>
                <w:color w:val="1F4E61"/>
                <w:sz w:val="21"/>
              </w:rPr>
              <w:t xml:space="preserve">Cinquante ans de transformations de l’emploi (1962-2025)</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tbl>
            <w:tblPr>
              <w:tblStyle w:val="TableGrid"/>
              <w:tblW w:type="dxa" w:w="6100"/>
            </w:tblPr>
            <w:tblGrid>
              <w:gridCol w:w="2100"/>
              <w:gridCol w:w="1150"/>
              <w:gridCol w:w="1300"/>
              <w:gridCol w:w="1550"/>
            </w:tblGrid>
            <w:tr>
              <w:tc>
                <w:tcPr>
                  <w:tcW w:type="dxa" w:w="2100"/>
                  <w:shd w:val="clear" w:fill="EAF0F1"/>
                </w:tcPr>
                <w:p>
                  <w:pPr>
                    <w:spacing w:after="0"/>
                  </w:pPr>
                  <w:r>
                    <w:rPr>
                      <w:b/>
                      <w:i w:val="0"/>
                      <w:sz w:val="17"/>
                    </w:rPr>
                    <w:t xml:space="preserve">Part dans l’emploi</w:t>
                  </w:r>
                </w:p>
              </w:tc>
              <w:tc>
                <w:tcPr>
                  <w:tcW w:type="dxa" w:w="1150"/>
                  <w:shd w:val="clear" w:fill="EAF0F1"/>
                </w:tcPr>
                <w:p>
                  <w:pPr>
                    <w:spacing w:after="0"/>
                    <w:jc w:val="center"/>
                  </w:pPr>
                  <w:r>
                    <w:rPr>
                      <w:b/>
                      <w:i w:val="0"/>
                      <w:sz w:val="17"/>
                    </w:rPr>
                    <w:t xml:space="preserve">1962</w:t>
                  </w:r>
                </w:p>
              </w:tc>
              <w:tc>
                <w:tcPr>
                  <w:tcW w:type="dxa" w:w="1300"/>
                  <w:shd w:val="clear" w:fill="EAF0F1"/>
                </w:tcPr>
                <w:p>
                  <w:pPr>
                    <w:spacing w:after="0"/>
                    <w:jc w:val="center"/>
                  </w:pPr>
                  <w:r>
                    <w:rPr>
                      <w:b/>
                      <w:i w:val="0"/>
                      <w:sz w:val="17"/>
                    </w:rPr>
                    <w:t xml:space="preserve">2007</w:t>
                  </w:r>
                </w:p>
              </w:tc>
              <w:tc>
                <w:tcPr>
                  <w:tcW w:type="dxa" w:w="1550"/>
                  <w:shd w:val="clear" w:fill="EAF0F1"/>
                </w:tcPr>
                <w:p>
                  <w:pPr>
                    <w:spacing w:after="0"/>
                    <w:jc w:val="center"/>
                  </w:pPr>
                  <w:r>
                    <w:rPr>
                      <w:b/>
                      <w:i w:val="0"/>
                      <w:sz w:val="17"/>
                    </w:rPr>
                    <w:t xml:space="preserve">2024-2025</w:t>
                  </w:r>
                </w:p>
              </w:tc>
            </w:tr>
            <w:tr>
              <w:tc>
                <w:tcPr>
                  <w:tcW w:type="dxa" w:w="2100"/>
                </w:tcPr>
                <w:p>
                  <w:pPr>
                    <w:spacing w:after="0"/>
                  </w:pPr>
                  <w:r>
                    <w:rPr>
                      <w:b w:val="0"/>
                      <w:i w:val="0"/>
                      <w:sz w:val="17"/>
                    </w:rPr>
                    <w:t xml:space="preserve">Salariés</w:t>
                  </w:r>
                </w:p>
              </w:tc>
              <w:tc>
                <w:tcPr>
                  <w:tcW w:type="dxa" w:w="1150"/>
                </w:tcPr>
                <w:p>
                  <w:pPr>
                    <w:spacing w:after="0"/>
                    <w:jc w:val="center"/>
                  </w:pPr>
                  <w:r>
                    <w:rPr>
                      <w:b w:val="0"/>
                      <w:i w:val="0"/>
                      <w:sz w:val="17"/>
                    </w:rPr>
                    <w:t xml:space="preserve">72 %</w:t>
                  </w:r>
                </w:p>
              </w:tc>
              <w:tc>
                <w:tcPr>
                  <w:tcW w:type="dxa" w:w="1300"/>
                </w:tcPr>
                <w:p>
                  <w:pPr>
                    <w:spacing w:after="0"/>
                    <w:jc w:val="center"/>
                  </w:pPr>
                  <w:r>
                    <w:rPr>
                      <w:b w:val="0"/>
                      <w:i w:val="0"/>
                      <w:sz w:val="17"/>
                    </w:rPr>
                    <w:t xml:space="preserve">près de 90 %</w:t>
                  </w:r>
                </w:p>
              </w:tc>
              <w:tc>
                <w:tcPr>
                  <w:tcW w:type="dxa" w:w="1550"/>
                </w:tcPr>
                <w:p>
                  <w:pPr>
                    <w:spacing w:after="0"/>
                    <w:jc w:val="center"/>
                  </w:pPr>
                  <w:r>
                    <w:rPr>
                      <w:b w:val="0"/>
                      <w:i w:val="0"/>
                      <w:sz w:val="17"/>
                    </w:rPr>
                    <w:t xml:space="preserve">à calculer (doc. 16)</w:t>
                  </w:r>
                </w:p>
              </w:tc>
            </w:tr>
            <w:tr>
              <w:tc>
                <w:tcPr>
                  <w:tcW w:type="dxa" w:w="2100"/>
                </w:tcPr>
                <w:p>
                  <w:pPr>
                    <w:spacing w:after="0"/>
                  </w:pPr>
                  <w:r>
                    <w:rPr>
                      <w:b w:val="0"/>
                      <w:i w:val="0"/>
                      <w:sz w:val="17"/>
                    </w:rPr>
                    <w:t xml:space="preserve">Femmes</w:t>
                  </w:r>
                </w:p>
              </w:tc>
              <w:tc>
                <w:tcPr>
                  <w:tcW w:type="dxa" w:w="1150"/>
                </w:tcPr>
                <w:p>
                  <w:pPr>
                    <w:spacing w:after="0"/>
                    <w:jc w:val="center"/>
                  </w:pPr>
                  <w:r>
                    <w:rPr>
                      <w:b w:val="0"/>
                      <w:i w:val="0"/>
                      <w:sz w:val="17"/>
                    </w:rPr>
                    <w:t xml:space="preserve">environ 1/3</w:t>
                  </w:r>
                </w:p>
              </w:tc>
              <w:tc>
                <w:tcPr>
                  <w:tcW w:type="dxa" w:w="1300"/>
                </w:tcPr>
                <w:p>
                  <w:pPr>
                    <w:spacing w:after="0"/>
                    <w:jc w:val="center"/>
                  </w:pPr>
                  <w:r>
                    <w:rPr>
                      <w:b w:val="0"/>
                      <w:i w:val="0"/>
                      <w:sz w:val="17"/>
                    </w:rPr>
                    <w:t xml:space="preserve">47 %</w:t>
                  </w:r>
                </w:p>
              </w:tc>
              <w:tc>
                <w:tcPr>
                  <w:tcW w:type="dxa" w:w="1550"/>
                </w:tcPr>
                <w:p>
                  <w:pPr>
                    <w:spacing w:after="0"/>
                    <w:jc w:val="center"/>
                  </w:pPr>
                  <w:r>
                    <w:rPr>
                      <w:b w:val="0"/>
                      <w:i w:val="0"/>
                      <w:sz w:val="17"/>
                    </w:rPr>
                    <w:t xml:space="preserve">48 % (fin 2025)</w:t>
                  </w:r>
                </w:p>
              </w:tc>
            </w:tr>
            <w:tr>
              <w:tc>
                <w:tcPr>
                  <w:tcW w:type="dxa" w:w="2100"/>
                </w:tcPr>
                <w:p>
                  <w:pPr>
                    <w:spacing w:after="0"/>
                  </w:pPr>
                  <w:r>
                    <w:rPr>
                      <w:b w:val="0"/>
                      <w:i w:val="0"/>
                      <w:sz w:val="17"/>
                    </w:rPr>
                    <w:t xml:space="preserve">Industrie</w:t>
                  </w:r>
                </w:p>
              </w:tc>
              <w:tc>
                <w:tcPr>
                  <w:tcW w:type="dxa" w:w="1150"/>
                </w:tcPr>
                <w:p>
                  <w:pPr>
                    <w:spacing w:after="0"/>
                    <w:jc w:val="center"/>
                  </w:pPr>
                  <w:r>
                    <w:rPr>
                      <w:b w:val="0"/>
                      <w:i w:val="0"/>
                      <w:sz w:val="17"/>
                    </w:rPr>
                    <w:t xml:space="preserve">environ 30 %</w:t>
                  </w:r>
                </w:p>
              </w:tc>
              <w:tc>
                <w:tcPr>
                  <w:tcW w:type="dxa" w:w="1300"/>
                </w:tcPr>
                <w:p>
                  <w:pPr>
                    <w:spacing w:after="0"/>
                    <w:jc w:val="center"/>
                  </w:pPr>
                  <w:r>
                    <w:rPr>
                      <w:b w:val="0"/>
                      <w:i w:val="0"/>
                      <w:sz w:val="17"/>
                    </w:rPr>
                    <w:t xml:space="preserve">15 %</w:t>
                  </w:r>
                </w:p>
              </w:tc>
              <w:tc>
                <w:tcPr>
                  <w:tcW w:type="dxa" w:w="1550"/>
                </w:tcPr>
                <w:p>
                  <w:pPr>
                    <w:spacing w:after="0"/>
                    <w:jc w:val="center"/>
                  </w:pPr>
                  <w:r>
                    <w:rPr>
                      <w:b w:val="0"/>
                      <w:i w:val="0"/>
                      <w:sz w:val="17"/>
                    </w:rPr>
                    <w:t xml:space="preserve">12,6 % (2024)</w:t>
                  </w:r>
                </w:p>
              </w:tc>
            </w:tr>
            <w:tr>
              <w:tc>
                <w:tcPr>
                  <w:tcW w:type="dxa" w:w="2100"/>
                </w:tcPr>
                <w:p>
                  <w:pPr>
                    <w:spacing w:after="0"/>
                  </w:pPr>
                  <w:r>
                    <w:rPr>
                      <w:b w:val="0"/>
                      <w:i w:val="0"/>
                      <w:sz w:val="17"/>
                    </w:rPr>
                    <w:t xml:space="preserve">Cadres</w:t>
                  </w:r>
                </w:p>
              </w:tc>
              <w:tc>
                <w:tcPr>
                  <w:tcW w:type="dxa" w:w="1150"/>
                </w:tcPr>
                <w:p>
                  <w:pPr>
                    <w:spacing w:after="0"/>
                    <w:jc w:val="center"/>
                  </w:pPr>
                  <w:r>
                    <w:rPr>
                      <w:b w:val="0"/>
                      <w:i w:val="0"/>
                      <w:sz w:val="17"/>
                    </w:rPr>
                    <w:t xml:space="preserve">4,7 %</w:t>
                  </w:r>
                </w:p>
              </w:tc>
              <w:tc>
                <w:tcPr>
                  <w:tcW w:type="dxa" w:w="1300"/>
                </w:tcPr>
                <w:p>
                  <w:pPr>
                    <w:spacing w:after="0"/>
                    <w:jc w:val="center"/>
                  </w:pPr>
                  <w:r>
                    <w:rPr>
                      <w:b w:val="0"/>
                      <w:i w:val="0"/>
                      <w:sz w:val="17"/>
                    </w:rPr>
                    <w:t xml:space="preserve">15,8 %</w:t>
                  </w:r>
                </w:p>
              </w:tc>
              <w:tc>
                <w:tcPr>
                  <w:tcW w:type="dxa" w:w="1550"/>
                </w:tcPr>
                <w:p>
                  <w:pPr>
                    <w:spacing w:after="0"/>
                    <w:jc w:val="center"/>
                  </w:pPr>
                  <w:r>
                    <w:rPr>
                      <w:b w:val="0"/>
                      <w:i w:val="0"/>
                      <w:sz w:val="17"/>
                    </w:rPr>
                    <w:t xml:space="preserve">23,8 % (2025)</w:t>
                  </w:r>
                </w:p>
              </w:tc>
            </w:tr>
            <w:tr>
              <w:tc>
                <w:tcPr>
                  <w:tcW w:type="dxa" w:w="2100"/>
                </w:tcPr>
                <w:p>
                  <w:pPr>
                    <w:spacing w:after="0"/>
                  </w:pPr>
                  <w:r>
                    <w:rPr>
                      <w:b w:val="0"/>
                      <w:i w:val="0"/>
                      <w:sz w:val="17"/>
                    </w:rPr>
                    <w:t xml:space="preserve">Professions intermédiaires</w:t>
                  </w:r>
                </w:p>
              </w:tc>
              <w:tc>
                <w:tcPr>
                  <w:tcW w:type="dxa" w:w="1150"/>
                </w:tcPr>
                <w:p>
                  <w:pPr>
                    <w:spacing w:after="0"/>
                    <w:jc w:val="center"/>
                  </w:pPr>
                  <w:r>
                    <w:rPr>
                      <w:b w:val="0"/>
                      <w:i w:val="0"/>
                      <w:sz w:val="17"/>
                    </w:rPr>
                    <w:t xml:space="preserve">11,1 %</w:t>
                  </w:r>
                </w:p>
              </w:tc>
              <w:tc>
                <w:tcPr>
                  <w:tcW w:type="dxa" w:w="1300"/>
                </w:tcPr>
                <w:p>
                  <w:pPr>
                    <w:spacing w:after="0"/>
                    <w:jc w:val="center"/>
                  </w:pPr>
                  <w:r>
                    <w:rPr>
                      <w:b w:val="0"/>
                      <w:i w:val="0"/>
                      <w:sz w:val="17"/>
                    </w:rPr>
                    <w:t xml:space="preserve">24,8 %</w:t>
                  </w:r>
                </w:p>
              </w:tc>
              <w:tc>
                <w:tcPr>
                  <w:tcW w:type="dxa" w:w="1550"/>
                </w:tcPr>
                <w:p>
                  <w:pPr>
                    <w:spacing w:after="0"/>
                    <w:jc w:val="center"/>
                  </w:pPr>
                  <w:r>
                    <w:rPr>
                      <w:b w:val="0"/>
                      <w:i w:val="0"/>
                      <w:sz w:val="17"/>
                    </w:rPr>
                    <w:t xml:space="preserve">25,4 % (2025)</w:t>
                  </w:r>
                </w:p>
              </w:tc>
            </w:tr>
            <w:tr>
              <w:tc>
                <w:tcPr>
                  <w:tcW w:type="dxa" w:w="2100"/>
                </w:tcPr>
                <w:p>
                  <w:pPr>
                    <w:spacing w:after="0"/>
                  </w:pPr>
                  <w:r>
                    <w:rPr>
                      <w:b w:val="0"/>
                      <w:i w:val="0"/>
                      <w:sz w:val="17"/>
                    </w:rPr>
                    <w:t xml:space="preserve">Employés</w:t>
                  </w:r>
                </w:p>
              </w:tc>
              <w:tc>
                <w:tcPr>
                  <w:tcW w:type="dxa" w:w="1150"/>
                </w:tcPr>
                <w:p>
                  <w:pPr>
                    <w:spacing w:after="0"/>
                    <w:jc w:val="center"/>
                  </w:pPr>
                  <w:r>
                    <w:rPr>
                      <w:b w:val="0"/>
                      <w:i w:val="0"/>
                      <w:sz w:val="17"/>
                    </w:rPr>
                    <w:t xml:space="preserve">18,3 %</w:t>
                  </w:r>
                </w:p>
              </w:tc>
              <w:tc>
                <w:tcPr>
                  <w:tcW w:type="dxa" w:w="1300"/>
                </w:tcPr>
                <w:p>
                  <w:pPr>
                    <w:spacing w:after="0"/>
                    <w:jc w:val="center"/>
                  </w:pPr>
                  <w:r>
                    <w:rPr>
                      <w:b w:val="0"/>
                      <w:i w:val="0"/>
                      <w:sz w:val="17"/>
                    </w:rPr>
                    <w:t xml:space="preserve">28,4 %</w:t>
                  </w:r>
                </w:p>
              </w:tc>
              <w:tc>
                <w:tcPr>
                  <w:tcW w:type="dxa" w:w="1550"/>
                </w:tcPr>
                <w:p>
                  <w:pPr>
                    <w:spacing w:after="0"/>
                    <w:jc w:val="center"/>
                  </w:pPr>
                  <w:r>
                    <w:rPr>
                      <w:b w:val="0"/>
                      <w:i w:val="0"/>
                      <w:sz w:val="17"/>
                    </w:rPr>
                    <w:t xml:space="preserve">24,3 % (2025)</w:t>
                  </w:r>
                </w:p>
              </w:tc>
            </w:tr>
            <w:tr>
              <w:tc>
                <w:tcPr>
                  <w:tcW w:type="dxa" w:w="2100"/>
                </w:tcPr>
                <w:p>
                  <w:pPr>
                    <w:spacing w:after="0"/>
                  </w:pPr>
                  <w:r>
                    <w:rPr>
                      <w:b w:val="0"/>
                      <w:i w:val="0"/>
                      <w:sz w:val="17"/>
                    </w:rPr>
                    <w:t xml:space="preserve">Ouvriers</w:t>
                  </w:r>
                </w:p>
              </w:tc>
              <w:tc>
                <w:tcPr>
                  <w:tcW w:type="dxa" w:w="1150"/>
                </w:tcPr>
                <w:p>
                  <w:pPr>
                    <w:spacing w:after="0"/>
                    <w:jc w:val="center"/>
                  </w:pPr>
                  <w:r>
                    <w:rPr>
                      <w:b w:val="0"/>
                      <w:i w:val="0"/>
                      <w:sz w:val="17"/>
                    </w:rPr>
                    <w:t xml:space="preserve">39 %</w:t>
                  </w:r>
                </w:p>
              </w:tc>
              <w:tc>
                <w:tcPr>
                  <w:tcW w:type="dxa" w:w="1300"/>
                </w:tcPr>
                <w:p>
                  <w:pPr>
                    <w:spacing w:after="0"/>
                    <w:jc w:val="center"/>
                  </w:pPr>
                  <w:r>
                    <w:rPr>
                      <w:b w:val="0"/>
                      <w:i w:val="0"/>
                      <w:sz w:val="17"/>
                    </w:rPr>
                    <w:t xml:space="preserve">moins de 25 %</w:t>
                  </w:r>
                </w:p>
              </w:tc>
              <w:tc>
                <w:tcPr>
                  <w:tcW w:type="dxa" w:w="1550"/>
                </w:tcPr>
                <w:p>
                  <w:pPr>
                    <w:spacing w:after="0"/>
                    <w:jc w:val="center"/>
                  </w:pPr>
                  <w:r>
                    <w:rPr>
                      <w:b w:val="0"/>
                      <w:i w:val="0"/>
                      <w:sz w:val="17"/>
                    </w:rPr>
                    <w:t xml:space="preserve">non repris</w:t>
                  </w:r>
                </w:p>
              </w:tc>
            </w:tr>
          </w:tbl>
          <w:p>
            <w:pPr>
              <w:spacing w:after="60"/>
            </w:pPr>
          </w:p>
          <w:p>
            <w:pPr>
              <w:spacing w:after="100"/>
            </w:pPr>
            <w:r>
              <w:rPr>
                <w:b w:val="0"/>
                <w:i w:val="0"/>
              </w:rPr>
              <w:t xml:space="preserve">Au début des années 1950, l’agriculture regroupait 29 % des emplois, l’industrie et les services marchands 25 % chacun, et les services principalement non marchands 15 %. En 2007, le tertiaire regroupe plus des trois quarts des emplois. En 1962, les deux tiers des personnes en emploi étaient des hommes ; en 2007, l’emploi se partage presque à parts égales (53 % d’hommes, 47 % de femmes).</w:t>
            </w:r>
          </w:p>
          <w:p>
            <w:pPr>
              <w:spacing w:after="100"/>
            </w:pPr>
            <w:r>
              <w:rPr>
                <w:b w:val="0"/>
                <w:i w:val="0"/>
              </w:rPr>
              <w:t xml:space="preserve">Champs : 1962 et 2007, actifs ayant un emploi en France métropolitaine (recensements) ; 2024-2025, France hors Mayotte (documents 16, 17 et 20). La nomenclature des PCS a été rénovée en 2020 : les comparaisons avec 2025 donnent des ordres de grandeur, pas des évolutions exactes.</w:t>
            </w:r>
          </w:p>
          <w:p>
            <w:pPr>
              <w:spacing w:after="60"/>
            </w:pPr>
            <w:r>
              <w:rPr>
                <w:b w:val="0"/>
                <w:i/>
                <w:color w:val="63696B"/>
                <w:sz w:val="15"/>
              </w:rPr>
              <w:t xml:space="preserve">Sources : Olivier Marchand, « 50 ans de mutations de l’emploi », Insee Première n°1312, septembre 2010, https://www.insee.fr/fr/statistiques/1283207 ; A. Schreiber et A. Vicard, « La tertiarisation de l’économie française et le ralentissement de la productivité entre 1978 et 2008 », L’économie française, Insee, édition 2011 (années 1950, comptes nationaux) ; Insee, estimations d’emploi 2025 et enquête Emploi 2025.</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Q27.  </w:t>
            </w:r>
            <w:r>
              <w:t>Pour chacune des quatre évolutions (salarisation, tertiarisation, qualification, féminisation), relevez deux données datées.</w:t>
            </w:r>
          </w:p>
          <w:p>
            <w:pPr>
              <w:spacing w:after="180"/>
            </w:pPr>
            <w:r>
              <w:rPr>
                <w:b/>
                <w:color w:val="995133"/>
              </w:rPr>
              <w:t xml:space="preserve">Q28.  </w:t>
            </w:r>
            <w:r>
              <w:t>Pourquoi faut-il rester prudent quand on compare 1962 et 2025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15</w:t>
            </w:r>
          </w:p>
        </w:tc>
        <w:tc>
          <w:tcPr>
            <w:tcW w:type="dxa" w:w="4933"/>
            <w:tcMar>
              <w:top w:w="70" w:type="dxa"/>
              <w:start w:w="100" w:type="dxa"/>
              <w:bottom w:w="70" w:type="dxa"/>
              <w:end w:w="40" w:type="dxa"/>
            </w:tcMar>
          </w:tcPr>
          <w:p>
            <w:r>
              <w:rPr>
                <w:b/>
                <w:color w:val="1F4E61"/>
                <w:sz w:val="21"/>
              </w:rPr>
              <w:t>Du recul historique des indépendants à leur rebond</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tbl>
            <w:tblPr>
              <w:tblStyle w:val="TableGrid"/>
              <w:tblW w:type="auto" w:w="0"/>
              <w:tblLayout w:type="fixed"/>
              <w:tblLook w:firstColumn="1" w:firstRow="1" w:lastColumn="0" w:lastRow="0" w:noHBand="0" w:noVBand="1" w:val="04A0"/>
            </w:tblPr>
            <w:tblGrid>
              <w:gridCol w:w="3160"/>
              <w:gridCol w:w="3160"/>
            </w:tblGrid>
            <w:tr>
              <w:tc>
                <w:tcPr>
                  <w:tcW w:type="dxa" w:w="3160"/>
                </w:tcPr>
                <w:p>
                  <w:r>
                    <w:rPr>
                      <w:b/>
                      <w:color w:val="1F4E61"/>
                      <w:sz w:val="17"/>
                    </w:rPr>
                    <w:t>Année</w:t>
                  </w:r>
                </w:p>
              </w:tc>
              <w:tc>
                <w:tcPr>
                  <w:tcW w:type="dxa" w:w="3160"/>
                </w:tcPr>
                <w:p>
                  <w:r>
                    <w:rPr>
                      <w:b/>
                      <w:color w:val="1F4E61"/>
                      <w:sz w:val="17"/>
                    </w:rPr>
                    <w:t>Indice indépendants, base 100 en 1975</w:t>
                  </w:r>
                </w:p>
              </w:tc>
            </w:tr>
            <w:tr>
              <w:tc>
                <w:tcPr>
                  <w:tcW w:type="dxa" w:w="3160"/>
                </w:tcPr>
                <w:p>
                  <w:pPr>
                    <w:spacing w:after="20"/>
                  </w:pPr>
                  <w:r>
                    <w:rPr>
                      <w:sz w:val="17"/>
                    </w:rPr>
                    <w:t>1975</w:t>
                  </w:r>
                </w:p>
              </w:tc>
              <w:tc>
                <w:tcPr>
                  <w:tcW w:type="dxa" w:w="3160"/>
                </w:tcPr>
                <w:p>
                  <w:pPr>
                    <w:spacing w:after="20"/>
                  </w:pPr>
                  <w:r>
                    <w:rPr>
                      <w:sz w:val="17"/>
                    </w:rPr>
                    <w:t>100</w:t>
                  </w:r>
                </w:p>
              </w:tc>
            </w:tr>
            <w:tr>
              <w:tc>
                <w:tcPr>
                  <w:tcW w:type="dxa" w:w="3160"/>
                </w:tcPr>
                <w:p>
                  <w:pPr>
                    <w:spacing w:after="20"/>
                  </w:pPr>
                  <w:r>
                    <w:rPr>
                      <w:sz w:val="17"/>
                    </w:rPr>
                    <w:t>2000</w:t>
                  </w:r>
                </w:p>
              </w:tc>
              <w:tc>
                <w:tcPr>
                  <w:tcW w:type="dxa" w:w="3160"/>
                </w:tcPr>
                <w:p>
                  <w:pPr>
                    <w:spacing w:after="20"/>
                  </w:pPr>
                  <w:r>
                    <w:rPr>
                      <w:sz w:val="17"/>
                    </w:rPr>
                    <w:t>58</w:t>
                  </w:r>
                </w:p>
              </w:tc>
            </w:tr>
            <w:tr>
              <w:tc>
                <w:tcPr>
                  <w:tcW w:type="dxa" w:w="3160"/>
                </w:tcPr>
                <w:p>
                  <w:pPr>
                    <w:spacing w:after="20"/>
                  </w:pPr>
                  <w:r>
                    <w:rPr>
                      <w:sz w:val="17"/>
                    </w:rPr>
                    <w:t>2016</w:t>
                  </w:r>
                </w:p>
              </w:tc>
              <w:tc>
                <w:tcPr>
                  <w:tcW w:type="dxa" w:w="3160"/>
                </w:tcPr>
                <w:p>
                  <w:pPr>
                    <w:spacing w:after="20"/>
                  </w:pPr>
                  <w:r>
                    <w:rPr>
                      <w:sz w:val="17"/>
                    </w:rPr>
                    <w:t>72</w:t>
                  </w:r>
                </w:p>
              </w:tc>
            </w:tr>
          </w:tbl>
          <w:p/>
          <w:p>
            <w:pPr>
              <w:spacing w:after="0"/>
            </w:pPr>
          </w:p>
          <w:p>
            <w:pPr>
              <w:spacing w:after="100"/>
            </w:pPr>
            <w:r>
              <w:rPr>
                <w:b w:val="0"/>
                <w:i w:val="0"/>
              </w:rPr>
              <w:t>L’Insee décrit le recul des indépendants au XXe siècle au profit du salariat, lié notamment à la diminution du nombre d’exploitants agricoles, de petits commerçants et d’artisans. Le graphique de Le Boëtté suit les effectifs des indépendants non salariés à emploi principal : en prenant 1975 pour base 100, l’indice de l’ensemble des indépendants atteint 58 en 2000, puis 72 en 2016. Il mesure des effectifs relatifs, et non une part dans l’emploi. En 2016, 3,1 millions d’actifs en emploi, soit 12 %, exercent avec un statut d’indépendant. Un redressement apparaît au début des années 2000, particulièrement dans les services, puis s’amplifie avec le régime de l’auto-entrepreneur créé en 2009.</w:t>
            </w:r>
          </w:p>
          <w:p>
            <w:pPr>
              <w:spacing w:after="100"/>
            </w:pPr>
            <w:r>
              <w:rPr>
                <w:b w:val="0"/>
                <w:i w:val="0"/>
              </w:rPr>
              <w:t>La salarisation désigne la hausse de la proportion de salariés parmi les personnes en emploi. Elle ne se confond pas avec la baisse d’un effectif d’indépendants : le dénominateur peut lui aussi changer. Elle ne s’interprète pas davantage comme une hausse ininterrompue jusqu’à aujourd’hui. Les évolutions du statut d’emploi et celles des secteurs d’activité doivent être distinguées : une activité de service peut être exercée avec un statut salarié ou indépendant.</w:t>
            </w:r>
          </w:p>
          <w:p>
            <w:pPr>
              <w:spacing w:after="60"/>
            </w:pPr>
            <w:r>
              <w:rPr>
                <w:b w:val="0"/>
                <w:i/>
                <w:color w:val="63696B"/>
                <w:sz w:val="15"/>
              </w:rPr>
              <w:t>Sources : Olivier Marchand, « 50 ans de mutations de l’emploi », Insee Première n°1312, 2010, https://www.insee.fr/fr/statistiques/1283207 ; Isabelle Le Boëtté, « Les indépendants : le rebond amorcé dans les années 2000 se poursuit en 2016 », Insee Première n°1768, 2019, https://www.insee.fr/fr/statistiques/4199203.</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Q29.  </w:t>
            </w:r>
            <w:r>
              <w:t>Décrivez la baisse puis le rebond des indépendants dans la série historique.</w:t>
            </w:r>
          </w:p>
          <w:p>
            <w:pPr>
              <w:spacing w:after="180"/>
            </w:pPr>
            <w:r>
              <w:rPr>
                <w:b/>
                <w:color w:val="995133"/>
              </w:rPr>
              <w:t xml:space="preserve">Q30.  </w:t>
            </w:r>
            <w:r>
              <w:t>Pourquoi un indice d’effectif ne mesure-t-il pas une part de l’emploi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16</w:t>
            </w:r>
          </w:p>
        </w:tc>
        <w:tc>
          <w:tcPr>
            <w:tcW w:type="dxa" w:w="4933"/>
            <w:tcMar>
              <w:top w:w="70" w:type="dxa"/>
              <w:start w:w="100" w:type="dxa"/>
              <w:bottom w:w="70" w:type="dxa"/>
              <w:end w:w="40" w:type="dxa"/>
            </w:tcMar>
          </w:tcPr>
          <w:p>
            <w:r>
              <w:rPr>
                <w:b/>
                <w:color w:val="1F4E61"/>
                <w:sz w:val="21"/>
              </w:rPr>
              <w:t>Statut de l’emploi fin 2025</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p>
            <w:pPr>
              <w:spacing w:after="100"/>
            </w:pPr>
            <w:r>
              <w:rPr>
                <w:b w:val="0"/>
                <w:i w:val="0"/>
              </w:rPr>
              <w:t>Fin 2025, la France hors Mayotte compte 30,483 millions de personnes en emploi, dont 26,965 millions de salariés et 3,518 millions de non-salariés. Parmi les salariés, 49 % sont des femmes ; parmi les non-salariés, 36 % sont des femmes. L’évolution de l’emploi salarié en 2025 est de −53 000 personnes et celle de l’emploi non salarié de +72 000. Les données annuelles ne décrivent pas, à elles seules, la trajectoire depuis la seconde moitié du XXe siècle : elles permettent surtout de situer la salarisation dans une période récente et de comparer un statut avec un effectif.</w:t>
            </w:r>
          </w:p>
          <w:p>
            <w:pPr>
              <w:spacing w:after="60"/>
            </w:pPr>
            <w:r>
              <w:rPr>
                <w:b w:val="0"/>
                <w:i/>
                <w:color w:val="63696B"/>
                <w:sz w:val="15"/>
              </w:rPr>
              <w:t>Source : Insee, Estimations d’emploi, données provisoires en 2025, « Évolution de l’emploi », https://www.insee.fr/fr/statistiques/8733039.</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Q31.  </w:t>
            </w:r>
            <w:r>
              <w:t>Calculez la part approximative des salariés fin 2025 à partir des deux effectifs.</w:t>
            </w:r>
          </w:p>
          <w:p>
            <w:pPr>
              <w:spacing w:after="180"/>
            </w:pPr>
            <w:r>
              <w:rPr>
                <w:b/>
                <w:color w:val="995133"/>
              </w:rPr>
              <w:t xml:space="preserve">Q32.  </w:t>
            </w:r>
            <w:r>
              <w:t>Comment concilier la domination du salariat et la hausse récente du nombre de non-salariés ?</w:t>
            </w:r>
          </w:p>
        </w:tc>
      </w:tr>
    </w:tbl>
    <w:p>
      <w:pPr>
        <w:spacing w:after="100"/>
      </w:pPr>
      <w:r>
        <w:rPr>
          <w:b/>
          <w:color w:val="232629"/>
          <w:sz w:val="28"/>
        </w:rPr>
        <w:t>2.2  ·  Comment mesurer la tertiarisation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Comment mesurer la tertiarisation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17</w:t>
            </w:r>
          </w:p>
        </w:tc>
        <w:tc>
          <w:tcPr>
            <w:tcW w:type="dxa" w:w="4933"/>
            <w:tcMar>
              <w:top w:w="70" w:type="dxa"/>
              <w:start w:w="100" w:type="dxa"/>
              <w:bottom w:w="70" w:type="dxa"/>
              <w:end w:w="40" w:type="dxa"/>
            </w:tcMar>
          </w:tcPr>
          <w:p>
            <w:r>
              <w:rPr>
                <w:b/>
                <w:color w:val="1F4E61"/>
                <w:sz w:val="21"/>
              </w:rPr>
              <w:t>Répartition sectorielle de l’emploi en 2024</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tbl>
            <w:tblPr>
              <w:tblStyle w:val="TableGrid"/>
              <w:tblW w:type="auto" w:w="0"/>
              <w:tblLayout w:type="fixed"/>
              <w:tblLook w:firstColumn="1" w:firstRow="1" w:lastColumn="0" w:lastRow="0" w:noHBand="0" w:noVBand="1" w:val="04A0"/>
            </w:tblPr>
            <w:tblGrid>
              <w:gridCol w:w="3160"/>
              <w:gridCol w:w="3160"/>
            </w:tblGrid>
            <w:tr>
              <w:tc>
                <w:tcPr>
                  <w:tcW w:type="dxa" w:w="3160"/>
                </w:tcPr>
                <w:p>
                  <w:r>
                    <w:rPr>
                      <w:b/>
                      <w:color w:val="1F4E61"/>
                      <w:sz w:val="17"/>
                    </w:rPr>
                    <w:t>Secteur 2024</w:t>
                  </w:r>
                </w:p>
              </w:tc>
              <w:tc>
                <w:tcPr>
                  <w:tcW w:type="dxa" w:w="3160"/>
                </w:tcPr>
                <w:p>
                  <w:r>
                    <w:rPr>
                      <w:b/>
                      <w:color w:val="1F4E61"/>
                      <w:sz w:val="17"/>
                    </w:rPr>
                    <w:t>Part des emplois</w:t>
                  </w:r>
                </w:p>
              </w:tc>
            </w:tr>
            <w:tr>
              <w:tc>
                <w:tcPr>
                  <w:tcW w:type="dxa" w:w="3160"/>
                </w:tcPr>
                <w:p>
                  <w:pPr>
                    <w:spacing w:after="20"/>
                  </w:pPr>
                  <w:r>
                    <w:rPr>
                      <w:sz w:val="17"/>
                    </w:rPr>
                    <w:t>Agriculture</w:t>
                  </w:r>
                </w:p>
              </w:tc>
              <w:tc>
                <w:tcPr>
                  <w:tcW w:type="dxa" w:w="3160"/>
                </w:tcPr>
                <w:p>
                  <w:pPr>
                    <w:spacing w:after="20"/>
                  </w:pPr>
                  <w:r>
                    <w:rPr>
                      <w:sz w:val="17"/>
                    </w:rPr>
                    <w:t>2,3 %</w:t>
                  </w:r>
                </w:p>
              </w:tc>
            </w:tr>
            <w:tr>
              <w:tc>
                <w:tcPr>
                  <w:tcW w:type="dxa" w:w="3160"/>
                </w:tcPr>
                <w:p>
                  <w:pPr>
                    <w:spacing w:after="20"/>
                  </w:pPr>
                  <w:r>
                    <w:rPr>
                      <w:sz w:val="17"/>
                    </w:rPr>
                    <w:t>Industrie</w:t>
                  </w:r>
                </w:p>
              </w:tc>
              <w:tc>
                <w:tcPr>
                  <w:tcW w:type="dxa" w:w="3160"/>
                </w:tcPr>
                <w:p>
                  <w:pPr>
                    <w:spacing w:after="20"/>
                  </w:pPr>
                  <w:r>
                    <w:rPr>
                      <w:sz w:val="17"/>
                    </w:rPr>
                    <w:t>12,6 %</w:t>
                  </w:r>
                </w:p>
              </w:tc>
            </w:tr>
          </w:tbl>
          <w:p/>
          <w:p>
            <w:pPr>
              <w:spacing w:after="0"/>
            </w:pPr>
          </w:p>
          <w:p>
            <w:pPr>
              <w:spacing w:after="100"/>
            </w:pPr>
            <w:r>
              <w:rPr>
                <w:b w:val="0"/>
                <w:i w:val="0"/>
              </w:rPr>
              <w:t>La répartition de l'emploi en France en 2024 donne 2,3 % des personnes en emploi dans l'agriculture, la sylviculture et la pêche, et 12,6 % dans l'industrie. La construction constitue un secteur distinct : il serait incorrect d'attribuer automatiquement aux services les 85,1 % restants. Ce cliché renseigne sur la structure sectorielle à une date, alors que le document 14 fournit une comparaison historique.</w:t>
            </w:r>
          </w:p>
          <w:p>
            <w:pPr>
              <w:spacing w:after="100"/>
            </w:pPr>
            <w:r>
              <w:rPr>
                <w:b w:val="0"/>
                <w:i w:val="0"/>
              </w:rPr>
              <w:t>Lire 12,6 % signifie que, sur cent personnes en emploi en 2024, environ treize travaillent dans l'industrie. Cela ne signifie ni que l'industrie a disparu, ni que sa production a diminué dans les mêmes proportions : emploi et production ne se confondent pas. Des gains de productivité peuvent réduire la part de l'emploi dans un secteur dont la production se maintient. Pour établir une tertiarisation, il faut comparer la part du tertiaire à plusieurs dates à champ et définition suffisamment comparables. Vous devez expliquer les changements constatés, puis distinguer leur ampleur de leurs causes possibles.</w:t>
            </w:r>
          </w:p>
          <w:p>
            <w:pPr>
              <w:spacing w:after="60"/>
            </w:pPr>
            <w:r>
              <w:rPr>
                <w:b w:val="0"/>
                <w:i/>
                <w:color w:val="63696B"/>
                <w:sz w:val="15"/>
              </w:rPr>
              <w:t>Source : Insee, Emploi, chômage, revenus du travail, édition 2025, Professions et secteurs d’activité, https://www.insee.fr/fr/statistiques/8376826</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Q33.  </w:t>
            </w:r>
            <w:r>
              <w:t>Quels secteurs sont couverts par les données du document 17 ?</w:t>
            </w:r>
          </w:p>
          <w:p>
            <w:pPr>
              <w:spacing w:after="180"/>
            </w:pPr>
            <w:r>
              <w:rPr>
                <w:b/>
                <w:color w:val="995133"/>
              </w:rPr>
              <w:t xml:space="preserve">Q34.  </w:t>
            </w:r>
            <w:r>
              <w:t>Quel indicateur mesure la tertiarisation et quel secteur reste hors des services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18</w:t>
            </w:r>
          </w:p>
        </w:tc>
        <w:tc>
          <w:tcPr>
            <w:tcW w:type="dxa" w:w="4933"/>
            <w:tcMar>
              <w:top w:w="70" w:type="dxa"/>
              <w:start w:w="100" w:type="dxa"/>
              <w:bottom w:w="70" w:type="dxa"/>
              <w:end w:w="40" w:type="dxa"/>
            </w:tcMar>
          </w:tcPr>
          <w:p>
            <w:r>
              <w:rPr>
                <w:b/>
                <w:color w:val="1F4E61"/>
                <w:sz w:val="21"/>
              </w:rPr>
              <w:t>Les emplois tertiaires en 2025</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p>
            <w:pPr>
              <w:spacing w:after="100"/>
            </w:pPr>
            <w:r>
              <w:rPr>
                <w:b w:val="0"/>
                <w:i w:val="0"/>
              </w:rPr>
              <w:t>Fin 2025, l’Insee dénombre 13,30 millions d’emplois salariés dans le tertiaire marchand. Le tertiaire non marchand représente 8,617 millions d’emplois salariés ; les secteurs du commerce, du transport et de l’hébergement-restauration ne se confondent pas avec l’industrie. Les salariés du tertiaire sont répartis entre des activités différentes et la part des femmes varie selon les secteurs : 26 % dans le transport, 67 % dans les services aux ménages et 69 % dans le tertiaire non marchand. Ces chiffres sont des effectifs salariés de fin d’année : ne les comparez pas directement avec une part de tous les emplois sans harmoniser le champ.</w:t>
            </w:r>
          </w:p>
          <w:p>
            <w:pPr>
              <w:spacing w:after="60"/>
            </w:pPr>
            <w:r>
              <w:rPr>
                <w:b w:val="0"/>
                <w:i/>
                <w:color w:val="63696B"/>
                <w:sz w:val="15"/>
              </w:rPr>
              <w:t>Source : Insee, Estimations d’emploi 2025, tableau « Évolution de l’emploi par statut et par secteur d’activité », https://www.insee.fr/fr/statistiques/8733039.</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Q35.  </w:t>
            </w:r>
            <w:r>
              <w:t>Distinguez tertiaire marchand et tertiaire non marchand à partir des effectifs.</w:t>
            </w:r>
          </w:p>
          <w:p>
            <w:pPr>
              <w:spacing w:after="180"/>
            </w:pPr>
            <w:r>
              <w:rPr>
                <w:b/>
                <w:color w:val="995133"/>
              </w:rPr>
              <w:t xml:space="preserve">Q36.  </w:t>
            </w:r>
            <w:r>
              <w:t>Pourquoi faut-il éviter de comparer directement ces effectifs salariés à une part de tous les emplois ?</w:t>
            </w:r>
          </w:p>
        </w:tc>
      </w:tr>
    </w:tbl>
    <w:tbl>
      <w:tblPr>
        <w:tblW w:type="auto" w:w="0"/>
        <w:tblLayout w:type="autofit"/>
        <w:tblLook w:firstColumn="1" w:firstRow="1" w:lastColumn="0" w:lastRow="0" w:noHBand="0" w:noVBand="1" w:val="04A0"/>
      </w:tblPr>
      <w:tblGrid>
        <w:gridCol w:w="5301"/>
        <w:gridCol w:w="4507"/>
      </w:tblGrid>
      <w:tr>
        <w:trPr>
          <w:cantSplit/>
        </w:trPr>
        <w:tc>
          <w:tcPr>
            <w:tcW w:type="dxa" w:w="9808"/>
            <w:gridSpan w:val="2"/>
            <w:shd w:fill="EDF5FF"/>
            <w:tcMar>
              <w:top w:w="65" w:type="dxa"/>
              <w:start w:w="100" w:type="dxa"/>
              <w:bottom w:w="65" w:type="dxa"/>
              <w:end w:w="100" w:type="dxa"/>
            </w:tcMar>
          </w:tcPr>
          <w:p>
            <w:pPr>
              <w:spacing w:after="80"/>
            </w:pPr>
            <w:r>
              <w:rPr>
                <w:b/>
                <w:i w:val="0"/>
                <w:color w:val="104982"/>
                <w:sz w:val="18"/>
              </w:rPr>
              <w:t xml:space="preserve">POUR TERMINER LA SÉANCE</w:t>
            </w:r>
          </w:p>
          <w:p>
            <w:pPr>
              <w:spacing w:after="40"/>
            </w:pPr>
            <w:r>
              <w:rPr>
                <w:b/>
                <w:i w:val="0"/>
                <w:color w:val="104982"/>
                <w:sz w:val="18"/>
              </w:rPr>
              <w:t xml:space="preserve">1 · DU CAS AU SAVOIR · 20 min (paragraphe A-E-I, type partie 1) : </w:t>
            </w:r>
            <w:r>
              <w:rPr>
                <w:b/>
                <w:i w:val="0"/>
                <w:sz w:val="18"/>
              </w:rPr>
              <w:t xml:space="preserve">Montrez que la salarisation et la tertiarisation ont transformé la structure socioprofessionnelle depuis les années 1960.</w:t>
            </w:r>
          </w:p>
          <w:p>
            <w:pPr>
              <w:spacing w:after="80"/>
            </w:pPr>
            <w:r>
              <w:rPr>
                <w:b/>
                <w:i w:val="0"/>
                <w:sz w:val="17"/>
              </w:rPr>
              <w:t xml:space="preserve">Notions : </w:t>
            </w:r>
            <w:r>
              <w:rPr>
                <w:b w:val="0"/>
                <w:i w:val="0"/>
                <w:sz w:val="17"/>
              </w:rPr>
              <w:t xml:space="preserve">salarisation · indépendants · structure socioprofessionnelle · tertiarisation · secteurs d’activité · tertiaire marchand et non marchand.</w:t>
            </w:r>
          </w:p>
          <w:p>
            <w:pPr>
              <w:spacing w:after="0"/>
            </w:pPr>
            <w:r>
              <w:rPr>
                <w:b/>
                <w:i w:val="0"/>
                <w:color w:val="104982"/>
                <w:sz w:val="18"/>
              </w:rPr>
              <w:t xml:space="preserve">2 · À LA MAISON · VALIDATION : </w:t>
            </w:r>
            <w:r>
              <w:rPr>
                <w:b w:val="0"/>
                <w:i w:val="0"/>
                <w:sz w:val="18"/>
              </w:rPr>
              <w:t xml:space="preserve">cherchez un métier qui peut être exercé comme salarié ou comme indépendant, et expliquez ce qui change pour la personne.</w:t>
            </w:r>
          </w:p>
        </w:tc>
      </w:tr>
    </w:tbl>
    <w:p>
      <w:pPr>
        <w:pageBreakBefore/>
        <w:spacing w:after="40"/>
      </w:pPr>
      <w:r>
        <w:rPr>
          <w:b/>
          <w:color w:val="1F4E61"/>
          <w:sz w:val="16"/>
        </w:rPr>
        <w:t xml:space="preserve">SÉANCE 5  ·  2 H    /    STRUCTURE SOCIALE</w:t>
      </w:r>
    </w:p>
    <w:p>
      <w:pPr>
        <w:spacing w:after="140"/>
      </w:pPr>
      <w:r>
        <w:rPr>
          <w:i/>
          <w:color w:val="63696B"/>
          <w:sz w:val="17"/>
        </w:rPr>
        <w:t xml:space="preserve">Déroulé : rappel (5 min) · 2.3 (≈ 45 min) · 2.4 (≈ 45 min) · pour terminer (≈ 25 min).</w:t>
      </w:r>
    </w:p>
    <w:p>
      <w:pPr>
        <w:spacing w:after="60"/>
      </w:pPr>
      <w:r>
        <w:rPr>
          <w:b/>
          <w:i w:val="0"/>
          <w:color w:val="1F4E61"/>
          <w:sz w:val="18"/>
        </w:rPr>
        <w:t>Rappel ou remédiation  ·  3 à 5 min</w:t>
      </w:r>
    </w:p>
    <w:p>
      <w:pPr>
        <w:spacing w:after="140"/>
      </w:pPr>
      <w:r>
        <w:rPr>
          <w:b w:val="0"/>
          <w:i w:val="0"/>
        </w:rPr>
        <w:t>Lecture flash : en 2024, 12,6 % des emplois sont industriels. Peut-on appeler « services » tous les autres emplois ? Donnez le secteur oublié.</w:t>
      </w:r>
    </w:p>
    <w:p>
      <w:pPr>
        <w:spacing w:after="100"/>
      </w:pPr>
      <w:r>
        <w:rPr>
          <w:b/>
          <w:color w:val="232629"/>
          <w:sz w:val="28"/>
        </w:rPr>
        <w:t>2.3  ·  L’élévation des diplômes est-elle la même chose que celle des qualifications des emplois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L’élévation des diplômes est-elle la même chose que celle des qualifications des emplois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19</w:t>
            </w:r>
          </w:p>
        </w:tc>
        <w:tc>
          <w:tcPr>
            <w:tcW w:type="dxa" w:w="4933"/>
            <w:tcMar>
              <w:top w:w="70" w:type="dxa"/>
              <w:start w:w="100" w:type="dxa"/>
              <w:bottom w:w="70" w:type="dxa"/>
              <w:end w:w="40" w:type="dxa"/>
            </w:tcMar>
          </w:tcPr>
          <w:p>
            <w:r>
              <w:rPr>
                <w:b/>
                <w:color w:val="1F4E61"/>
                <w:sz w:val="21"/>
              </w:rPr>
              <w:t>Formation des actifs et qualification des emplois</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p>
            <w:pPr>
              <w:spacing w:after="100"/>
            </w:pPr>
            <w:r>
              <w:rPr>
                <w:b w:val="0"/>
                <w:i w:val="0"/>
              </w:rPr>
              <w:t>Selon l’Insee, la part des personnes en emploi qui possèdent au moins le baccalauréat est passée de 8,5 % en 1962 à 51 % en 2007, en France métropolitaine. Parmi elles, la proportion diplômée de l’enseignement supérieur passe de 2,7 % à 32,5 %. Ces résultats concernent le niveau de formation des personnes et proviennent des recensements de la population ; la publication signale un changement dans la manière de relever les diplômes au fil de la série.</w:t>
            </w:r>
          </w:p>
          <w:p>
            <w:pPr>
              <w:spacing w:after="100"/>
            </w:pPr>
            <w:r>
              <w:rPr>
                <w:b w:val="0"/>
                <w:i w:val="0"/>
              </w:rPr>
              <w:t>Parallèlement, l’emploi s’est transformé : les professions qualifiées prennent plus de place. La qualification du travailleur (formation et compétences acquises) et celle du poste (compétences et responsabilités requises) ne sont cependant pas identiques. Une personne peut être diplômée et occuper un poste dont les tâches demandent une qualification moindre. Inversement, les emplois de services peu qualifiés n’ont pas disparu. Étudier deux indicateurs séparés permet d’éviter d’affirmer que davantage de diplômés signifie automatiquement une hausse équivalente de tous les emplois qualifiés.</w:t>
            </w:r>
          </w:p>
          <w:p>
            <w:pPr>
              <w:spacing w:after="60"/>
            </w:pPr>
            <w:r>
              <w:rPr>
                <w:b w:val="0"/>
                <w:i/>
                <w:color w:val="63696B"/>
                <w:sz w:val="15"/>
              </w:rPr>
              <w:t>Source : Olivier Marchand, « 50 ans de mutations de l’emploi », Insee Première n°1312, 2010, https://www.insee.fr/fr/statistiques/1283207.</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Q37.  </w:t>
            </w:r>
            <w:r>
              <w:t>Distinguez qualification des individus et qualification des emplois.</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20</w:t>
            </w:r>
          </w:p>
        </w:tc>
        <w:tc>
          <w:tcPr>
            <w:tcW w:type="dxa" w:w="4933"/>
            <w:tcMar>
              <w:top w:w="70" w:type="dxa"/>
              <w:start w:w="100" w:type="dxa"/>
              <w:bottom w:w="70" w:type="dxa"/>
              <w:end w:w="40" w:type="dxa"/>
            </w:tcMar>
          </w:tcPr>
          <w:p>
            <w:r>
              <w:rPr>
                <w:b/>
                <w:color w:val="1F4E61"/>
                <w:sz w:val="21"/>
              </w:rPr>
              <w:t>Professions en 2025</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tbl>
            <w:tblPr>
              <w:tblStyle w:val="TableGrid"/>
              <w:tblW w:type="auto" w:w="0"/>
              <w:tblLayout w:type="fixed"/>
              <w:tblLook w:firstColumn="1" w:firstRow="1" w:lastColumn="0" w:lastRow="0" w:noHBand="0" w:noVBand="1" w:val="04A0"/>
            </w:tblPr>
            <w:tblGrid>
              <w:gridCol w:w="3160"/>
              <w:gridCol w:w="3160"/>
            </w:tblGrid>
            <w:tr>
              <w:tc>
                <w:tcPr>
                  <w:tcW w:type="dxa" w:w="3160"/>
                </w:tcPr>
                <w:p>
                  <w:r>
                    <w:rPr>
                      <w:b/>
                      <w:color w:val="1F4E61"/>
                      <w:sz w:val="17"/>
                    </w:rPr>
                    <w:t>PCS en emploi en 2025</w:t>
                  </w:r>
                </w:p>
              </w:tc>
              <w:tc>
                <w:tcPr>
                  <w:tcW w:type="dxa" w:w="3160"/>
                </w:tcPr>
                <w:p>
                  <w:r>
                    <w:rPr>
                      <w:b/>
                      <w:color w:val="1F4E61"/>
                      <w:sz w:val="17"/>
                    </w:rPr>
                    <w:t>Part</w:t>
                  </w:r>
                </w:p>
              </w:tc>
            </w:tr>
            <w:tr>
              <w:tc>
                <w:tcPr>
                  <w:tcW w:type="dxa" w:w="3160"/>
                </w:tcPr>
                <w:p>
                  <w:pPr>
                    <w:spacing w:after="20"/>
                  </w:pPr>
                  <w:r>
                    <w:rPr>
                      <w:sz w:val="17"/>
                    </w:rPr>
                    <w:t>Cadres</w:t>
                  </w:r>
                </w:p>
              </w:tc>
              <w:tc>
                <w:tcPr>
                  <w:tcW w:type="dxa" w:w="3160"/>
                </w:tcPr>
                <w:p>
                  <w:pPr>
                    <w:spacing w:after="20"/>
                  </w:pPr>
                  <w:r>
                    <w:rPr>
                      <w:sz w:val="17"/>
                    </w:rPr>
                    <w:t>23,8 %</w:t>
                  </w:r>
                </w:p>
              </w:tc>
            </w:tr>
            <w:tr>
              <w:tc>
                <w:tcPr>
                  <w:tcW w:type="dxa" w:w="3160"/>
                </w:tcPr>
                <w:p>
                  <w:pPr>
                    <w:spacing w:after="20"/>
                  </w:pPr>
                  <w:r>
                    <w:rPr>
                      <w:sz w:val="17"/>
                    </w:rPr>
                    <w:t>Professions intermédiaires</w:t>
                  </w:r>
                </w:p>
              </w:tc>
              <w:tc>
                <w:tcPr>
                  <w:tcW w:type="dxa" w:w="3160"/>
                </w:tcPr>
                <w:p>
                  <w:pPr>
                    <w:spacing w:after="20"/>
                  </w:pPr>
                  <w:r>
                    <w:rPr>
                      <w:sz w:val="17"/>
                    </w:rPr>
                    <w:t>25,4 %</w:t>
                  </w:r>
                </w:p>
              </w:tc>
            </w:tr>
            <w:tr>
              <w:tc>
                <w:tcPr>
                  <w:tcW w:type="dxa" w:w="3160"/>
                </w:tcPr>
                <w:p>
                  <w:pPr>
                    <w:spacing w:after="20"/>
                  </w:pPr>
                  <w:r>
                    <w:rPr>
                      <w:sz w:val="17"/>
                    </w:rPr>
                    <w:t>Employés</w:t>
                  </w:r>
                </w:p>
              </w:tc>
              <w:tc>
                <w:tcPr>
                  <w:tcW w:type="dxa" w:w="3160"/>
                </w:tcPr>
                <w:p>
                  <w:pPr>
                    <w:spacing w:after="20"/>
                  </w:pPr>
                  <w:r>
                    <w:rPr>
                      <w:sz w:val="17"/>
                    </w:rPr>
                    <w:t>24,3 %</w:t>
                  </w:r>
                </w:p>
              </w:tc>
            </w:tr>
          </w:tbl>
          <w:p/>
          <w:p>
            <w:pPr>
              <w:spacing w:after="0"/>
            </w:pPr>
          </w:p>
          <w:p>
            <w:pPr>
              <w:spacing w:after="100"/>
            </w:pPr>
            <w:r>
              <w:rPr>
                <w:b w:val="0"/>
                <w:i w:val="0"/>
              </w:rPr>
              <w:t>Dans la répartition des personnes en emploi selon la PCS en 2025, l'Insee dénombre 23,8 % de cadres, 25,4 % de professions intermédiaires et 24,3 % d'employés. Les catégories restantes comprennent notamment ouvriers, agriculteurs et artisans, commerçants et chefs d'entreprise. Ces parts se rapportent à l'ensemble des personnes en emploi ; les employer pour décrire l'ensemble de la population, retraités et chômeurs compris, modifierait le champ.</w:t>
            </w:r>
          </w:p>
          <w:p>
            <w:pPr>
              <w:spacing w:after="100"/>
            </w:pPr>
            <w:r>
              <w:rPr>
                <w:b w:val="0"/>
                <w:i w:val="0"/>
              </w:rPr>
              <w:t>Le chiffre de 23,8 % n'est pas comparable sans précaution avec les 4,7 % de cadres en 1962 présentés dans le document 14. Les nomenclatures, les champs et les méthodes peuvent évoluer. On peut néanmoins étudier les tendances en s'appuyant sur des séries harmonisées et en datant chaque point. Décrire la hausse du niveau de qualification exige à la fois des données sur les diplômes et une réflexion sur les emplois effectivement occupés ; les deux dimensions ne progressent pas nécessairement au même rythme.</w:t>
            </w:r>
          </w:p>
          <w:p>
            <w:pPr>
              <w:spacing w:after="60"/>
            </w:pPr>
            <w:r>
              <w:rPr>
                <w:b w:val="0"/>
                <w:i/>
                <w:color w:val="63696B"/>
                <w:sz w:val="15"/>
              </w:rPr>
              <w:t>Source : Insee, Catégorie socioprofessionnelle selon le sexe et l’âge, données 2025, https://www.insee.fr/fr/statistiques/2489546</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Q38.  </w:t>
            </w:r>
            <w:r>
              <w:t>Comparez les repères de 1962, 2007 et 2025 en précisant les limites des indicateurs et des champs.</w:t>
            </w:r>
          </w:p>
          <w:p>
            <w:pPr>
              <w:spacing w:after="180"/>
            </w:pPr>
            <w:r>
              <w:rPr>
                <w:b/>
                <w:color w:val="995133"/>
              </w:rPr>
              <w:t xml:space="preserve">Q39.  </w:t>
            </w:r>
            <w:r>
              <w:t>Pourquoi la montée des cadres ne supprime-t-elle pas les emplois peu qualifiés ?</w:t>
            </w:r>
          </w:p>
          <w:p/>
        </w:tc>
      </w:tr>
    </w:tbl>
    <w:p>
      <w:pPr>
        <w:spacing w:after="100"/>
      </w:pPr>
      <w:r>
        <w:rPr>
          <w:b/>
          <w:color w:val="232629"/>
          <w:sz w:val="28"/>
        </w:rPr>
        <w:t>2.4  ·  Que signifie la féminisation des emplois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Que signifie la féminisation des emplois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21</w:t>
            </w:r>
          </w:p>
        </w:tc>
        <w:tc>
          <w:tcPr>
            <w:tcW w:type="dxa" w:w="4933"/>
            <w:tcMar>
              <w:top w:w="70" w:type="dxa"/>
              <w:start w:w="100" w:type="dxa"/>
              <w:bottom w:w="70" w:type="dxa"/>
              <w:end w:w="40" w:type="dxa"/>
            </w:tcMar>
          </w:tcPr>
          <w:p>
            <w:r>
              <w:rPr>
                <w:b/>
                <w:color w:val="1F4E61"/>
                <w:sz w:val="21"/>
              </w:rPr>
              <w:t>Responsabilités familiales et situation dans l’emploi</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p>
            <w:pPr>
              <w:spacing w:after="100"/>
            </w:pPr>
            <w:r>
              <w:rPr>
                <w:b w:val="0"/>
                <w:i w:val="0"/>
              </w:rPr>
              <w:t>Une enquête de l’Insee portant sur 2018 compare la situation professionnelle des personnes de 25 à 49 ans selon le sexe et les responsabilités familiales. Parmi les femmes ayant des responsabilités familiales, 76 % sont en emploi, contre 84 % des femmes sans telles responsabilités. Parmi les hommes, les parts correspondantes sont de 91 % et 82 %. Ces comparaisons décrivent des groupes distincts ; elles ne constituent pas une expérience permettant d’isoler à elles seules une cause.</w:t>
            </w:r>
          </w:p>
          <w:p>
            <w:pPr>
              <w:spacing w:after="100"/>
            </w:pPr>
            <w:r>
              <w:rPr>
                <w:b w:val="0"/>
                <w:i w:val="0"/>
              </w:rPr>
              <w:t>Parmi les personnes en emploi ayant des responsabilités familiales, 45 % des femmes déclarent que le fait d’être parent a des conséquences sur leur situation professionnelle. La réduction du temps de travail est évoquée plus fréquemment par les femmes que par les hommes. Les effets ne sont pas uniformes entre professions et niveaux de qualification. Ce document permet d’articuler sexe, famille, position professionnelle et inégalités, sans déduire que la hausse historique de l’emploi féminin aurait supprimé les contraintes liées à l’organisation familiale.</w:t>
            </w:r>
          </w:p>
          <w:p>
            <w:pPr>
              <w:spacing w:after="60"/>
            </w:pPr>
            <w:r>
              <w:rPr>
                <w:b w:val="0"/>
                <w:i/>
                <w:color w:val="63696B"/>
                <w:sz w:val="15"/>
              </w:rPr>
              <w:t>Source : Laïla Bentoudja et Tiaray Razafindranovona, « Être parent : des cadres aux ouvrières, plus de conséquences sur l’emploi des femmes », Insee Première n°1795, 2020, données 2018, https://www.insee.fr/fr/statistiques/4465360.</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Q40.  </w:t>
            </w:r>
            <w:r>
              <w:t>Comparez la situation d’emploi des femmes avec et sans responsabilités familiales dans l’enquête de 2018.</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22</w:t>
            </w:r>
          </w:p>
        </w:tc>
        <w:tc>
          <w:tcPr>
            <w:tcW w:type="dxa" w:w="4933"/>
            <w:tcMar>
              <w:top w:w="70" w:type="dxa"/>
              <w:start w:w="100" w:type="dxa"/>
              <w:bottom w:w="70" w:type="dxa"/>
              <w:end w:w="40" w:type="dxa"/>
            </w:tcMar>
          </w:tcPr>
          <w:p>
            <w:r>
              <w:rPr>
                <w:b/>
                <w:color w:val="1F4E61"/>
                <w:sz w:val="21"/>
              </w:rPr>
              <w:t>Activité des femmes et des hommes en 2024</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tbl>
            <w:tblPr>
              <w:tblStyle w:val="TableGrid"/>
              <w:tblW w:type="auto" w:w="0"/>
              <w:tblLayout w:type="fixed"/>
              <w:tblLook w:firstColumn="1" w:firstRow="1" w:lastColumn="0" w:lastRow="0" w:noHBand="0" w:noVBand="1" w:val="04A0"/>
            </w:tblPr>
            <w:tblGrid>
              <w:gridCol w:w="3160"/>
              <w:gridCol w:w="3160"/>
            </w:tblGrid>
            <w:tr>
              <w:tc>
                <w:tcPr>
                  <w:tcW w:type="dxa" w:w="3160"/>
                </w:tcPr>
                <w:p>
                  <w:r>
                    <w:rPr>
                      <w:b/>
                      <w:color w:val="1F4E61"/>
                      <w:sz w:val="17"/>
                    </w:rPr>
                    <w:t>Taux d’activité 2024</w:t>
                  </w:r>
                </w:p>
              </w:tc>
              <w:tc>
                <w:tcPr>
                  <w:tcW w:type="dxa" w:w="3160"/>
                </w:tcPr>
                <w:p>
                  <w:r>
                    <w:rPr>
                      <w:b/>
                      <w:color w:val="1F4E61"/>
                      <w:sz w:val="17"/>
                    </w:rPr>
                    <w:t>Part</w:t>
                  </w:r>
                </w:p>
              </w:tc>
            </w:tr>
            <w:tr>
              <w:tc>
                <w:tcPr>
                  <w:tcW w:type="dxa" w:w="3160"/>
                </w:tcPr>
                <w:p>
                  <w:pPr>
                    <w:spacing w:after="20"/>
                  </w:pPr>
                  <w:r>
                    <w:rPr>
                      <w:sz w:val="17"/>
                    </w:rPr>
                    <w:t>Femmes</w:t>
                  </w:r>
                </w:p>
              </w:tc>
              <w:tc>
                <w:tcPr>
                  <w:tcW w:type="dxa" w:w="3160"/>
                </w:tcPr>
                <w:p>
                  <w:pPr>
                    <w:spacing w:after="20"/>
                  </w:pPr>
                  <w:r>
                    <w:rPr>
                      <w:sz w:val="17"/>
                    </w:rPr>
                    <w:t>71,5 %</w:t>
                  </w:r>
                </w:p>
              </w:tc>
            </w:tr>
            <w:tr>
              <w:tc>
                <w:tcPr>
                  <w:tcW w:type="dxa" w:w="3160"/>
                </w:tcPr>
                <w:p>
                  <w:pPr>
                    <w:spacing w:after="20"/>
                  </w:pPr>
                  <w:r>
                    <w:rPr>
                      <w:sz w:val="17"/>
                    </w:rPr>
                    <w:t>Hommes</w:t>
                  </w:r>
                </w:p>
              </w:tc>
              <w:tc>
                <w:tcPr>
                  <w:tcW w:type="dxa" w:w="3160"/>
                </w:tcPr>
                <w:p>
                  <w:pPr>
                    <w:spacing w:after="20"/>
                  </w:pPr>
                  <w:r>
                    <w:rPr>
                      <w:sz w:val="17"/>
                    </w:rPr>
                    <w:t>77,5 %</w:t>
                  </w:r>
                </w:p>
              </w:tc>
            </w:tr>
          </w:tbl>
          <w:p/>
          <w:p>
            <w:pPr>
              <w:spacing w:after="0"/>
            </w:pPr>
          </w:p>
          <w:p>
            <w:pPr>
              <w:spacing w:after="100"/>
            </w:pPr>
            <w:r>
              <w:rPr>
                <w:b w:val="0"/>
                <w:i w:val="0"/>
              </w:rPr>
              <w:t>En France, en 2024, 71,5 % des femmes de 15 à 64 ans sont actives, contre 77,5 % des hommes selon l'enquête Emploi de l'Insee. Une personne active est en emploi ou au chômage et recherche un emploi : le taux d'activité n'est donc pas un taux d'emploi. Les deux chiffres donnent une comparaison entre femmes et hommes à une date, pas directement l'évolution de la place des femmes dans l'emploi depuis 1950. Pour établir la féminisation, il faut ajouter une série sur plusieurs décennies et, selon la question, la part des femmes parmi les personnes en emploi ou au sein d'une profession.</w:t>
            </w:r>
          </w:p>
          <w:p>
            <w:pPr>
              <w:spacing w:after="100"/>
            </w:pPr>
            <w:r>
              <w:rPr>
                <w:b w:val="0"/>
                <w:i w:val="0"/>
              </w:rPr>
              <w:t>La hausse historique de l'activité féminine peut être reliée à la tertiarisation, mais il est difficile d'affirmer que l'une constitue l'unique cause de l'autre. Les services ont offert des emplois tandis que la hausse de l'activité des femmes a participé à leur développement. Les chiffres actuels doivent donc être interprétés avec une définition rigoureuse de leur indicateur et replacés dans une perspective historique.</w:t>
            </w:r>
          </w:p>
          <w:p>
            <w:pPr>
              <w:spacing w:after="60"/>
            </w:pPr>
            <w:r>
              <w:rPr>
                <w:b w:val="0"/>
                <w:i/>
                <w:color w:val="63696B"/>
                <w:sz w:val="15"/>
              </w:rPr>
              <w:t>Source : Insee, Une photographie du marché du travail en 2024, https://www.insee.fr/fr/statistiques/8391807</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Q41.  </w:t>
            </w:r>
            <w:r>
              <w:t>Distinguez taux d’activité, taux d’emploi et part des femmes dans l’emploi.</w:t>
            </w:r>
          </w:p>
          <w:p>
            <w:pPr>
              <w:spacing w:after="180"/>
            </w:pPr>
            <w:r>
              <w:rPr>
                <w:b/>
                <w:color w:val="995133"/>
              </w:rPr>
              <w:t xml:space="preserve">Q42.  </w:t>
            </w:r>
            <w:r>
              <w:t>Comment féminisation et maintien des écarts de rémunération peuvent-ils coexister ?</w:t>
            </w:r>
          </w:p>
          <w:p/>
        </w:tc>
      </w:tr>
    </w:tbl>
    <w:tbl>
      <w:tblPr>
        <w:tblW w:type="auto" w:w="0"/>
        <w:tblLayout w:type="autofit"/>
        <w:tblLook w:firstColumn="1" w:firstRow="1" w:lastColumn="0" w:lastRow="0" w:noHBand="0" w:noVBand="1" w:val="04A0"/>
      </w:tblPr>
      <w:tblGrid>
        <w:gridCol w:w="5301"/>
        <w:gridCol w:w="4507"/>
      </w:tblGrid>
      <w:tr>
        <w:trPr>
          <w:cantSplit/>
        </w:trPr>
        <w:tc>
          <w:tcPr>
            <w:tcW w:type="dxa" w:w="9808"/>
            <w:gridSpan w:val="2"/>
            <w:shd w:fill="EDF5FF"/>
            <w:tcMar>
              <w:top w:w="65" w:type="dxa"/>
              <w:start w:w="100" w:type="dxa"/>
              <w:bottom w:w="65" w:type="dxa"/>
              <w:end w:w="100" w:type="dxa"/>
            </w:tcMar>
          </w:tcPr>
          <w:p>
            <w:pPr>
              <w:spacing w:after="80"/>
            </w:pPr>
            <w:r>
              <w:rPr>
                <w:b/>
                <w:i w:val="0"/>
                <w:color w:val="104982"/>
                <w:sz w:val="18"/>
              </w:rPr>
              <w:t xml:space="preserve">POUR TERMINER LA SÉANCE</w:t>
            </w:r>
          </w:p>
          <w:p>
            <w:pPr>
              <w:spacing w:after="40"/>
            </w:pPr>
            <w:r>
              <w:rPr>
                <w:b/>
                <w:i w:val="0"/>
                <w:color w:val="104982"/>
                <w:sz w:val="18"/>
              </w:rPr>
              <w:t xml:space="preserve">1 · DU CAS AU SAVOIR · 20 min (paragraphe A-E-I, type partie 1) : </w:t>
            </w:r>
            <w:r>
              <w:rPr>
                <w:b/>
                <w:i w:val="0"/>
                <w:sz w:val="18"/>
              </w:rPr>
              <w:t xml:space="preserve">Montrez que l’élévation du niveau de qualification et la féminisation des emplois ont transformé la structure socioprofessionnelle.</w:t>
            </w:r>
          </w:p>
          <w:p>
            <w:pPr>
              <w:spacing w:after="80"/>
            </w:pPr>
            <w:r>
              <w:rPr>
                <w:b/>
                <w:i w:val="0"/>
                <w:sz w:val="17"/>
              </w:rPr>
              <w:t xml:space="preserve">Notions : </w:t>
            </w:r>
            <w:r>
              <w:rPr>
                <w:b w:val="0"/>
                <w:i w:val="0"/>
                <w:sz w:val="17"/>
              </w:rPr>
              <w:t xml:space="preserve">diplôme · qualification de l’individu · qualification du poste · cadres · féminisation · taux d’activité · taux d’emploi.</w:t>
            </w:r>
          </w:p>
          <w:p>
            <w:pPr>
              <w:spacing w:after="0"/>
            </w:pPr>
            <w:r>
              <w:rPr>
                <w:b/>
                <w:i w:val="0"/>
                <w:color w:val="104982"/>
                <w:sz w:val="18"/>
              </w:rPr>
              <w:t xml:space="preserve">2 · À LA MAISON · VALIDATION : </w:t>
            </w:r>
            <w:r>
              <w:rPr>
                <w:b w:val="0"/>
                <w:i w:val="0"/>
                <w:sz w:val="18"/>
              </w:rPr>
              <w:t xml:space="preserve">paragraphe A-E-I sur les quatre évolutions de l’objectif 2, avec pour chacune une donnée datée du document 14.</w:t>
            </w:r>
          </w:p>
        </w:tc>
      </w:tr>
    </w:tbl>
    <w:p>
      <w:pPr>
        <w:pageBreakBefore/>
        <w:spacing w:after="40"/>
      </w:pPr>
      <w:r>
        <w:rPr>
          <w:b/>
          <w:color w:val="1F4E61"/>
          <w:sz w:val="16"/>
        </w:rPr>
        <w:t xml:space="preserve">SÉANCE 6  ·  2 H    /    STRUCTURE SOCIALE</w:t>
      </w:r>
    </w:p>
    <w:p>
      <w:pPr>
        <w:spacing w:after="140"/>
      </w:pPr>
      <w:r>
        <w:rPr>
          <w:i/>
          <w:color w:val="63696B"/>
          <w:sz w:val="17"/>
        </w:rPr>
        <w:t xml:space="preserve">Déroulé : rappel (5 min) · 3.1 (≈ 45 min) · 3.2 (≈ 45 min) · pour terminer (≈ 25 min).</w:t>
      </w:r>
    </w:p>
    <w:p>
      <w:pPr>
        <w:spacing w:after="60"/>
      </w:pPr>
      <w:r>
        <w:rPr>
          <w:b/>
          <w:i w:val="0"/>
          <w:color w:val="1F4E61"/>
          <w:sz w:val="18"/>
        </w:rPr>
        <w:t>Rappel ou remédiation  ·  3 à 5 min</w:t>
      </w:r>
    </w:p>
    <w:p>
      <w:pPr>
        <w:spacing w:after="140"/>
      </w:pPr>
      <w:r>
        <w:rPr>
          <w:b w:val="0"/>
          <w:i w:val="0"/>
        </w:rPr>
        <w:t>Vrai ou faux, à justifier : si l’emploi se féminise, l’écart de rémunération entre femmes et hommes disparaît nécessairement.</w:t>
      </w:r>
    </w:p>
    <w:p>
      <w:pPr>
        <w:spacing w:after="100"/>
      </w:pPr>
      <w:r>
        <w:rPr>
          <w:b/>
          <w:color w:val="232629"/>
          <w:sz w:val="28"/>
        </w:rPr>
        <w:t>3.1  ·  Comment Marx définit-il les classes sociales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Comment Marx définit-il les classes sociales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23</w:t>
            </w:r>
          </w:p>
        </w:tc>
        <w:tc>
          <w:tcPr>
            <w:tcW w:type="dxa" w:w="4933"/>
            <w:tcMar>
              <w:top w:w="70" w:type="dxa"/>
              <w:start w:w="100" w:type="dxa"/>
              <w:bottom w:w="70" w:type="dxa"/>
              <w:end w:w="40" w:type="dxa"/>
            </w:tcMar>
          </w:tcPr>
          <w:p>
            <w:r>
              <w:rPr>
                <w:b/>
                <w:color w:val="1F4E61"/>
                <w:sz w:val="21"/>
              </w:rPr>
              <w:t>Les classes sociales pour K. Marx, par Philippe Riutort</w:t>
            </w:r>
          </w:p>
        </w:tc>
      </w:tr>
    </w:tbl>
    <w:tbl>
      <w:tblPr>
        <w:tblW w:type="auto" w:w="0"/>
        <w:tblLayout w:type="fixed"/>
        <w:tblLook w:firstColumn="1" w:firstRow="1" w:lastColumn="0" w:lastRow="0" w:noHBand="0" w:noVBand="1" w:val="04A0"/>
      </w:tblPr>
      <w:tblGrid>
        <w:gridCol w:w="9866"/>
      </w:tblGrid>
      <w:tr>
        <w:tc>
          <w:tcPr>
            <w:tcW w:type="dxa" w:w="9866"/>
            <w:tcMar>
              <w:top w:w="60" w:type="dxa"/>
              <w:start w:w="100" w:type="dxa"/>
              <w:bottom w:w="50" w:type="dxa"/>
              <w:end w:w="100" w:type="dxa"/>
            </w:tcMar>
          </w:tcPr>
          <w:p>
            <w:r>
              <w:drawing>
                <wp:inline xmlns:a="http://schemas.openxmlformats.org/drawingml/2006/main" xmlns:pic="http://schemas.openxmlformats.org/drawingml/2006/picture">
                  <wp:extent cx="5400000" cy="5241997"/>
                  <wp:docPr id="4" name="Picture 4"/>
                  <wp:cNvGraphicFramePr>
                    <a:graphicFrameLocks noChangeAspect="1"/>
                  </wp:cNvGraphicFramePr>
                  <a:graphic>
                    <a:graphicData uri="http://schemas.openxmlformats.org/drawingml/2006/picture">
                      <pic:pic>
                        <pic:nvPicPr>
                          <pic:cNvPr id="0" name="riutort_marx_original.png"/>
                          <pic:cNvPicPr/>
                        </pic:nvPicPr>
                        <pic:blipFill>
                          <a:blip r:embed="rId12"/>
                          <a:stretch>
                            <a:fillRect/>
                          </a:stretch>
                        </pic:blipFill>
                        <pic:spPr>
                          <a:xfrm>
                            <a:off x="0" y="0"/>
                            <a:ext cx="5400000" cy="5241997"/>
                          </a:xfrm>
                          <a:prstGeom prst="rect"/>
                        </pic:spPr>
                      </pic:pic>
                    </a:graphicData>
                  </a:graphic>
                </wp:inline>
              </w:drawing>
            </w:r>
          </w:p>
          <w:p>
            <w:pPr>
              <w:spacing w:after="60"/>
            </w:pPr>
            <w:r>
              <w:rPr>
                <w:b w:val="0"/>
                <w:i/>
                <w:color w:val="63696B"/>
                <w:sz w:val="15"/>
              </w:rPr>
              <w:t>Philippe Riutort, Précis de sociologie, PUF, 5e éd., 2019.</w:t>
            </w:r>
          </w:p>
        </w:tc>
      </w:tr>
    </w:tbl>
    <w:tbl>
      <w:tblPr>
        <w:tblW w:type="auto" w:w="0"/>
        <w:tblLayout w:type="autofit"/>
        <w:tblLook w:firstColumn="1" w:firstRow="1" w:lastColumn="0" w:lastRow="0" w:noHBand="0" w:noVBand="1" w:val="04A0"/>
      </w:tblPr>
      <w:tblGrid>
        <w:gridCol w:w="9866"/>
      </w:tblGrid>
      <w:tr>
        <w:trPr/>
        <w:tc>
          <w:tcPr>
            <w:tcW w:type="dxa" w:w="9866"/>
            <w:shd w:fill="F7F5F0"/>
            <w:tcMar>
              <w:top w:w="60" w:type="dxa"/>
              <w:start w:w="90" w:type="dxa"/>
              <w:bottom w:w="60" w:type="dxa"/>
              <w:end w:w="90" w:type="dxa"/>
            </w:tcMar>
          </w:tcPr>
          <w:p>
            <w:r>
              <w:rPr>
                <w:b/>
                <w:color w:val="995133"/>
                <w:sz w:val="16"/>
              </w:rPr>
              <w:t xml:space="preserve">QUESTIONS  </w:t>
            </w:r>
          </w:p>
          <w:p>
            <w:pPr>
              <w:spacing w:after="60"/>
            </w:pPr>
            <w:r>
              <w:rPr>
                <w:b/>
                <w:color w:val="995133"/>
              </w:rPr>
              <w:t xml:space="preserve">Q43.  </w:t>
            </w:r>
            <w:r>
              <w:t>Selon Riutort, quelle place dans la production distingue les classes chez Marx ?</w:t>
            </w:r>
          </w:p>
          <w:p>
            <w:pPr>
              <w:spacing w:after="60"/>
            </w:pPr>
            <w:r>
              <w:rPr>
                <w:b/>
                <w:color w:val="995133"/>
              </w:rPr>
              <w:t xml:space="preserve">Q44.  </w:t>
            </w:r>
            <w:r>
              <w:t>Pourquoi l’auteur qualifie-t-il l’approche de Marx de « réaliste » ?</w:t>
            </w:r>
          </w:p>
          <w:p>
            <w:pPr>
              <w:spacing w:after="60"/>
            </w:pPr>
            <w:r>
              <w:rPr>
                <w:b/>
                <w:color w:val="995133"/>
              </w:rPr>
              <w:t xml:space="preserve">Q45.  </w:t>
            </w:r>
            <w:r>
              <w:t>Comment le texte explique-t-il l’aliénation des ouvriers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24</w:t>
            </w:r>
          </w:p>
        </w:tc>
        <w:tc>
          <w:tcPr>
            <w:tcW w:type="dxa" w:w="4933"/>
            <w:tcMar>
              <w:top w:w="70" w:type="dxa"/>
              <w:start w:w="100" w:type="dxa"/>
              <w:bottom w:w="70" w:type="dxa"/>
              <w:end w:w="40" w:type="dxa"/>
            </w:tcMar>
          </w:tcPr>
          <w:p>
            <w:r>
              <w:rPr>
                <w:b/>
                <w:color w:val="1F4E61"/>
                <w:sz w:val="21"/>
              </w:rPr>
              <w:t>L’exemple d’une entreprise fictive</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p>
            <w:pPr>
              <w:spacing w:after="100"/>
            </w:pPr>
            <w:r>
              <w:rPr>
                <w:b w:val="0"/>
                <w:i w:val="0"/>
              </w:rPr>
              <w:t>Dans une entreprise fictive de fabrication de meubles, les actionnaires possèdent les locaux et les machines. Une centaine de salariés assurent la conception, la production, la vente et la gestion. Lors d'une hausse du coût des matières premières, la direction annonce qu'elle reportera des augmentations de salaire pour financer un nouvel équipement. Certains salariés demandent des explications individuellement ; d'autres se réunissent, comparent leurs situations et proposent une revendication commune. Un syndicat organise ensuite une négociation avec la direction.</w:t>
            </w:r>
          </w:p>
          <w:p>
            <w:pPr>
              <w:spacing w:after="100"/>
            </w:pPr>
            <w:r>
              <w:rPr>
                <w:b w:val="0"/>
                <w:i w:val="0"/>
              </w:rPr>
              <w:t>L'exemple sépare plusieurs niveaux d'analyse : propriété des moyens de production, participation au travail, intérêts économiques et action collective. Tous les salariés ne reçoivent pas le même salaire et n'exercent pas le même métier ; ces écarts internes n'effacent pas nécessairement le rapport de production mis en avant par Marx. Inversement, être salarié n'implique pas automatiquement de partager une identité ou une stratégie collective. Ce cas est construit pour tester le passage éventuel d'une position objective à une mobilisation.</w:t>
            </w:r>
          </w:p>
          <w:p>
            <w:pPr>
              <w:spacing w:after="60"/>
            </w:pPr>
            <w:r>
              <w:rPr>
                <w:b w:val="0"/>
                <w:i/>
                <w:color w:val="63696B"/>
                <w:sz w:val="15"/>
              </w:rPr>
              <w:t>Source : Situation pédagogique construite pour le livret.</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Q46.  </w:t>
            </w:r>
            <w:r>
              <w:t>À quel moment l’exemple de l’entreprise illustre-t-il une classe en soi, puis une classe pour soi ?</w:t>
            </w:r>
          </w:p>
          <w:p/>
        </w:tc>
      </w:tr>
    </w:tbl>
    <w:p>
      <w:pPr>
        <w:spacing w:after="100"/>
      </w:pPr>
      <w:r>
        <w:rPr>
          <w:b/>
          <w:color w:val="232629"/>
          <w:sz w:val="28"/>
        </w:rPr>
        <w:t>3.2  ·  Pourquoi Weber distingue-t-il trois ordres de hiérarchie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Pourquoi Weber distingue-t-il trois ordres de hiérarchie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25</w:t>
            </w:r>
          </w:p>
        </w:tc>
        <w:tc>
          <w:tcPr>
            <w:tcW w:type="dxa" w:w="4933"/>
            <w:tcMar>
              <w:top w:w="70" w:type="dxa"/>
              <w:start w:w="100" w:type="dxa"/>
              <w:bottom w:w="70" w:type="dxa"/>
              <w:end w:w="40" w:type="dxa"/>
            </w:tcMar>
          </w:tcPr>
          <w:p>
            <w:r>
              <w:rPr>
                <w:b/>
                <w:color w:val="1F4E61"/>
                <w:sz w:val="21"/>
              </w:rPr>
              <w:t>Classes, groupes de statut et partis dans la lecture de Weber</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p>
            <w:pPr>
              <w:spacing w:after="100"/>
            </w:pPr>
            <w:r>
              <w:rPr>
                <w:b w:val="0"/>
                <w:i w:val="0"/>
              </w:rPr>
              <w:t>Pierre Merle revient sur trois formes de stratification étudiées par Max Weber. La « situation de classe » dépend notamment des chances économiques de se procurer des biens et des revenus. Les groupes de statut reposent sur la reconnaissance sociale, le prestige et des modes de vie considérés comme distinctifs. Les partis renvoient à la capacité d’organiser l’accès au pouvoir et d’influencer une décision. Weber distingue en outre des classes de possession et des classes de production : la propriété n’est donc pas la seule dimension de la position économique.</w:t>
            </w:r>
          </w:p>
          <w:p>
            <w:pPr>
              <w:spacing w:after="100"/>
            </w:pPr>
            <w:r>
              <w:rPr>
                <w:b w:val="0"/>
                <w:i w:val="0"/>
              </w:rPr>
              <w:t>Les trois ordres peuvent se renforcer sans se superposer entièrement. Une personne peut bénéficier d’une forte reconnaissance sans posséder un grand patrimoine ; une autre peut être riche sans disposer d’un pouvoir politique personnel. Pour exploiter le document, il faut toujours préciser si l’on parle de richesse, de prestige ou de pouvoir. La différence avec Marx tient à cette pluralité des dimensions et à la place que chacun accorde au conflit et à l’organisation collective.</w:t>
            </w:r>
          </w:p>
          <w:p>
            <w:pPr>
              <w:spacing w:after="60"/>
            </w:pPr>
            <w:r>
              <w:rPr>
                <w:b w:val="0"/>
                <w:i/>
                <w:color w:val="63696B"/>
                <w:sz w:val="15"/>
              </w:rPr>
              <w:t>Source de l’étude mobilisée : Pierre Merle, « En haut, en bas. Les stratifications sociales selon Weber », La Vie des idées, 22 novembre 2016, https://laviedesidees.fr/En-haut-en-bas ; présentation pédagogique du livret.</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Q47.  </w:t>
            </w:r>
            <w:r>
              <w:t>Présentez classe, groupe de statut et parti dans l’analyse de Weber.</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26</w:t>
            </w:r>
          </w:p>
        </w:tc>
        <w:tc>
          <w:tcPr>
            <w:tcW w:type="dxa" w:w="4933"/>
            <w:tcMar>
              <w:top w:w="70" w:type="dxa"/>
              <w:start w:w="100" w:type="dxa"/>
              <w:bottom w:w="70" w:type="dxa"/>
              <w:end w:w="40" w:type="dxa"/>
            </w:tcMar>
          </w:tcPr>
          <w:p>
            <w:r>
              <w:rPr>
                <w:b/>
                <w:color w:val="1F4E61"/>
                <w:sz w:val="21"/>
              </w:rPr>
              <w:t>Trois profils fictifs</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p>
            <w:pPr>
              <w:spacing w:after="100"/>
            </w:pPr>
            <w:r>
              <w:rPr>
                <w:b w:val="0"/>
                <w:i w:val="0"/>
              </w:rPr>
              <w:t>Trois situations fictives permettent de distinguer les ordres de Weber. Première situation : une vedette connue dans tout le pays jouit d'une forte reconnaissance publique ; ses revenus sont irréguliers et elle ne détient aucun mandat. Deuxième situation : un élu local décide de l'attribution de certains équipements avec le conseil municipal ; il reçoit un revenu modeste et sa notoriété reste limitée à la commune. Troisième situation : une personne possède plusieurs biens immobiliers, perçoit des loyers élevés et demeure inconnue du grand public.</w:t>
            </w:r>
          </w:p>
          <w:p>
            <w:pPr>
              <w:spacing w:after="100"/>
            </w:pPr>
            <w:r>
              <w:rPr>
                <w:b w:val="0"/>
                <w:i w:val="0"/>
              </w:rPr>
              <w:t>Dans chaque cas, on peut décrire les ressources économiques, la reconnaissance sociale et la capacité d'agir sur des décisions politiques. Aucune situation ne correspond purement à un seul ordre : la vedette peut tirer des revenus de son prestige ; l'élu peut gagner en reconnaissance ; le propriétaire peut financer une campagne. L'exercice demande de distinguer analytiquement les trois dimensions, puis d'observer leurs liens possibles. Ces profils n'illustrent pas des personnes réelles.</w:t>
            </w:r>
          </w:p>
          <w:p>
            <w:pPr>
              <w:spacing w:after="60"/>
            </w:pPr>
            <w:r>
              <w:rPr>
                <w:b w:val="0"/>
                <w:i/>
                <w:color w:val="63696B"/>
                <w:sz w:val="15"/>
              </w:rPr>
              <w:t>Source : Situations pédagogiques construites pour le livret.</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Q48.  </w:t>
            </w:r>
            <w:r>
              <w:t>Pour chaque profil, séparez ressources économiques, prestige et pouvoir.</w:t>
            </w:r>
          </w:p>
          <w:p>
            <w:pPr>
              <w:spacing w:after="180"/>
            </w:pPr>
            <w:r>
              <w:rPr>
                <w:b/>
                <w:color w:val="995133"/>
              </w:rPr>
              <w:t xml:space="preserve">Q49.  </w:t>
            </w:r>
            <w:r>
              <w:t>Construisez une différence argumentée entre les analyses de Marx et Weber.</w:t>
            </w:r>
          </w:p>
        </w:tc>
      </w:tr>
    </w:tbl>
    <w:tbl>
      <w:tblPr>
        <w:tblW w:type="auto" w:w="0"/>
        <w:tblLayout w:type="autofit"/>
        <w:tblLook w:firstColumn="1" w:firstRow="1" w:lastColumn="0" w:lastRow="0" w:noHBand="0" w:noVBand="1" w:val="04A0"/>
      </w:tblPr>
      <w:tblGrid>
        <w:gridCol w:w="5301"/>
        <w:gridCol w:w="4507"/>
      </w:tblGrid>
      <w:tr>
        <w:trPr>
          <w:cantSplit/>
        </w:trPr>
        <w:tc>
          <w:tcPr>
            <w:tcW w:type="dxa" w:w="9808"/>
            <w:gridSpan w:val="2"/>
            <w:shd w:fill="EDF5FF"/>
            <w:tcMar>
              <w:top w:w="65" w:type="dxa"/>
              <w:start w:w="100" w:type="dxa"/>
              <w:bottom w:w="65" w:type="dxa"/>
              <w:end w:w="100" w:type="dxa"/>
            </w:tcMar>
          </w:tcPr>
          <w:p>
            <w:pPr>
              <w:spacing w:after="80"/>
            </w:pPr>
            <w:r>
              <w:rPr>
                <w:b/>
                <w:i w:val="0"/>
                <w:color w:val="104982"/>
                <w:sz w:val="18"/>
              </w:rPr>
              <w:t xml:space="preserve">POUR TERMINER LA SÉANCE</w:t>
            </w:r>
          </w:p>
          <w:p>
            <w:pPr>
              <w:spacing w:after="40"/>
            </w:pPr>
            <w:r>
              <w:rPr>
                <w:b/>
                <w:i w:val="0"/>
                <w:color w:val="104982"/>
                <w:sz w:val="18"/>
              </w:rPr>
              <w:t xml:space="preserve">1 · DU CAS AU SAVOIR · 20 min (paragraphe A-E-I, type partie 1) : </w:t>
            </w:r>
            <w:r>
              <w:rPr>
                <w:b/>
                <w:i w:val="0"/>
                <w:sz w:val="18"/>
              </w:rPr>
              <w:t xml:space="preserve">Présentez et comparez les conceptions des classes sociales de Karl Marx et de Max Weber.</w:t>
            </w:r>
          </w:p>
          <w:p>
            <w:pPr>
              <w:spacing w:after="80"/>
            </w:pPr>
            <w:r>
              <w:rPr>
                <w:b/>
                <w:i w:val="0"/>
                <w:sz w:val="17"/>
              </w:rPr>
              <w:t xml:space="preserve">Notions : </w:t>
            </w:r>
            <w:r>
              <w:rPr>
                <w:b w:val="0"/>
                <w:i w:val="0"/>
                <w:sz w:val="17"/>
              </w:rPr>
              <w:t xml:space="preserve">rapports de production · classe en soi · classe pour soi · conscience de classe · classe · groupe de statut · parti.</w:t>
            </w:r>
          </w:p>
          <w:p>
            <w:pPr>
              <w:spacing w:after="0"/>
            </w:pPr>
            <w:r>
              <w:rPr>
                <w:b/>
                <w:i w:val="0"/>
                <w:color w:val="104982"/>
                <w:sz w:val="18"/>
              </w:rPr>
              <w:t xml:space="preserve">2 · À LA MAISON · VALIDATION : </w:t>
            </w:r>
            <w:r>
              <w:rPr>
                <w:b w:val="0"/>
                <w:i w:val="0"/>
                <w:sz w:val="18"/>
              </w:rPr>
              <w:t xml:space="preserve">définissez rapports de production, classe en soi et classe pour soi, puis construisez le schéma « classe en soi → conscience → classe pour soi ».</w:t>
            </w:r>
          </w:p>
        </w:tc>
      </w:tr>
    </w:tbl>
    <w:p>
      <w:pPr>
        <w:pageBreakBefore/>
        <w:spacing w:after="40"/>
      </w:pPr>
      <w:r>
        <w:rPr>
          <w:b/>
          <w:color w:val="1F4E61"/>
          <w:sz w:val="16"/>
        </w:rPr>
        <w:t xml:space="preserve">SÉANCE 7  ·  2 H    /    STRUCTURE SOCIALE</w:t>
      </w:r>
    </w:p>
    <w:p>
      <w:pPr>
        <w:spacing w:after="140"/>
      </w:pPr>
      <w:r>
        <w:rPr>
          <w:i/>
          <w:color w:val="63696B"/>
          <w:sz w:val="17"/>
        </w:rPr>
        <w:t xml:space="preserve">Déroulé : rappel (5 min) · 3.3 (≈ 45 min) · 3.4 (≈ 45 min) · pour terminer (≈ 25 min).</w:t>
      </w:r>
    </w:p>
    <w:p>
      <w:pPr>
        <w:spacing w:after="60"/>
      </w:pPr>
      <w:r>
        <w:rPr>
          <w:b/>
          <w:i w:val="0"/>
          <w:color w:val="1F4E61"/>
          <w:sz w:val="18"/>
        </w:rPr>
        <w:t>Rappel ou remédiation  ·  3 à 5 min</w:t>
      </w:r>
    </w:p>
    <w:p>
      <w:pPr>
        <w:spacing w:after="140"/>
      </w:pPr>
      <w:r>
        <w:rPr>
          <w:b w:val="0"/>
          <w:i w:val="0"/>
        </w:rPr>
        <w:t>Classez trois ressources sans relire le cours : un patrimoine, un mandat électif, une forte reconnaissance sociale. Nommez les trois ordres de Weber.</w:t>
      </w:r>
    </w:p>
    <w:p>
      <w:pPr>
        <w:spacing w:after="100"/>
      </w:pPr>
      <w:r>
        <w:rPr>
          <w:b/>
          <w:color w:val="232629"/>
          <w:sz w:val="28"/>
        </w:rPr>
        <w:t xml:space="preserve">3.3  ·  Les distances entre les classes et à l’intérieur des classes se sont-elles réduites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 xml:space="preserve">QUESTION AU TABLEAU     Les distances entre les classes et à l’intérieur des classes se sont-elles réduites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27</w:t>
            </w:r>
          </w:p>
        </w:tc>
        <w:tc>
          <w:tcPr>
            <w:tcW w:type="dxa" w:w="4933"/>
            <w:tcMar>
              <w:top w:w="70" w:type="dxa"/>
              <w:start w:w="100" w:type="dxa"/>
              <w:bottom w:w="70" w:type="dxa"/>
              <w:end w:w="40" w:type="dxa"/>
            </w:tcMar>
          </w:tcPr>
          <w:p>
            <w:r>
              <w:rPr>
                <w:b/>
                <w:color w:val="1F4E61"/>
                <w:sz w:val="21"/>
              </w:rPr>
              <w:t xml:space="preserve">Écarts de salaire entre catégories socioprofessionnelles en 2024</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tbl>
            <w:tblPr>
              <w:tblStyle w:val="TableGrid"/>
              <w:tblW w:type="dxa" w:w="5300"/>
            </w:tblPr>
            <w:tblGrid>
              <w:gridCol w:w="3700"/>
              <w:gridCol w:w="1600"/>
            </w:tblGrid>
            <w:tr>
              <w:tc>
                <w:tcPr>
                  <w:tcW w:type="dxa" w:w="3700"/>
                  <w:shd w:val="clear" w:fill="EAF0F1"/>
                </w:tcPr>
                <w:p>
                  <w:pPr>
                    <w:spacing w:after="0"/>
                  </w:pPr>
                  <w:r>
                    <w:rPr>
                      <w:b/>
                      <w:i w:val="0"/>
                      <w:sz w:val="17"/>
                    </w:rPr>
                    <w:t xml:space="preserve">Salaire net mensuel moyen EQTP, 2024</w:t>
                  </w:r>
                </w:p>
              </w:tc>
              <w:tc>
                <w:tcPr>
                  <w:tcW w:type="dxa" w:w="1600"/>
                  <w:shd w:val="clear" w:fill="EAF0F1"/>
                </w:tcPr>
                <w:p>
                  <w:pPr>
                    <w:spacing w:after="0"/>
                    <w:jc w:val="center"/>
                  </w:pPr>
                  <w:r>
                    <w:rPr>
                      <w:b/>
                      <w:i w:val="0"/>
                      <w:sz w:val="17"/>
                    </w:rPr>
                    <w:t xml:space="preserve">Montant</w:t>
                  </w:r>
                </w:p>
              </w:tc>
            </w:tr>
            <w:tr>
              <w:tc>
                <w:tcPr>
                  <w:tcW w:type="dxa" w:w="3700"/>
                </w:tcPr>
                <w:p>
                  <w:pPr>
                    <w:spacing w:after="0"/>
                  </w:pPr>
                  <w:r>
                    <w:rPr>
                      <w:b w:val="0"/>
                      <w:i w:val="0"/>
                      <w:sz w:val="17"/>
                    </w:rPr>
                    <w:t xml:space="preserve">Cadres</w:t>
                  </w:r>
                </w:p>
              </w:tc>
              <w:tc>
                <w:tcPr>
                  <w:tcW w:type="dxa" w:w="1600"/>
                </w:tcPr>
                <w:p>
                  <w:pPr>
                    <w:spacing w:after="0"/>
                    <w:jc w:val="center"/>
                  </w:pPr>
                  <w:r>
                    <w:rPr>
                      <w:b w:val="0"/>
                      <w:i w:val="0"/>
                      <w:sz w:val="17"/>
                    </w:rPr>
                    <w:t xml:space="preserve">4 629 €</w:t>
                  </w:r>
                </w:p>
              </w:tc>
            </w:tr>
            <w:tr>
              <w:tc>
                <w:tcPr>
                  <w:tcW w:type="dxa" w:w="3700"/>
                </w:tcPr>
                <w:p>
                  <w:pPr>
                    <w:spacing w:after="0"/>
                  </w:pPr>
                  <w:r>
                    <w:rPr>
                      <w:b w:val="0"/>
                      <w:i w:val="0"/>
                      <w:sz w:val="17"/>
                    </w:rPr>
                    <w:t xml:space="preserve">Professions intermédiaires</w:t>
                  </w:r>
                </w:p>
              </w:tc>
              <w:tc>
                <w:tcPr>
                  <w:tcW w:type="dxa" w:w="1600"/>
                </w:tcPr>
                <w:p>
                  <w:pPr>
                    <w:spacing w:after="0"/>
                    <w:jc w:val="center"/>
                  </w:pPr>
                  <w:r>
                    <w:rPr>
                      <w:b w:val="0"/>
                      <w:i w:val="0"/>
                      <w:sz w:val="17"/>
                    </w:rPr>
                    <w:t xml:space="preserve">2 633 €</w:t>
                  </w:r>
                </w:p>
              </w:tc>
            </w:tr>
            <w:tr>
              <w:tc>
                <w:tcPr>
                  <w:tcW w:type="dxa" w:w="3700"/>
                </w:tcPr>
                <w:p>
                  <w:pPr>
                    <w:spacing w:after="0"/>
                  </w:pPr>
                  <w:r>
                    <w:rPr>
                      <w:b w:val="0"/>
                      <w:i w:val="0"/>
                      <w:sz w:val="17"/>
                    </w:rPr>
                    <w:t xml:space="preserve">Ouvriers</w:t>
                  </w:r>
                </w:p>
              </w:tc>
              <w:tc>
                <w:tcPr>
                  <w:tcW w:type="dxa" w:w="1600"/>
                </w:tcPr>
                <w:p>
                  <w:pPr>
                    <w:spacing w:after="0"/>
                    <w:jc w:val="center"/>
                  </w:pPr>
                  <w:r>
                    <w:rPr>
                      <w:b w:val="0"/>
                      <w:i w:val="0"/>
                      <w:sz w:val="17"/>
                    </w:rPr>
                    <w:t xml:space="preserve">2 051 €</w:t>
                  </w:r>
                </w:p>
              </w:tc>
            </w:tr>
            <w:tr>
              <w:tc>
                <w:tcPr>
                  <w:tcW w:type="dxa" w:w="3700"/>
                </w:tcPr>
                <w:p>
                  <w:pPr>
                    <w:spacing w:after="0"/>
                  </w:pPr>
                  <w:r>
                    <w:rPr>
                      <w:b w:val="0"/>
                      <w:i w:val="0"/>
                      <w:sz w:val="17"/>
                    </w:rPr>
                    <w:t xml:space="preserve">Employés</w:t>
                  </w:r>
                </w:p>
              </w:tc>
              <w:tc>
                <w:tcPr>
                  <w:tcW w:type="dxa" w:w="1600"/>
                </w:tcPr>
                <w:p>
                  <w:pPr>
                    <w:spacing w:after="0"/>
                    <w:jc w:val="center"/>
                  </w:pPr>
                  <w:r>
                    <w:rPr>
                      <w:b w:val="0"/>
                      <w:i w:val="0"/>
                      <w:sz w:val="17"/>
                    </w:rPr>
                    <w:t xml:space="preserve">1 941 €</w:t>
                  </w:r>
                </w:p>
              </w:tc>
            </w:tr>
            <w:tr>
              <w:tc>
                <w:tcPr>
                  <w:tcW w:type="dxa" w:w="3700"/>
                </w:tcPr>
                <w:p>
                  <w:pPr>
                    <w:spacing w:after="0"/>
                  </w:pPr>
                  <w:r>
                    <w:rPr>
                      <w:b w:val="0"/>
                      <w:i w:val="0"/>
                      <w:sz w:val="17"/>
                    </w:rPr>
                    <w:t xml:space="preserve">Ensemble</w:t>
                  </w:r>
                </w:p>
              </w:tc>
              <w:tc>
                <w:tcPr>
                  <w:tcW w:type="dxa" w:w="1600"/>
                </w:tcPr>
                <w:p>
                  <w:pPr>
                    <w:spacing w:after="0"/>
                    <w:jc w:val="center"/>
                  </w:pPr>
                  <w:r>
                    <w:rPr>
                      <w:b w:val="0"/>
                      <w:i w:val="0"/>
                      <w:sz w:val="17"/>
                    </w:rPr>
                    <w:t xml:space="preserve">2 733 €</w:t>
                  </w:r>
                </w:p>
              </w:tc>
            </w:tr>
          </w:tbl>
          <w:p>
            <w:pPr>
              <w:spacing w:after="60"/>
            </w:pPr>
          </w:p>
          <w:p>
            <w:pPr>
              <w:spacing w:after="100"/>
            </w:pPr>
            <w:r>
              <w:rPr>
                <w:b w:val="0"/>
                <w:i w:val="0"/>
              </w:rPr>
              <w:t xml:space="preserve">En 2024, dans le secteur privé, un salarié gagne en moyenne 2 733 € net par mois en équivalent temps plein (EQTP). Les moyennes varient selon la catégorie socioprofessionnelle : 4 629 € pour les cadres, 2 633 € pour les professions intermédiaires, 2 051 € pour les ouvriers et 1 941 € pour les employés.</w:t>
            </w:r>
          </w:p>
          <w:p>
            <w:pPr>
              <w:spacing w:after="100"/>
            </w:pPr>
            <w:r>
              <w:rPr>
                <w:b w:val="0"/>
                <w:i w:val="0"/>
              </w:rPr>
              <w:t xml:space="preserve">Sur l’ensemble des salariés, 10 % gagnent moins de 1 492 € (D1) et 10 % plus de 4 334 € (D9) ; le 1 % le mieux rémunéré perçoit plus de 10 261 € par mois. L’écart de salaire moyen entre femmes et hommes est de 13 %. Champ : France, salariés du privé (y compris alternants, stagiaires et contrats aidés), hors salariés agricoles et des particuliers employeurs.</w:t>
            </w:r>
          </w:p>
          <w:p>
            <w:pPr>
              <w:spacing w:after="60"/>
            </w:pPr>
            <w:r>
              <w:rPr>
                <w:b w:val="0"/>
                <w:i/>
                <w:color w:val="63696B"/>
                <w:sz w:val="15"/>
              </w:rPr>
              <w:t xml:space="preserve">Sources : Insee, base Tous salariés 2024 ; T. Duquesne et N. P. Sokhna, « Les salaires dans le secteur privé en 2024 », Insee Première n°2079, octobre 2025, https://www.insee.fr/fr/statistiques/8657156 ; Insee, « Salaire net mensuel moyen en EQTP par sexe et PCS dans le secteur privé en 2024 », https://www.insee.fr/fr/statistiques/2012733</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Q50.  </w:t>
            </w:r>
            <w:r>
              <w:t>Calculez le rapport entre le salaire moyen des cadres et celui des employés, puis rédigez une phrase de lecture.</w:t>
            </w:r>
          </w:p>
          <w:p>
            <w:pPr>
              <w:spacing w:after="180"/>
            </w:pPr>
            <w:r>
              <w:rPr>
                <w:b/>
                <w:color w:val="995133"/>
              </w:rPr>
              <w:t xml:space="preserve">Q51.  </w:t>
            </w:r>
            <w:r>
              <w:t>Les ouvriers gagnent en moyenne un peu plus que les employés : peut-on parler de distance entre classes pour ces deux groupes ?</w:t>
            </w:r>
          </w:p>
          <w:p>
            <w:pPr>
              <w:spacing w:after="180"/>
            </w:pPr>
            <w:r>
              <w:rPr>
                <w:b/>
                <w:color w:val="995133"/>
              </w:rPr>
              <w:t xml:space="preserve">Q52.  </w:t>
            </w:r>
            <w:r>
              <w:t>Pourquoi une moyenne par PCS ne suffit-elle pas à mesurer les distances à l’intérieur d’une classe ? Appuyez-vous aussi sur le document 6.</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28</w:t>
            </w:r>
          </w:p>
        </w:tc>
        <w:tc>
          <w:tcPr>
            <w:tcW w:type="dxa" w:w="4933"/>
            <w:tcMar>
              <w:top w:w="70" w:type="dxa"/>
              <w:start w:w="100" w:type="dxa"/>
              <w:bottom w:w="70" w:type="dxa"/>
              <w:end w:w="40" w:type="dxa"/>
            </w:tcMar>
          </w:tcPr>
          <w:p>
            <w:r>
              <w:rPr>
                <w:b/>
                <w:color w:val="1F4E61"/>
                <w:sz w:val="21"/>
              </w:rPr>
              <w:t>Les arguments de la disparition des classes selon Louis Chauvel</w:t>
            </w:r>
          </w:p>
        </w:tc>
      </w:tr>
    </w:tbl>
    <w:tbl>
      <w:tblPr>
        <w:tblW w:type="auto" w:w="0"/>
        <w:tblLayout w:type="fixed"/>
        <w:tblLook w:firstColumn="1" w:firstRow="1" w:lastColumn="0" w:lastRow="0" w:noHBand="0" w:noVBand="1" w:val="04A0"/>
      </w:tblPr>
      <w:tblGrid>
        <w:gridCol w:w="9866"/>
      </w:tblGrid>
      <w:tr>
        <w:tc>
          <w:tcPr>
            <w:tcW w:type="dxa" w:w="9866"/>
            <w:tcMar>
              <w:top w:w="60" w:type="dxa"/>
              <w:start w:w="100" w:type="dxa"/>
              <w:bottom w:w="50" w:type="dxa"/>
              <w:end w:w="100" w:type="dxa"/>
            </w:tcMar>
          </w:tcPr>
          <w:p>
            <w:r>
              <w:drawing>
                <wp:inline xmlns:a="http://schemas.openxmlformats.org/drawingml/2006/main" xmlns:pic="http://schemas.openxmlformats.org/drawingml/2006/picture">
                  <wp:extent cx="5400000" cy="4194714"/>
                  <wp:docPr id="5" name="Picture 5"/>
                  <wp:cNvGraphicFramePr>
                    <a:graphicFrameLocks noChangeAspect="1"/>
                  </wp:cNvGraphicFramePr>
                  <a:graphic>
                    <a:graphicData uri="http://schemas.openxmlformats.org/drawingml/2006/picture">
                      <pic:pic>
                        <pic:nvPicPr>
                          <pic:cNvPr id="0" name="chauvel_original.png"/>
                          <pic:cNvPicPr/>
                        </pic:nvPicPr>
                        <pic:blipFill>
                          <a:blip r:embed="rId13"/>
                          <a:stretch>
                            <a:fillRect/>
                          </a:stretch>
                        </pic:blipFill>
                        <pic:spPr>
                          <a:xfrm>
                            <a:off x="0" y="0"/>
                            <a:ext cx="5400000" cy="4194714"/>
                          </a:xfrm>
                          <a:prstGeom prst="rect"/>
                        </pic:spPr>
                      </pic:pic>
                    </a:graphicData>
                  </a:graphic>
                </wp:inline>
              </w:drawing>
            </w:r>
          </w:p>
          <w:p>
            <w:pPr>
              <w:spacing w:after="60"/>
            </w:pPr>
            <w:r>
              <w:rPr>
                <w:b w:val="0"/>
                <w:i/>
                <w:color w:val="63696B"/>
                <w:sz w:val="15"/>
              </w:rPr>
              <w:t>Louis Chauvel, « La dynamique de la stratification sociale », Les mutations de la société française, La Découverte, 2019.</w:t>
            </w:r>
          </w:p>
        </w:tc>
      </w:tr>
    </w:tbl>
    <w:tbl>
      <w:tblPr>
        <w:tblW w:type="auto" w:w="0"/>
        <w:tblLayout w:type="autofit"/>
        <w:tblLook w:firstColumn="1" w:firstRow="1" w:lastColumn="0" w:lastRow="0" w:noHBand="0" w:noVBand="1" w:val="04A0"/>
      </w:tblPr>
      <w:tblGrid>
        <w:gridCol w:w="9866"/>
      </w:tblGrid>
      <w:tr>
        <w:trPr/>
        <w:tc>
          <w:tcPr>
            <w:tcW w:type="dxa" w:w="9866"/>
            <w:shd w:fill="F7F5F0"/>
            <w:tcMar>
              <w:top w:w="60" w:type="dxa"/>
              <w:start w:w="90" w:type="dxa"/>
              <w:bottom w:w="60" w:type="dxa"/>
              <w:end w:w="90" w:type="dxa"/>
            </w:tcMar>
          </w:tcPr>
          <w:p>
            <w:r>
              <w:rPr>
                <w:b/>
                <w:color w:val="995133"/>
                <w:sz w:val="16"/>
              </w:rPr>
              <w:t xml:space="preserve">QUESTIONS  </w:t>
            </w:r>
          </w:p>
          <w:p>
            <w:pPr>
              <w:spacing w:after="60"/>
            </w:pPr>
            <w:r>
              <w:rPr>
                <w:b/>
                <w:color w:val="995133"/>
              </w:rPr>
              <w:t xml:space="preserve">Q53.  </w:t>
            </w:r>
            <w:r>
              <w:t>Classez trois arguments avancés par Chauvel en faveur d’un affaiblissement des classes.</w:t>
            </w:r>
          </w:p>
          <w:p>
            <w:pPr>
              <w:spacing w:after="60"/>
            </w:pPr>
            <w:r>
              <w:rPr>
                <w:b/>
                <w:color w:val="995133"/>
              </w:rPr>
              <w:t xml:space="preserve">Q54.  </w:t>
            </w:r>
            <w:r>
              <w:t>Pourquoi le texte de Chauvel présente-t-il des arguments à discuter plutôt qu’une preuve de disparition des ouvriers ?</w:t>
            </w:r>
          </w:p>
          <w:p/>
        </w:tc>
      </w:tr>
    </w:tbl>
    <w:p>
      <w:pPr>
        <w:spacing w:after="100"/>
      </w:pPr>
      <w:r>
        <w:rPr>
          <w:b/>
          <w:color w:val="232629"/>
          <w:sz w:val="28"/>
        </w:rPr>
        <w:t xml:space="preserve">3.4  ·  Pourquoi l’identification à une classe sociale s’est-elle affaiblie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 xml:space="preserve">QUESTION AU TABLEAU     Pourquoi l’identification à une classe sociale s’est-elle affaiblie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29</w:t>
            </w:r>
          </w:p>
        </w:tc>
        <w:tc>
          <w:tcPr>
            <w:tcW w:type="dxa" w:w="4933"/>
            <w:tcMar>
              <w:top w:w="70" w:type="dxa"/>
              <w:start w:w="100" w:type="dxa"/>
              <w:bottom w:w="70" w:type="dxa"/>
              <w:end w:w="40" w:type="dxa"/>
            </w:tcMar>
          </w:tcPr>
          <w:p>
            <w:r>
              <w:rPr>
                <w:b/>
                <w:color w:val="1F4E61"/>
                <w:sz w:val="21"/>
              </w:rPr>
              <w:t>Les ouvriers après la classe ouvrière</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p>
            <w:pPr>
              <w:spacing w:after="100"/>
            </w:pPr>
            <w:r>
              <w:rPr>
                <w:b w:val="0"/>
                <w:i w:val="0"/>
              </w:rPr>
              <w:t>Il ne faut pas céder à l’illusion rétrospective et largement anachronique d’un âge d’or ouvrier - la condition ouvrière a toujours été une condition subie, soumise à la nécessité. Il n’en reste pas moins que les ouvriers du temps de la classe ouvrière disposaient d’un capital politique accumulé (les partis ouvriers, les syndicats), d’un ensemble de ressources culturelles (des associations se référant sans honte au mot ouvrier) et symboliques (la fierté d’être ouvrier, le sentiment d’appartenir à la classe), qui permettaient de défendre collectivement le groupe, limitant ainsi l’emprise de la domination économique et culturelle. […]</w:t>
            </w:r>
          </w:p>
          <w:p>
            <w:pPr>
              <w:spacing w:after="100"/>
            </w:pPr>
            <w:r>
              <w:rPr>
                <w:b w:val="0"/>
                <w:i w:val="0"/>
              </w:rPr>
              <w:t>Il existait aussi, hors de l’usine, ce qu’on peut appeler une société ouvrière, qui permettait à ses membres de vivre dans un environnement protecteur et rassurant, au sein duquel s’épanouissait une culture qui lui était propre : opposition entre le monde des autres, " Eux ", et le " Nous " communautaire ; liberté accordée aux enfants et réalisme scolaire ; répartition traditionnelle des rôles dans le couple. Dans ce monde intégré, diverses instances de socialisation (cercles laïques, Jeunesse communiste ou Jeunesse ouvrière chrétienne, colonies de vacances, activités culturelles et de loisirs des comités d’entreprise) encadraient la jeunesse dans les zones urbaines et contribuaient à la transmission des mêmes valeurs. […]</w:t>
            </w:r>
          </w:p>
          <w:p>
            <w:pPr>
              <w:spacing w:after="100"/>
            </w:pPr>
            <w:r>
              <w:rPr>
                <w:b w:val="0"/>
                <w:i w:val="0"/>
              </w:rPr>
              <w:t>Cette longue période durant laquelle l’existence de la classe ouvrière apparut comme une évidence semble aujourd’hui révolue. La classe ouvrière en tant que telle a éclaté sous l’impact de différentes forces centrifuges : désindustrialisation ; perte de ses bastions traditionnels (le Nord et la Lorraine, la Loire) ; informatisation de la production et chute de la demande de travail non qualifié ; division géographique de l’espace ouvrier ; différenciation sexuelle ; déclin continu et accéléré du PCF [Parti communiste français] ; perte de l’espoir collectif et diminution corrélative du sentiment d’appartenance à " la " classe.</w:t>
            </w:r>
          </w:p>
          <w:p>
            <w:pPr>
              <w:spacing w:after="100"/>
            </w:pPr>
            <w:r>
              <w:rPr>
                <w:b w:val="0"/>
                <w:i w:val="0"/>
              </w:rPr>
              <w:t>[…] Le monde ouvrier n’a pas disparu, mais la condition ouvrière s’est profondément transformée au cours de ces vingt dernières années. Elle a perdu une partie de son assise dans le monde industriel et s’est plutôt développée dans le secteur tertiaire, du fait de la prolétarisation des employé(e)s, dont l’exemple type est celui des caissières. […]</w:t>
            </w:r>
          </w:p>
          <w:p>
            <w:pPr>
              <w:spacing w:after="100"/>
            </w:pPr>
            <w:r>
              <w:rPr>
                <w:b w:val="0"/>
                <w:i w:val="0"/>
              </w:rPr>
              <w:t>Le cas des nouvelles PME installées à proximité du site de Sochaux (les équipementiers de l’automobile) révèle une forte dégradation des conditions de travail dans ces usines : recours massif au travail précaire (intérim et CDD) ; recrutement quasi exclusif de jeunes, souvent bacheliers, embauchés pour occuper les postes d’opérateurs ; horaires d’une très grande variabilité, imposition de rythmes effrénés de travail ; individualisation à outrance, marginalisation syndicale. […] La sociabilité ouvrière est impossible dans ces univers professionnels atomisés, où tout semble organisé pour que les opérateurs ne se rencontrent pas (pauses brèves, horaires de travail qui fluctuent d’un jour à l’autre) et ne se parlent pas (les opérateurs sont trop absorbés par leur production). Cette précarité institutionnalisée - le turn over de la main-d’œuvre est très élevé - compromet en outre toute forme d’enracinement usinier et empêche la transmission de la culture de travail.</w:t>
            </w:r>
          </w:p>
          <w:p>
            <w:pPr>
              <w:spacing w:after="60"/>
            </w:pPr>
            <w:r>
              <w:rPr>
                <w:b w:val="0"/>
                <w:i/>
                <w:color w:val="63696B"/>
                <w:sz w:val="15"/>
              </w:rPr>
              <w:t>Source : Stéphane Beaud et Michel Pialoux, Retour sur la condition ouvrière, Fayard, 1999.</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Q55.  </w:t>
            </w:r>
            <w:r>
              <w:t>Quelles ressources collectives Beaud et Pialoux décrivent-ils dans le monde ouvrier ?</w:t>
            </w:r>
          </w:p>
          <w:p>
            <w:pPr>
              <w:spacing w:after="180"/>
            </w:pPr>
            <w:r>
              <w:rPr>
                <w:b/>
                <w:color w:val="995133"/>
              </w:rPr>
              <w:t xml:space="preserve">Q56.  </w:t>
            </w:r>
            <w:r>
              <w:t>Quels changements rendent l’organisation collective plus difficile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30</w:t>
            </w:r>
          </w:p>
        </w:tc>
        <w:tc>
          <w:tcPr>
            <w:tcW w:type="dxa" w:w="4933"/>
            <w:tcMar>
              <w:top w:w="70" w:type="dxa"/>
              <w:start w:w="100" w:type="dxa"/>
              <w:bottom w:w="70" w:type="dxa"/>
              <w:end w:w="40" w:type="dxa"/>
            </w:tcMar>
          </w:tcPr>
          <w:p>
            <w:r>
              <w:rPr>
                <w:b/>
                <w:color w:val="1F4E61"/>
                <w:sz w:val="21"/>
              </w:rPr>
              <w:t>Entre position sociale et sentiment d’appartenance</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p>
            <w:pPr>
              <w:spacing w:after="100"/>
            </w:pPr>
            <w:r>
              <w:rPr>
                <w:b w:val="0"/>
                <w:i w:val="0"/>
              </w:rPr>
              <w:t>Une enquête sur les professions intermédiaires invite à distinguer leur situation statistique et le sentiment d’appartenir à une classe sociale. Des individus classés dans un même groupe par leur profession peuvent se reconnaître dans des appartenances différentes : certains se situent par rapport à leurs conditions de travail, d’autres par rapport à leur parcours, à leur revenu, à leurs diplômes ou aux groupes auxquels ils se comparent. Une catégorie construite par le chercheur ne constitue donc pas automatiquement un collectif mobilisé.</w:t>
            </w:r>
          </w:p>
          <w:p>
            <w:pPr>
              <w:spacing w:after="100"/>
            </w:pPr>
            <w:r>
              <w:rPr>
                <w:b w:val="0"/>
                <w:i w:val="0"/>
              </w:rPr>
              <w:t>Pour analyser une classe, il faut distinguer trois questions. Les personnes occupent-elles des positions objectivement proches ? Se perçoivent-elles comme membres d’un même groupe ? S’organisent-elles pour défendre des intérêts communs ? Les différences au sein d’un groupe, les changements d’emploi et les trajectoires individualisées peuvent modifier les réponses sans effacer les inégalités entre groupes. L’existence ou l’absence d’un sentiment d’appartenance ne se déduit jamais de la seule nomenclature des professions.</w:t>
            </w:r>
          </w:p>
          <w:p>
            <w:pPr>
              <w:spacing w:after="60"/>
            </w:pPr>
            <w:r>
              <w:rPr>
                <w:b w:val="0"/>
                <w:i/>
                <w:color w:val="63696B"/>
                <w:sz w:val="15"/>
              </w:rPr>
              <w:t>Source de l’enquête mobilisée : Agnès Pélage et Tristan Poullaouec, « Le haut du panier de la France d’en bas ? Le sentiment d’appartenir à une classe sociale chez les membres des professions intermédiaires », Revue française des affaires sociales, n°2, 2007, p. 27-56, https://shs.cairn.info/revue-francaise-des-affaires-sociales-2007-2-page-27 ; présentation pédagogique du livret.</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Q57.  </w:t>
            </w:r>
            <w:r>
              <w:t>Distinguez PCS, identification subjective et mobilisation dans le document 30.</w:t>
            </w:r>
          </w:p>
          <w:p>
            <w:pPr>
              <w:spacing w:after="180"/>
            </w:pPr>
            <w:r>
              <w:rPr>
                <w:b/>
                <w:color w:val="995133"/>
              </w:rPr>
              <w:t xml:space="preserve">Q58.  </w:t>
            </w:r>
            <w:r>
              <w:t>Quel rôle l’individualisation peut-elle jouer dans l’expérience collective ?</w:t>
            </w:r>
          </w:p>
        </w:tc>
      </w:tr>
    </w:tbl>
    <w:tbl>
      <w:tblPr>
        <w:tblW w:type="auto" w:w="0"/>
        <w:tblLayout w:type="autofit"/>
        <w:tblLook w:firstColumn="1" w:firstRow="1" w:lastColumn="0" w:lastRow="0" w:noHBand="0" w:noVBand="1" w:val="04A0"/>
      </w:tblPr>
      <w:tblGrid>
        <w:gridCol w:w="5301"/>
        <w:gridCol w:w="4507"/>
      </w:tblGrid>
      <w:tr>
        <w:trPr>
          <w:cantSplit/>
        </w:trPr>
        <w:tc>
          <w:tcPr>
            <w:tcW w:type="dxa" w:w="9808"/>
            <w:gridSpan w:val="2"/>
            <w:shd w:fill="EDF5FF"/>
            <w:tcMar>
              <w:top w:w="65" w:type="dxa"/>
              <w:start w:w="100" w:type="dxa"/>
              <w:bottom w:w="65" w:type="dxa"/>
              <w:end w:w="100" w:type="dxa"/>
            </w:tcMar>
          </w:tcPr>
          <w:p>
            <w:pPr>
              <w:spacing w:after="80"/>
            </w:pPr>
            <w:r>
              <w:rPr>
                <w:b/>
                <w:i w:val="0"/>
                <w:color w:val="104982"/>
                <w:sz w:val="18"/>
              </w:rPr>
              <w:t xml:space="preserve">POUR TERMINER LA SÉANCE</w:t>
            </w:r>
          </w:p>
          <w:p>
            <w:pPr>
              <w:spacing w:after="40"/>
            </w:pPr>
            <w:r>
              <w:rPr>
                <w:b/>
                <w:i w:val="0"/>
                <w:color w:val="104982"/>
                <w:sz w:val="18"/>
              </w:rPr>
              <w:t xml:space="preserve">1 · DU CAS AU SAVOIR · 20 min (paragraphe A-E-I, type partie 1) : </w:t>
            </w:r>
            <w:r>
              <w:rPr>
                <w:b/>
                <w:i w:val="0"/>
                <w:sz w:val="18"/>
              </w:rPr>
              <w:t xml:space="preserve">Montrez que l’évolution des distances entre les groupes et l’affaiblissement des identifications de classe alimentent le débat sur les classes sociales.</w:t>
            </w:r>
          </w:p>
          <w:p>
            <w:pPr>
              <w:spacing w:after="80"/>
            </w:pPr>
            <w:r>
              <w:rPr>
                <w:b/>
                <w:i w:val="0"/>
                <w:sz w:val="17"/>
              </w:rPr>
              <w:t xml:space="preserve">Notions : </w:t>
            </w:r>
            <w:r>
              <w:rPr>
                <w:b w:val="0"/>
                <w:i w:val="0"/>
                <w:sz w:val="17"/>
              </w:rPr>
              <w:t xml:space="preserve">distances inter-classes · distances intra-classe · moyennisation · identification subjective · individualisation · classe ouvrière.</w:t>
            </w:r>
          </w:p>
          <w:p>
            <w:pPr>
              <w:spacing w:after="0"/>
            </w:pPr>
            <w:r>
              <w:rPr>
                <w:b/>
                <w:i w:val="0"/>
                <w:color w:val="104982"/>
                <w:sz w:val="18"/>
              </w:rPr>
              <w:t xml:space="preserve">2 · À LA MAISON · VALIDATION : </w:t>
            </w:r>
            <w:r>
              <w:rPr>
                <w:b w:val="0"/>
                <w:i w:val="0"/>
                <w:sz w:val="18"/>
              </w:rPr>
              <w:t xml:space="preserve">court raisonnement de type partie 3 à partir du document 29. Repère : ce que m’apporte le document / ce que j’apporte grâce au cours / comment je les articule.</w:t>
            </w:r>
          </w:p>
        </w:tc>
      </w:tr>
    </w:tbl>
    <w:p>
      <w:pPr>
        <w:pageBreakBefore/>
        <w:spacing w:after="40"/>
      </w:pPr>
      <w:r>
        <w:rPr>
          <w:b/>
          <w:color w:val="1F4E61"/>
          <w:sz w:val="16"/>
        </w:rPr>
        <w:t xml:space="preserve">SÉANCE 8  ·  2 H    /    STRUCTURE SOCIALE</w:t>
      </w:r>
    </w:p>
    <w:p>
      <w:pPr>
        <w:spacing w:after="140"/>
      </w:pPr>
      <w:r>
        <w:rPr>
          <w:i/>
          <w:color w:val="63696B"/>
          <w:sz w:val="17"/>
        </w:rPr>
        <w:t xml:space="preserve">Déroulé : rappel (5 min) · 3.5 (≈ 35 min) · 3.6 (≈ 35 min) · synthèse (≈ 40 min).</w:t>
      </w:r>
    </w:p>
    <w:p>
      <w:pPr>
        <w:spacing w:after="60"/>
      </w:pPr>
      <w:r>
        <w:rPr>
          <w:b/>
          <w:i w:val="0"/>
          <w:color w:val="1F4E61"/>
          <w:sz w:val="18"/>
        </w:rPr>
        <w:t>Rappel ou remédiation  ·  3 à 5 min</w:t>
      </w:r>
    </w:p>
    <w:p>
      <w:pPr>
        <w:spacing w:after="140"/>
      </w:pPr>
      <w:r>
        <w:rPr>
          <w:b w:val="0"/>
          <w:i w:val="0"/>
        </w:rPr>
        <w:t>Rappel ciblé : chez Beaud et Pialoux, relevez de mémoire une ressource collective ancienne et une transformation qui fragilise son maintien.</w:t>
      </w:r>
    </w:p>
    <w:p>
      <w:pPr>
        <w:spacing w:after="100"/>
      </w:pPr>
      <w:r>
        <w:rPr>
          <w:b/>
          <w:color w:val="232629"/>
          <w:sz w:val="28"/>
        </w:rPr>
        <w:t xml:space="preserve">3.5  ·  Les mobilisations peuvent-elles rendre des classes sociales visibles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Les mobilisations peuvent-elles rendre des classes sociales visibles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31</w:t>
            </w:r>
          </w:p>
        </w:tc>
        <w:tc>
          <w:tcPr>
            <w:tcW w:type="dxa" w:w="4933"/>
            <w:tcMar>
              <w:top w:w="70" w:type="dxa"/>
              <w:start w:w="100" w:type="dxa"/>
              <w:bottom w:w="70" w:type="dxa"/>
              <w:end w:w="40" w:type="dxa"/>
            </w:tcMar>
          </w:tcPr>
          <w:p>
            <w:r>
              <w:rPr>
                <w:b/>
                <w:color w:val="1F4E61"/>
                <w:sz w:val="21"/>
              </w:rPr>
              <w:t>Les classes sociales redeviennent visibles</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p>
            <w:pPr>
              <w:spacing w:after="100"/>
            </w:pPr>
            <w:r>
              <w:rPr>
                <w:b w:val="0"/>
                <w:i w:val="0"/>
              </w:rPr>
              <w:t>Le sociologue Camille Peugny explique la crise actuelle par les inégalités qui « fracturent » la société française. […]</w:t>
            </w:r>
          </w:p>
          <w:p>
            <w:pPr>
              <w:spacing w:after="100"/>
            </w:pPr>
            <w:r>
              <w:rPr>
                <w:b w:val="0"/>
                <w:i w:val="0"/>
              </w:rPr>
              <w:t>Ce mouvement n'est-il pas aussi l'expression de l'existence de deux France, comme peuvent le développer certains sociologues et politiques ? Il faut se garder des grilles de lecture trop simplistes. L'opposition entre centre et périphérie est insuffisante pour expliquer la crise actuelle. De même, il n'y a pas deux France, avec d'un côté les gagnants de la mondialisation, et de l'autre les perdants. Dans les grands centres urbains, il n'y a pas que des riches aisés, et dans les campagnes, que des pauvres. En revanche, on assiste à une polarisation des destins sociaux qui écartèle complètement la société française depuis vingt ans. Je suis ainsi frappé par la variété des professions qui se mobilisent actuellement : des fonctionnaires de catégorie C, des aides-soignantes, des techniciens du privé, des employés, des aides à domicile, des caissières... Autant de personnes qui partagent ce sentiment que leur avenir est bouché et qu'ils ne sont que des variables d'ajustement condamnées à des vies au salaire minimum. […]</w:t>
            </w:r>
          </w:p>
          <w:p>
            <w:pPr>
              <w:spacing w:after="100"/>
            </w:pPr>
            <w:r>
              <w:rPr>
                <w:b w:val="0"/>
                <w:i w:val="0"/>
              </w:rPr>
              <w:t>Est-ce que cela signe un retour de la guerre de classes, de cette dichotomie sociale qu'on croyait oubliée ? Les classes sociales n'ont jamais disparu. Simplement, dans ce conflit, elles deviennent soudainement visibles aux yeux de tous. On a beaucoup écrit sur la disparition de l'ancien monde ouvrier, structuré par des syndicats forts. La conscience d'avoir des intérêts communs et la possibilité de s'organiser pour les défendre se sont toujours faites dans des espaces collectifs de travail qui ont été progressivement détruits par les transformations de l'emploi. Aujourd'hui, la réalité quotidienne des salariés, c'est l'incitation à l'auto-entreprenariat, l'allongement des chaînes de sous-traitance, l'ubérisation du travail... Bref, un isolement au travail grandissant. Ce qui fait la force des « gilets jaunes », c'est l'expression collective de gens aux prises avec les mêmes difficultés. En se retrouvant sur les ronds-points, ils s'aperçoivent qu'à côté de chez eux, il y a des milliers de personnes qui vivent et pensent la même chose. Et là, au même moment, à des centaines d'endroits, des personnes se rassemblent et essayent d'élaborer des mots d'ordre communs. […]</w:t>
            </w:r>
          </w:p>
          <w:p>
            <w:pPr>
              <w:spacing w:after="100"/>
            </w:pPr>
            <w:r>
              <w:rPr>
                <w:b w:val="0"/>
                <w:i w:val="0"/>
              </w:rPr>
              <w:t>Est-ce que cela n'est pas aussi une révolte des moins qualifiés, liée à l'explosion des petits boulots et des contrats précaires ? Ce que l'on voit s'exprimer sur les barrages, c'est bien sûr cette portion la moins qualifiée des salariés. Mais il y a aussi les franges inférieures des classes moyennes qui ont le sentiment d'être les prochaines sur la liste des déclassés. On peut gloser à l'infini sur le bien-fondé des taxes sur les carburants, il reste que des millions de ménages, déjà à découvert le 10 du mois, ne peuvent pas payer quelques dizaines d'euros supplémentaires pour aller travailler. C'est aussi leur peur du déclassement, de la chute sociale qui s'exprime.</w:t>
            </w:r>
          </w:p>
          <w:p>
            <w:pPr>
              <w:spacing w:after="60"/>
            </w:pPr>
            <w:r>
              <w:rPr>
                <w:b w:val="0"/>
                <w:i/>
                <w:color w:val="63696B"/>
                <w:sz w:val="15"/>
              </w:rPr>
              <w:t>Source : Camille Peugny, propos recueillis par Sylvia Zappi, Le Monde, 13 décembre 2018. Entretien donné pendant le mouvement des Gilets jaunes.</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Q59.  </w:t>
            </w:r>
            <w:r>
              <w:t>Quels groupes professionnels Peugny voit-il se retrouver dans la mobilisation de 2018 ?</w:t>
            </w:r>
          </w:p>
          <w:p>
            <w:pPr>
              <w:spacing w:after="180"/>
            </w:pPr>
            <w:r>
              <w:rPr>
                <w:b/>
                <w:color w:val="995133"/>
              </w:rPr>
              <w:t xml:space="preserve">Q60.  </w:t>
            </w:r>
            <w:r>
              <w:t>Comment explique-t-il leur sentiment de difficultés communes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32</w:t>
            </w:r>
          </w:p>
        </w:tc>
        <w:tc>
          <w:tcPr>
            <w:tcW w:type="dxa" w:w="4933"/>
            <w:tcMar>
              <w:top w:w="70" w:type="dxa"/>
              <w:start w:w="100" w:type="dxa"/>
              <w:bottom w:w="70" w:type="dxa"/>
              <w:end w:w="40" w:type="dxa"/>
            </w:tcMar>
          </w:tcPr>
          <w:p>
            <w:r>
              <w:rPr>
                <w:b/>
                <w:color w:val="1F4E61"/>
                <w:sz w:val="21"/>
              </w:rPr>
              <w:t>La bourgeoisie, classe en soi et classe pour soi</w:t>
            </w:r>
          </w:p>
        </w:tc>
      </w:tr>
    </w:tbl>
    <w:tbl>
      <w:tblPr>
        <w:tblW w:type="auto" w:w="0"/>
        <w:tblLayout w:type="fixed"/>
        <w:tblLook w:firstColumn="1" w:firstRow="1" w:lastColumn="0" w:lastRow="0" w:noHBand="0" w:noVBand="1" w:val="04A0"/>
      </w:tblPr>
      <w:tblGrid>
        <w:gridCol w:w="9866"/>
      </w:tblGrid>
      <w:tr>
        <w:tc>
          <w:tcPr>
            <w:tcW w:type="dxa" w:w="9866"/>
            <w:tcMar>
              <w:top w:w="60" w:type="dxa"/>
              <w:start w:w="100" w:type="dxa"/>
              <w:bottom w:w="50" w:type="dxa"/>
              <w:end w:w="100" w:type="dxa"/>
            </w:tcMar>
          </w:tcPr>
          <w:p>
            <w:r>
              <w:drawing>
                <wp:inline xmlns:a="http://schemas.openxmlformats.org/drawingml/2006/main" xmlns:pic="http://schemas.openxmlformats.org/drawingml/2006/picture">
                  <wp:extent cx="5400000" cy="5418848"/>
                  <wp:docPr id="6" name="Picture 6"/>
                  <wp:cNvGraphicFramePr>
                    <a:graphicFrameLocks noChangeAspect="1"/>
                  </wp:cNvGraphicFramePr>
                  <a:graphic>
                    <a:graphicData uri="http://schemas.openxmlformats.org/drawingml/2006/picture">
                      <pic:pic>
                        <pic:nvPicPr>
                          <pic:cNvPr id="0" name="pincon_original.png"/>
                          <pic:cNvPicPr/>
                        </pic:nvPicPr>
                        <pic:blipFill>
                          <a:blip r:embed="rId14"/>
                          <a:stretch>
                            <a:fillRect/>
                          </a:stretch>
                        </pic:blipFill>
                        <pic:spPr>
                          <a:xfrm>
                            <a:off x="0" y="0"/>
                            <a:ext cx="5400000" cy="5418848"/>
                          </a:xfrm>
                          <a:prstGeom prst="rect"/>
                        </pic:spPr>
                      </pic:pic>
                    </a:graphicData>
                  </a:graphic>
                </wp:inline>
              </w:drawing>
            </w:r>
          </w:p>
          <w:p>
            <w:pPr>
              <w:spacing w:after="60"/>
            </w:pPr>
            <w:r>
              <w:rPr>
                <w:b w:val="0"/>
                <w:i/>
                <w:color w:val="63696B"/>
                <w:sz w:val="15"/>
              </w:rPr>
              <w:t>Michel Pinçon et Monique Pinçon-Charlot, Sociologie de la bourgeoisie, La Découverte, 2016.</w:t>
            </w:r>
          </w:p>
        </w:tc>
      </w:tr>
    </w:tbl>
    <w:tbl>
      <w:tblPr>
        <w:tblW w:type="auto" w:w="0"/>
        <w:tblLayout w:type="autofit"/>
        <w:tblLook w:firstColumn="1" w:firstRow="1" w:lastColumn="0" w:lastRow="0" w:noHBand="0" w:noVBand="1" w:val="04A0"/>
      </w:tblPr>
      <w:tblGrid>
        <w:gridCol w:w="9866"/>
      </w:tblGrid>
      <w:tr>
        <w:trPr/>
        <w:tc>
          <w:tcPr>
            <w:tcW w:type="dxa" w:w="9866"/>
            <w:shd w:fill="F7F5F0"/>
            <w:tcMar>
              <w:top w:w="60" w:type="dxa"/>
              <w:start w:w="90" w:type="dxa"/>
              <w:bottom w:w="60" w:type="dxa"/>
              <w:end w:w="90" w:type="dxa"/>
            </w:tcMar>
          </w:tcPr>
          <w:p>
            <w:r>
              <w:rPr>
                <w:b/>
                <w:color w:val="995133"/>
                <w:sz w:val="16"/>
              </w:rPr>
              <w:t xml:space="preserve">QUESTIONS  </w:t>
            </w:r>
          </w:p>
          <w:p>
            <w:pPr>
              <w:spacing w:after="60"/>
            </w:pPr>
            <w:r>
              <w:rPr>
                <w:b/>
                <w:color w:val="995133"/>
              </w:rPr>
              <w:t xml:space="preserve">Q61.  </w:t>
            </w:r>
            <w:r>
              <w:t>Quelles ressources et quelles pratiques d’entre-soi les Pinçon attribuent-ils à la bourgeoisie ?</w:t>
            </w:r>
          </w:p>
          <w:p>
            <w:pPr>
              <w:spacing w:after="60"/>
            </w:pPr>
            <w:r>
              <w:rPr>
                <w:b/>
                <w:color w:val="995133"/>
              </w:rPr>
              <w:t xml:space="preserve">Q62.  </w:t>
            </w:r>
            <w:r>
              <w:t>En quoi leur texte distingue-t-il classe en soi et classe pour soi ?</w:t>
            </w:r>
          </w:p>
          <w:p>
            <w:pPr>
              <w:spacing w:after="60"/>
            </w:pPr>
            <w:r>
              <w:rPr>
                <w:b/>
                <w:color w:val="995133"/>
              </w:rPr>
              <w:t xml:space="preserve">Q63.  </w:t>
            </w:r>
            <w:r>
              <w:t>Comparez la mobilisation décrite par les deux sources, en précisant leur date.</w:t>
            </w:r>
          </w:p>
          <w:p/>
        </w:tc>
      </w:tr>
    </w:tbl>
    <w:p>
      <w:pPr>
        <w:spacing w:after="100"/>
      </w:pPr>
      <w:r>
        <w:rPr>
          <w:b/>
          <w:color w:val="232629"/>
          <w:sz w:val="28"/>
        </w:rPr>
        <w:t xml:space="preserve">3.6  ·  Comment articuler rapports de classe et rapports sociaux de genre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Comment articuler rapports de classe et rapports sociaux de genre ?</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33</w:t>
            </w:r>
          </w:p>
        </w:tc>
        <w:tc>
          <w:tcPr>
            <w:tcW w:type="dxa" w:w="4933"/>
            <w:tcMar>
              <w:top w:w="70" w:type="dxa"/>
              <w:start w:w="100" w:type="dxa"/>
              <w:bottom w:w="70" w:type="dxa"/>
              <w:end w:w="40" w:type="dxa"/>
            </w:tcMar>
          </w:tcPr>
          <w:p>
            <w:r>
              <w:rPr>
                <w:b/>
                <w:color w:val="1F4E61"/>
                <w:sz w:val="21"/>
              </w:rPr>
              <w:t>Articuler classe sociale et sexe</w:t>
            </w:r>
          </w:p>
        </w:tc>
      </w:tr>
    </w:tbl>
    <w:tbl>
      <w:tblPr>
        <w:tblW w:type="auto" w:w="0"/>
        <w:tblLayout w:type="autofit"/>
        <w:tblLook w:firstColumn="1" w:firstRow="1" w:lastColumn="0" w:lastRow="0" w:noHBand="0" w:noVBand="1" w:val="04A0"/>
      </w:tblPr>
      <w:tblGrid>
        <w:gridCol w:w="6321"/>
        <w:gridCol w:w="3487"/>
      </w:tblGrid>
      <w:tr>
        <w:trPr/>
        <w:tc>
          <w:tcPr>
            <w:tcW w:type="dxa" w:w="9808"/>
            <w:vAlign w:val="top"/>
            <w:gridSpan w:val="2"/>
            <w:tcMar>
              <w:top w:w="60" w:type="dxa"/>
              <w:start w:w="90" w:type="dxa"/>
              <w:bottom w:w="60" w:type="dxa"/>
              <w:end w:w="90" w:type="dxa"/>
            </w:tcMar>
          </w:tcPr>
          <w:p/>
          <w:p>
            <w:pPr>
              <w:spacing w:after="100"/>
            </w:pPr>
            <w:r>
              <w:rPr>
                <w:b w:val="0"/>
                <w:i w:val="0"/>
              </w:rPr>
              <w:t>Quand [le croisement entre les statistiques sexuées et les catégories sociales] est possible on peut avancer vers des analyses plus précises et plus nuancées articulant rapports de classe et rapports de sexe. Par exemple, on ne peut pas se contenter de dire que les filles (en général) réussissent mieux que les garçons à l'école et qu'elles ont davantage de difficultés que ces derniers pour s'insérer professionnellement de manière satisfaisante. La réussite scolaire des filles varie en effet suivant les catégories sociales, les filles des ouvriers ou des employés sont de ce point de vue à peine mieux loties que leurs homologues masculins et nettement moins bien que les garçons des catégories « supérieures ». Les travaux du Cereq permettent de montrer par ailleurs que les jeunes filles des catégories « favorisées » réussissent mieux leur insertion professionnelle que les jeunes filles issues des catégories populaires, c'est-à-dire qu’à l’appartenance de sexe se mêle une part importante aussi d'origine sociale.</w:t>
            </w:r>
          </w:p>
          <w:p>
            <w:pPr>
              <w:spacing w:after="100"/>
            </w:pPr>
            <w:r>
              <w:rPr>
                <w:b w:val="0"/>
                <w:i w:val="0"/>
              </w:rPr>
              <w:t>De même la question du travail domestique ne se pose pas de la même manière pour les femmes de cadres quelle que soit, à la limite, leur situation personnelle à l'égard de l'emploi que pour les épouses ou compagnes d'ouvriers ou d'employés, elles-mêmes ouvrières ou employées. Les premières auront fréquemment recours au travail d`une femme de ménage ou d'une assistante maternelle et à divers services marchands, même si elles en assurent la charge mentale, les secondes seront face à des tensions et des contradictions autrement plus fortes en raison à la fois du temps davantage compté et des ressources plus serrées.</w:t>
            </w:r>
          </w:p>
          <w:p>
            <w:pPr>
              <w:spacing w:after="100"/>
            </w:pPr>
            <w:r>
              <w:rPr>
                <w:b w:val="0"/>
                <w:i w:val="0"/>
              </w:rPr>
              <w:t>La complexité des structures sociales réelles implique de prendre en compte toutes les variables significatives. La polarisation unilatérale sur l'une d'entre elles, même si elle est fondamentale, handicapait les approches marxistes classiques centrées sur les seuls rapports de classes. De ce point de vue certaines critiques adressées au cours des années 1970 et 1980 aux analyses en termes de classes étaient parfaitement justifiées.</w:t>
            </w:r>
          </w:p>
          <w:p>
            <w:pPr>
              <w:spacing w:after="100"/>
            </w:pPr>
            <w:r>
              <w:rPr>
                <w:b w:val="0"/>
                <w:i w:val="0"/>
              </w:rPr>
              <w:t>Ces dernières occultaient d’autres lignes de fractures qui traversaient la société. Une analyse en termes de rapports sociaux de sexe permet donc de dépasser les limites des analyses qui se polarisaient sur les seuls rapports de classe sans prendre en compte sérieusement les autres rapports sociaux structurants. Mais, de manière analogue, une telle polarisation fragilise les approches en termes de genre quand elles négligent ou oublient les clivages de classes.</w:t>
            </w:r>
          </w:p>
          <w:p>
            <w:pPr>
              <w:spacing w:after="60"/>
            </w:pPr>
            <w:r>
              <w:rPr>
                <w:b w:val="0"/>
                <w:i/>
                <w:color w:val="63696B"/>
                <w:sz w:val="15"/>
              </w:rPr>
              <w:t>Source : Roland Pfefferkorn, Inégalités et rapports sociaux, La Dispute, 2007.</w:t>
            </w:r>
          </w:p>
        </w:tc>
      </w:tr>
      <w:tr>
        <w:trPr/>
        <w:tc>
          <w:tcPr>
            <w:tcW w:type="dxa" w:w="9808"/>
            <w:gridSpan w:val="2"/>
            <w:tcMar>
              <w:top w:w="60" w:type="dxa"/>
              <w:start w:w="90" w:type="dxa"/>
              <w:bottom w:w="60" w:type="dxa"/>
              <w:end w:w="90" w:type="dxa"/>
            </w:tcMar>
            <w:shd w:fill="FFF4E8"/>
          </w:tcPr>
          <w:p/>
          <w:p>
            <w:pPr>
              <w:spacing w:after="160"/>
            </w:pPr>
            <w:r>
              <w:rPr>
                <w:b/>
                <w:color w:val="995133"/>
                <w:sz w:val="16"/>
              </w:rPr>
              <w:t>QUESTIONS</w:t>
            </w:r>
          </w:p>
          <w:p>
            <w:pPr>
              <w:spacing w:after="180"/>
            </w:pPr>
            <w:r>
              <w:rPr>
                <w:b/>
                <w:color w:val="995133"/>
              </w:rPr>
              <w:t xml:space="preserve">Q64.  </w:t>
            </w:r>
            <w:r>
              <w:t>Pourquoi Pfefferkorn croise-t-il le sexe et la classe sociale ?</w:t>
            </w:r>
          </w:p>
          <w:p>
            <w:pPr>
              <w:spacing w:after="180"/>
            </w:pPr>
            <w:r>
              <w:rPr>
                <w:b/>
                <w:color w:val="995133"/>
              </w:rPr>
              <w:t xml:space="preserve">Q65.  </w:t>
            </w:r>
            <w:r>
              <w:t>Comparez les contraintes domestiques de deux groupes de femmes décrits par l’auteur.</w:t>
            </w:r>
          </w:p>
        </w:tc>
      </w:tr>
    </w:tbl>
    <w:tbl>
      <w:tblPr>
        <w:tblW w:type="auto" w:w="0"/>
        <w:tblLayout w:type="fixed"/>
        <w:tblLook w:firstColumn="1" w:firstRow="1" w:lastColumn="0" w:lastRow="0" w:noHBand="0" w:noVBand="1" w:val="04A0"/>
      </w:tblPr>
      <w:tblGrid>
        <w:gridCol w:w="709"/>
        <w:gridCol w:w="9071"/>
      </w:tblGrid>
      <w:tr>
        <w:tc>
          <w:tcPr>
            <w:tcW w:type="dxa" w:w="4933"/>
            <w:shd w:fill="1F4E61"/>
            <w:tcMar>
              <w:top w:w="70" w:type="dxa"/>
              <w:start w:w="30" w:type="dxa"/>
              <w:bottom w:w="70" w:type="dxa"/>
              <w:end w:w="30" w:type="dxa"/>
            </w:tcMar>
          </w:tcPr>
          <w:p>
            <w:pPr>
              <w:jc w:val="center"/>
            </w:pPr>
            <w:r>
              <w:rPr>
                <w:b/>
                <w:color w:val="FFFFFF"/>
                <w:sz w:val="18"/>
              </w:rPr>
              <w:t>34</w:t>
            </w:r>
          </w:p>
        </w:tc>
        <w:tc>
          <w:tcPr>
            <w:tcW w:type="dxa" w:w="4933"/>
            <w:tcMar>
              <w:top w:w="70" w:type="dxa"/>
              <w:start w:w="100" w:type="dxa"/>
              <w:bottom w:w="70" w:type="dxa"/>
              <w:end w:w="40" w:type="dxa"/>
            </w:tcMar>
          </w:tcPr>
          <w:p>
            <w:r>
              <w:rPr>
                <w:b/>
                <w:color w:val="1F4E61"/>
                <w:sz w:val="21"/>
              </w:rPr>
              <w:t>La répartition sexuée des emplois selon les secteurs</w:t>
            </w:r>
          </w:p>
        </w:tc>
      </w:tr>
    </w:tbl>
    <w:tbl>
      <w:tblPr>
        <w:tblW w:type="auto" w:w="0"/>
        <w:tblLayout w:type="autofit"/>
        <w:tblLook w:firstColumn="1" w:firstRow="1" w:lastColumn="0" w:lastRow="0" w:noHBand="0" w:noVBand="1" w:val="04A0"/>
      </w:tblPr>
      <w:tblGrid>
        <w:gridCol w:w="6321"/>
        <w:gridCol w:w="3487"/>
      </w:tblGrid>
      <w:tr>
        <w:trPr/>
        <w:tc>
          <w:tcPr>
            <w:tcW w:type="dxa" w:w="6321"/>
            <w:vAlign w:val="top"/>
            <w:tcMar>
              <w:top w:w="60" w:type="dxa"/>
              <w:start w:w="90" w:type="dxa"/>
              <w:bottom w:w="60" w:type="dxa"/>
              <w:end w:w="90" w:type="dxa"/>
            </w:tcMar>
          </w:tcPr>
          <w:p/>
          <w:p>
            <w:pPr>
              <w:spacing w:after="100"/>
            </w:pPr>
            <w:r>
              <w:rPr>
                <w:b w:val="0"/>
                <w:i w:val="0"/>
              </w:rPr>
              <w:t>La part des femmes varie fortement selon les secteurs d’activité en France hors Mayotte, fin 2025. Elle s’établit à 26 % parmi les salariés du transport, 48 % dans le commerce, 67 % dans les services aux ménages et 69 % dans le tertiaire non marchand. Pour l’ensemble de l’emploi salarié, elle est de 49 %. Il s’agit ici de proportions de femmes à l’intérieur de chaque secteur et non de la répartition de toutes les femmes salariées entre secteurs. La distribution des emplois selon le sexe recoupe les positions professionnelles et les conditions de travail, sans donner à elle seule le niveau de rémunération de chaque personne.</w:t>
            </w:r>
          </w:p>
          <w:p>
            <w:pPr>
              <w:spacing w:after="60"/>
            </w:pPr>
            <w:r>
              <w:rPr>
                <w:b w:val="0"/>
                <w:i/>
                <w:color w:val="63696B"/>
                <w:sz w:val="15"/>
              </w:rPr>
              <w:t>Source : Insee, Estimations d’emploi, tableau « Évolution de l’emploi par statut et par secteur d’activité de 2020 à 2025 », https://www.insee.fr/fr/statistiques/8733039.</w:t>
            </w:r>
          </w:p>
        </w:tc>
        <w:tc>
          <w:tcPr>
            <w:tcW w:type="dxa" w:w="3487"/>
            <w:vAlign w:val="top"/>
            <w:tcMar>
              <w:top w:w="60" w:type="dxa"/>
              <w:start w:w="90" w:type="dxa"/>
              <w:bottom w:w="60" w:type="dxa"/>
              <w:end w:w="90" w:type="dxa"/>
            </w:tcMar>
            <w:shd w:fill="F7F5F0"/>
          </w:tcPr>
          <w:p>
            <w:pPr>
              <w:spacing w:after="160"/>
            </w:pPr>
            <w:r>
              <w:rPr>
                <w:b/>
                <w:color w:val="995133"/>
                <w:sz w:val="16"/>
              </w:rPr>
              <w:t>QUESTIONS</w:t>
            </w:r>
          </w:p>
          <w:p>
            <w:pPr>
              <w:spacing w:after="180"/>
            </w:pPr>
            <w:r>
              <w:rPr>
                <w:b/>
                <w:color w:val="995133"/>
              </w:rPr>
              <w:t xml:space="preserve">Q66.  </w:t>
            </w:r>
            <w:r>
              <w:t>Lisez la part des femmes dans le transport et le tertiaire non marchand en 2025.</w:t>
            </w:r>
          </w:p>
          <w:p>
            <w:pPr>
              <w:spacing w:after="180"/>
            </w:pPr>
            <w:r>
              <w:rPr>
                <w:b/>
                <w:color w:val="995133"/>
              </w:rPr>
              <w:t xml:space="preserve">Q67.  </w:t>
            </w:r>
            <w:r>
              <w:t>Pourquoi les proportions sectorielles ne suffisent-elles pas à mesurer les écarts de salaire ?</w:t>
            </w:r>
          </w:p>
          <w:p/>
        </w:tc>
      </w:tr>
    </w:tbl>
    <w:p>
      <w:pPr>
        <w:spacing w:after="100"/>
      </w:pPr>
      <w:r>
        <w:rPr>
          <w:b/>
          <w:color w:val="232629"/>
          <w:sz w:val="28"/>
        </w:rPr>
        <w:t xml:space="preserve">Synthèse  ·  Comment est structurée la société française actuelle ?</w:t>
      </w:r>
    </w:p>
    <w:tbl>
      <w:tblPr>
        <w:tblStyle w:val="TableGrid"/>
        <w:tblW w:type="auto" w:w="0"/>
        <w:tblLook w:firstColumn="1" w:firstRow="1" w:lastColumn="0" w:lastRow="0" w:noHBand="0" w:noVBand="1" w:val="04A0"/>
      </w:tblPr>
      <w:tblGrid>
        <w:gridCol w:w="9866"/>
      </w:tblGrid>
      <w:tr>
        <w:tc>
          <w:tcPr>
            <w:tcW w:type="dxa" w:w="9866"/>
            <w:shd w:fill="EAF0F1"/>
            <w:tcMar>
              <w:top w:w="70" w:type="dxa"/>
              <w:start w:w="100" w:type="dxa"/>
              <w:bottom w:w="70" w:type="dxa"/>
              <w:end w:w="100" w:type="dxa"/>
            </w:tcMar>
          </w:tcPr>
          <w:p>
            <w:pPr>
              <w:spacing w:after="0"/>
              <w:jc w:val="center"/>
            </w:pPr>
            <w:r>
              <w:rPr>
                <w:b/>
                <w:color w:val="1F4E61"/>
                <w:sz w:val="20"/>
              </w:rPr>
              <w:t>QUESTION AU TABLEAU     Comment est structurée la société française actuelle ?</w:t>
            </w:r>
          </w:p>
        </w:tc>
      </w:tr>
    </w:tbl>
    <w:p>
      <w:pPr>
        <w:spacing w:after="120"/>
      </w:pPr>
      <w:r>
        <w:rPr>
          <w:b w:val="0"/>
          <w:i/>
        </w:rPr>
        <w:t>En groupes de trois, rédigez une synthèse que chacun pourra expliquer à l’oral. Relisez les questions du plan, puis vérifiez les notions, mécanismes et données dans les documents.</w:t>
      </w:r>
    </w:p>
    <w:p>
      <w:pPr>
        <w:spacing w:after="40"/>
      </w:pPr>
      <w:r>
        <w:rPr>
          <w:b/>
          <w:i w:val="0"/>
          <w:color w:val="1F4E61"/>
          <w:sz w:val="20"/>
        </w:rPr>
        <w:t>1. Facteurs de hiérarchisation</w:t>
      </w:r>
    </w:p>
    <w:p>
      <w:pPr>
        <w:spacing w:after="40"/>
      </w:pPr>
      <w:r>
        <w:rPr>
          <w:b w:val="0"/>
          <w:i w:val="0"/>
        </w:rPr>
        <w:t>Mots à utiliser : PCS, revenu, diplôme, ménage, cycle de vie, sexe, lieu de résidence</w:t>
      </w:r>
    </w:p>
    <w:p>
      <w:pPr>
        <w:spacing w:after="20"/>
      </w:pPr>
      <w:r>
        <w:rPr>
          <w:b w:val="0"/>
          <w:i w:val="0"/>
        </w:rPr>
        <w:t>Idée : ..........................................................................................................................</w:t>
      </w:r>
    </w:p>
    <w:p>
      <w:pPr>
        <w:spacing w:after="20"/>
      </w:pPr>
      <w:r>
        <w:rPr>
          <w:b w:val="0"/>
          <w:i w:val="0"/>
        </w:rPr>
        <w:t>Mécanisme : ..............................................................................................................</w:t>
      </w:r>
    </w:p>
    <w:p>
      <w:pPr>
        <w:spacing w:after="80"/>
      </w:pPr>
      <w:r>
        <w:rPr>
          <w:b w:val="0"/>
          <w:i w:val="0"/>
        </w:rPr>
        <w:t>Preuve sourcée : .....................................................................................................</w:t>
      </w:r>
    </w:p>
    <w:p>
      <w:pPr>
        <w:spacing w:after="40"/>
      </w:pPr>
      <w:r>
        <w:rPr>
          <w:b/>
          <w:i w:val="0"/>
          <w:color w:val="1F4E61"/>
          <w:sz w:val="20"/>
        </w:rPr>
        <w:t>2. Transformations de l’emploi</w:t>
      </w:r>
    </w:p>
    <w:p>
      <w:pPr>
        <w:spacing w:after="40"/>
      </w:pPr>
      <w:r>
        <w:rPr>
          <w:b w:val="0"/>
          <w:i w:val="0"/>
        </w:rPr>
        <w:t>Mots à utiliser : salarisation, tertiarisation, qualification, féminisation</w:t>
      </w:r>
    </w:p>
    <w:p>
      <w:pPr>
        <w:spacing w:after="20"/>
      </w:pPr>
      <w:r>
        <w:rPr>
          <w:b w:val="0"/>
          <w:i w:val="0"/>
        </w:rPr>
        <w:t>Idée : ..........................................................................................................................</w:t>
      </w:r>
    </w:p>
    <w:p>
      <w:pPr>
        <w:spacing w:after="20"/>
      </w:pPr>
      <w:r>
        <w:rPr>
          <w:b w:val="0"/>
          <w:i w:val="0"/>
        </w:rPr>
        <w:t>Mécanisme : ..............................................................................................................</w:t>
      </w:r>
    </w:p>
    <w:p>
      <w:pPr>
        <w:spacing w:after="80"/>
      </w:pPr>
      <w:r>
        <w:rPr>
          <w:b w:val="0"/>
          <w:i w:val="0"/>
        </w:rPr>
        <w:t>Preuve sourcée : .....................................................................................................</w:t>
      </w:r>
    </w:p>
    <w:p>
      <w:pPr>
        <w:spacing w:after="40"/>
      </w:pPr>
      <w:r>
        <w:rPr>
          <w:b/>
          <w:i w:val="0"/>
          <w:color w:val="1F4E61"/>
          <w:sz w:val="20"/>
        </w:rPr>
        <w:t>3. Marx et Weber</w:t>
      </w:r>
    </w:p>
    <w:p>
      <w:pPr>
        <w:spacing w:after="40"/>
      </w:pPr>
      <w:r>
        <w:rPr>
          <w:b w:val="0"/>
          <w:i w:val="0"/>
        </w:rPr>
        <w:t>Mots à utiliser : rapports de production, classe en soi, classe pour soi, classe, statut, parti</w:t>
      </w:r>
    </w:p>
    <w:p>
      <w:pPr>
        <w:spacing w:after="20"/>
      </w:pPr>
      <w:r>
        <w:rPr>
          <w:b w:val="0"/>
          <w:i w:val="0"/>
        </w:rPr>
        <w:t>Idée : ..........................................................................................................................</w:t>
      </w:r>
    </w:p>
    <w:p>
      <w:pPr>
        <w:spacing w:after="20"/>
      </w:pPr>
      <w:r>
        <w:rPr>
          <w:b w:val="0"/>
          <w:i w:val="0"/>
        </w:rPr>
        <w:t>Mécanisme : ..............................................................................................................</w:t>
      </w:r>
    </w:p>
    <w:p>
      <w:pPr>
        <w:spacing w:after="80"/>
      </w:pPr>
      <w:r>
        <w:rPr>
          <w:b w:val="0"/>
          <w:i w:val="0"/>
        </w:rPr>
        <w:t>Preuve sourcée : .....................................................................................................</w:t>
      </w:r>
    </w:p>
    <w:p>
      <w:pPr>
        <w:spacing w:after="40"/>
      </w:pPr>
      <w:r>
        <w:rPr>
          <w:b/>
          <w:i w:val="0"/>
          <w:color w:val="1F4E61"/>
          <w:sz w:val="20"/>
        </w:rPr>
        <w:t>4. Débat sur les classes</w:t>
      </w:r>
    </w:p>
    <w:p>
      <w:pPr>
        <w:spacing w:after="40"/>
      </w:pPr>
      <w:r>
        <w:rPr>
          <w:b w:val="0"/>
          <w:i w:val="0"/>
        </w:rPr>
        <w:t>Mots à utiliser : distances inter et intra-classes, genre, identifications subjectives, individualisation</w:t>
      </w:r>
    </w:p>
    <w:p>
      <w:pPr>
        <w:spacing w:after="20"/>
      </w:pPr>
      <w:r>
        <w:rPr>
          <w:b w:val="0"/>
          <w:i w:val="0"/>
        </w:rPr>
        <w:t>Idée : ..........................................................................................................................</w:t>
      </w:r>
    </w:p>
    <w:p>
      <w:pPr>
        <w:spacing w:after="20"/>
      </w:pPr>
      <w:r>
        <w:rPr>
          <w:b w:val="0"/>
          <w:i w:val="0"/>
        </w:rPr>
        <w:t>Mécanisme : ..............................................................................................................</w:t>
      </w:r>
    </w:p>
    <w:p>
      <w:pPr>
        <w:spacing w:after="80"/>
      </w:pPr>
      <w:r>
        <w:rPr>
          <w:b w:val="0"/>
          <w:i w:val="0"/>
        </w:rPr>
        <w:t>Preuve sourcée : .....................................................................................................</w:t>
      </w:r>
    </w:p>
    <w:p>
      <w:pPr>
        <w:spacing w:after="40"/>
      </w:pPr>
      <w:r>
        <w:rPr>
          <w:b/>
          <w:i w:val="0"/>
          <w:color w:val="1F4E61"/>
          <w:sz w:val="18"/>
        </w:rPr>
        <w:t xml:space="preserve">À LA MAISON · VALIDATION INDIVIDUELLE (préparation de l’évaluation)</w:t>
      </w:r>
    </w:p>
    <w:p>
      <w:pPr>
        <w:spacing w:after="60"/>
      </w:pPr>
      <w:r>
        <w:rPr>
          <w:b w:val="0"/>
          <w:i w:val="0"/>
        </w:rPr>
        <w:t>En 12 à 15 lignes, expliquez pourquoi la pertinence d’une lecture en termes de classes sociales fait débat. Utilisez au moins deux arguments de sens différent et un document. Repère partie 3 : ce que m’apporte le document / ce que j’apporte grâce au cours / comment je les articule.</w:t>
      </w:r>
    </w:p>
    <w:p>
      <w:pPr>
        <w:spacing w:after="60"/>
      </w:pPr>
      <w:r>
        <w:rPr>
          <w:b/>
          <w:i w:val="0"/>
          <w:color w:val="1F4E61"/>
          <w:sz w:val="18"/>
        </w:rPr>
        <w:t>Espace de rédaction</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spacing w:after="100"/>
      </w:pPr>
      <w:r>
        <w:rPr>
          <w:b w:val="0"/>
          <w:i w:val="0"/>
          <w:sz w:val="19"/>
        </w:rPr>
        <w:t>...........................................................................................................................................................................</w:t>
      </w:r>
    </w:p>
    <w:p>
      <w:pPr>
        <w:pageBreakBefore/>
        <w:spacing w:after="40"/>
      </w:pPr>
      <w:r>
        <w:rPr>
          <w:b/>
          <w:color w:val="1F4E61"/>
          <w:sz w:val="16"/>
        </w:rPr>
        <w:t xml:space="preserve">SÉANCE 9  ·  2 H    /    STRUCTURE SOCIALE</w:t>
      </w:r>
    </w:p>
    <w:p>
      <w:pPr>
        <w:spacing w:after="100"/>
      </w:pPr>
      <w:r>
        <w:rPr>
          <w:b/>
          <w:color w:val="232629"/>
          <w:sz w:val="28"/>
        </w:rPr>
        <w:t xml:space="preserve">Évaluation du chapitre</w:t>
      </w:r>
    </w:p>
    <w:p>
      <w:pPr>
        <w:spacing w:after="140"/>
      </w:pPr>
      <w:r>
        <w:rPr>
          <w:b w:val="0"/>
          <w:i w:val="0"/>
        </w:rPr>
        <w:t xml:space="preserve">Sujet distribué en classe, sur le modèle de l’épreuve de spécialité 2027 : partie 1, mobilisation des connaissances ; partie 2, étude d’un document ; partie 3, raisonnement appuyé sur un dossier documentaire. La maîtrise de la langue compte pour 2 points. Révisez les notions des encadrés « Pour terminer la séance » et votre synthèse de la séance 8.</w:t>
      </w:r>
    </w:p>
    <w:sectPr w:rsidR="00FC693F" w:rsidRPr="0006063C" w:rsidSect="00034616">
      <w:footerReference w:type="default" r:id="rId15"/>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696B"/>
        <w:sz w:val="16"/>
      </w:rPr>
      <w:t>TERMINALE SES  ·  2026–2027  ·  STRUCTURE SOCIALE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mbria" w:hAnsi="Cambria"/>
      <w:color w:val="2326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23262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 est structurée la société française actuelle ? – Livret élève V12</dc:title>
  <dc:subject/>
  <dc:creator>Paco</dc:creator>
  <cp:keywords/>
  <dc:description>generated by python-docx</dc:description>
  <cp:lastModifiedBy/>
  <cp:revision>1</cp:revision>
  <dcterms:created xsi:type="dcterms:W3CDTF">2013-12-23T23:15:00Z</dcterms:created>
  <dcterms:modified xsi:type="dcterms:W3CDTF">2013-12-23T23:15:00Z</dcterms:modified>
  <cp:category/>
</cp:coreProperties>
</file>