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Roteiro de testes — Segurança e Medicina (SST)</w:t>
      </w:r>
    </w:p>
    <w:p>
      <w:pPr>
        <w:pStyle w:val="Subtitle"/>
      </w:pPr>
      <w:r>
        <w:t xml:space="preserve">Central de Importações e fluxo operacional completo</w:t>
      </w:r>
    </w:p>
    <w:p>
      <w:pPr>
        <w:pStyle w:val="Normal"/>
      </w:pPr>
      <w:r>
        <w:t xml:space="preserve">Sistema Administrativo Tiaraju  ·  Homologação  ·  08/09/2026</w:t>
      </w:r>
    </w:p>
    <w:p>
      <w:pPr>
        <w:pStyle w:val="Normal"/>
      </w:pPr>
      <w:r>
        <w:t xml:space="preserve">Logue como Super Administrador ou Super usuário. Use um único colaborador de teste (mesmo setor e cargo em todas as planilhas). Sempre simule antes de gravar.</w:t>
      </w:r>
    </w:p>
    <w:p>
      <w:pPr>
        <w:pStyle w:val="Heading1"/>
      </w:pPr>
      <w:r>
        <w:t xml:space="preserve">Como usar a Central de Importações</w:t>
      </w:r>
    </w:p>
    <w:p>
      <w:pPr>
        <w:pStyle w:val="Normal"/>
      </w:pPr>
      <w:r>
        <w:rPr>
          <w:b/>
        </w:rPr>
        <w:t xml:space="preserve">1. </w:t>
      </w:r>
      <w:r>
        <w:rPr/>
        <w:t xml:space="preserve">Menu Administração → Importações.</w:t>
      </w:r>
    </w:p>
    <w:p>
      <w:pPr>
        <w:pStyle w:val="Normal"/>
      </w:pPr>
      <w:r>
        <w:rPr>
          <w:b/>
        </w:rPr>
        <w:t xml:space="preserve">2. </w:t>
      </w:r>
      <w:r>
        <w:rPr/>
        <w:t xml:space="preserve">Escolha o tipo → Modelo CSV (ou sua planilha com cabeçalho na primeira linha).</w:t>
      </w:r>
    </w:p>
    <w:p>
      <w:pPr>
        <w:pStyle w:val="Normal"/>
      </w:pPr>
      <w:r>
        <w:rPr>
          <w:b/>
        </w:rPr>
        <w:t xml:space="preserve">3. </w:t>
      </w:r>
      <w:r>
        <w:rPr/>
        <w:t xml:space="preserve">Operação: Inserir e atualizar. Marque Somente simular.</w:t>
      </w:r>
    </w:p>
    <w:p>
      <w:pPr>
        <w:pStyle w:val="Normal"/>
      </w:pPr>
      <w:r>
        <w:rPr>
          <w:b/>
        </w:rPr>
        <w:t xml:space="preserve">4. </w:t>
      </w:r>
      <w:r>
        <w:rPr/>
        <w:t xml:space="preserve">Mapeie as colunas. A chave precisa estar mapeada. Nas matrizes, mapeie também a coluna id, mesmo vazia.</w:t>
      </w:r>
    </w:p>
    <w:p>
      <w:pPr>
        <w:pStyle w:val="Normal"/>
      </w:pPr>
      <w:r>
        <w:rPr>
          <w:b/>
        </w:rPr>
        <w:t xml:space="preserve">5. </w:t>
      </w:r>
      <w:r>
        <w:rPr/>
        <w:t xml:space="preserve">Execute e revise o relatório por linha. Se estiver certo, envie de novo sem simular.</w:t>
      </w:r>
    </w:p>
    <w:p>
      <w:pPr>
        <w:pStyle w:val="Normal"/>
      </w:pPr>
      <w:r>
        <w:t xml:space="preserve">Se uma linha falhar com “não encontrado”, o nome ou código da planilha precisa ser idêntico ao cadastro anterior.</w:t>
      </w:r>
    </w:p>
    <w:p>
      <w:pPr>
        <w:pStyle w:val="Heading1"/>
      </w:pPr>
      <w:r>
        <w:t xml:space="preserve">Dados sugeridos para o teste (mantenha iguais em todas as planilhas)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</w:rPr>
              <w:t xml:space="preserve">Valor de teste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Departamento</w:t>
            </w:r>
          </w:p>
        </w:tc>
        <w:tc>
          <w:tcPr>
            <w:tcW w:w="0" w:type="auto"/>
          </w:tcPr>
          <w:p>
            <w:r>
              <w:rPr/>
              <w:t xml:space="preserve">Suprimentos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Cargo</w:t>
            </w:r>
          </w:p>
        </w:tc>
        <w:tc>
          <w:tcPr>
            <w:tcW w:w="0" w:type="auto"/>
          </w:tcPr>
          <w:p>
            <w:r>
              <w:rPr/>
              <w:t xml:space="preserve">Gerente de Suprimentos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Risco</w:t>
            </w:r>
          </w:p>
        </w:tc>
        <w:tc>
          <w:tcPr>
            <w:tcW w:w="0" w:type="auto"/>
          </w:tcPr>
          <w:p>
            <w:r>
              <w:rPr/>
              <w:t xml:space="preserve">RIS001 — Ruído ocupacional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EPI</w:t>
            </w:r>
          </w:p>
        </w:tc>
        <w:tc>
          <w:tcPr>
            <w:tcW w:w="0" w:type="auto"/>
          </w:tcPr>
          <w:p>
            <w:r>
              <w:rPr/>
              <w:t xml:space="preserve">Capacete de segurança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Exame</w:t>
            </w:r>
          </w:p>
        </w:tc>
        <w:tc>
          <w:tcPr>
            <w:tcW w:w="0" w:type="auto"/>
          </w:tcPr>
          <w:p>
            <w:r>
              <w:rPr/>
              <w:t xml:space="preserve">EX0001 — Audiometria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Treinamento</w:t>
            </w:r>
          </w:p>
        </w:tc>
        <w:tc>
          <w:tcPr>
            <w:tcW w:w="0" w:type="auto"/>
          </w:tcPr>
          <w:p>
            <w:r>
              <w:rPr/>
              <w:t xml:space="preserve">TR0001 — NR-35 Trabalho em altura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CID</w:t>
            </w:r>
          </w:p>
        </w:tc>
        <w:tc>
          <w:tcPr>
            <w:tcW w:w="0" w:type="auto"/>
          </w:tcPr>
          <w:p>
            <w:r>
              <w:rPr/>
              <w:t xml:space="preserve">S61.0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Médico</w:t>
            </w:r>
          </w:p>
        </w:tc>
        <w:tc>
          <w:tcPr>
            <w:tcW w:w="0" w:type="auto"/>
          </w:tcPr>
          <w:p>
            <w:r>
              <w:rPr/>
              <w:t xml:space="preserve">CRM 12345 — Dr. João Silva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GHE (opcional)</w:t>
            </w:r>
          </w:p>
        </w:tc>
        <w:tc>
          <w:tcPr>
            <w:tcW w:w="0" w:type="auto"/>
          </w:tcPr>
          <w:p>
            <w:r>
              <w:rPr/>
              <w:t xml:space="preserve">GHE-SUP — Almoxarifado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1. Cadastro corporativo (obrigatório antes do SST)</w:t>
      </w:r>
    </w:p>
    <w:p>
      <w:pPr>
        <w:pStyle w:val="Normal"/>
      </w:pPr>
      <w:r>
        <w:t xml:space="preserve">Sem este bloco, matriz e pendências não fecham.</w:t>
      </w:r>
    </w:p>
    <w:p>
      <w:pPr>
        <w:pStyle w:val="Normal"/>
      </w:pPr>
      <w:r>
        <w:rPr>
          <w:b/>
        </w:rPr>
        <w:t xml:space="preserve">1. </w:t>
      </w:r>
      <w:r>
        <w:rPr/>
        <w:t xml:space="preserve">Departamentos / setores — tipo Departamentos. Ex.: Suprimentos. Confira em Cadastro → Departamentos.</w:t>
      </w:r>
    </w:p>
    <w:p>
      <w:pPr>
        <w:pStyle w:val="Normal"/>
      </w:pPr>
      <w:r>
        <w:rPr>
          <w:b/>
        </w:rPr>
        <w:t xml:space="preserve">2. </w:t>
      </w:r>
      <w:r>
        <w:rPr/>
        <w:t xml:space="preserve">Cargos — tipo Cargos. Ex.: Gerente de Suprimentos. Confira em Cadastro → Cargos.</w:t>
      </w:r>
    </w:p>
    <w:p>
      <w:pPr>
        <w:pStyle w:val="Normal"/>
      </w:pPr>
      <w:r>
        <w:rPr>
          <w:b/>
        </w:rPr>
        <w:t xml:space="preserve">3. </w:t>
      </w:r>
      <w:r>
        <w:rPr/>
        <w:t xml:space="preserve">Usuários — tipo Usuários / colaboradores. Informe nome, e-mail, login, CPF, departamento e cargo pelo nome (iguais aos passos 1 e 2), status Ativo e data de admissão. Não informe desligamento. Confira em Cadastro → Usuários: cargo e setor preenchidos.</w:t>
      </w:r>
    </w:p>
    <w:p>
      <w:pPr>
        <w:pStyle w:val="Heading1"/>
      </w:pPr>
      <w:r>
        <w:t xml:space="preserve">2. Catálogos SST</w:t>
      </w:r>
    </w:p>
    <w:p>
      <w:pPr>
        <w:pStyle w:val="Normal"/>
      </w:pPr>
      <w:r>
        <w:t xml:space="preserve">Podem ser importados em sequência. Use os códigos do modelo; as matrizes referenciam os mesmos valores.</w:t>
      </w:r>
    </w:p>
    <w:p>
      <w:pPr>
        <w:pStyle w:val="Normal"/>
      </w:pPr>
      <w:r>
        <w:rPr>
          <w:b/>
        </w:rPr>
        <w:t xml:space="preserve">4. </w:t>
      </w:r>
      <w:r>
        <w:rPr/>
        <w:t xml:space="preserve">CIDs — SST — CIDs. Chave: código. Ex.: S61.0.</w:t>
      </w:r>
    </w:p>
    <w:p>
      <w:pPr>
        <w:pStyle w:val="Normal"/>
      </w:pPr>
      <w:r>
        <w:rPr>
          <w:b/>
        </w:rPr>
        <w:t xml:space="preserve">5. </w:t>
      </w:r>
      <w:r>
        <w:rPr/>
        <w:t xml:space="preserve">Médicos — SST — Médicos. Chave: CRM. Ex.: 12345 / Dr. João Silva.</w:t>
      </w:r>
    </w:p>
    <w:p>
      <w:pPr>
        <w:pStyle w:val="Normal"/>
      </w:pPr>
      <w:r>
        <w:rPr>
          <w:b/>
        </w:rPr>
        <w:t xml:space="preserve">6. </w:t>
      </w:r>
      <w:r>
        <w:rPr/>
        <w:t xml:space="preserve">Exames — SST — Exames. Chave: código. Ex.: EX0001 Audiometria, periódico 12 meses.</w:t>
      </w:r>
    </w:p>
    <w:p>
      <w:pPr>
        <w:pStyle w:val="Normal"/>
      </w:pPr>
      <w:r>
        <w:rPr>
          <w:b/>
        </w:rPr>
        <w:t xml:space="preserve">7. </w:t>
      </w:r>
      <w:r>
        <w:rPr/>
        <w:t xml:space="preserve">EPIs — SST — EPIs. Chave: nome. Ex.: Capacete de segurança.</w:t>
      </w:r>
    </w:p>
    <w:p>
      <w:pPr>
        <w:pStyle w:val="Normal"/>
      </w:pPr>
      <w:r>
        <w:rPr>
          <w:b/>
        </w:rPr>
        <w:t xml:space="preserve">8. </w:t>
      </w:r>
      <w:r>
        <w:rPr/>
        <w:t xml:space="preserve">Treinamentos — SST — Treinamentos. Chave: código. Ex.: TR0001 NR-35, validade 24 meses, momentos admissional,reciclagem.</w:t>
      </w:r>
    </w:p>
    <w:p>
      <w:pPr>
        <w:pStyle w:val="Normal"/>
      </w:pPr>
      <w:r>
        <w:rPr>
          <w:b/>
        </w:rPr>
        <w:t xml:space="preserve">9. </w:t>
      </w:r>
      <w:r>
        <w:rPr/>
        <w:t xml:space="preserve">Riscos — SST — Riscos. Chave: código. Ex.: RIS001 Ruído ocupacional, grupo Físico, monitoramento médico Sim, necessita EPI Sim.</w:t>
      </w:r>
    </w:p>
    <w:p>
      <w:pPr>
        <w:pStyle w:val="Normal"/>
      </w:pPr>
      <w:r>
        <w:rPr>
          <w:b/>
        </w:rPr>
        <w:t xml:space="preserve">10. </w:t>
      </w:r>
      <w:r>
        <w:rPr/>
        <w:t xml:space="preserve">GHE (opcional) — SST — GHE / ambientes. Ex.: GHE-SUP Almoxarifado, departamento Suprimentos. Só é necessário se o mesmo cargo tiver exposição diferente por ambiente.</w:t>
      </w:r>
    </w:p>
    <w:p>
      <w:pPr>
        <w:pStyle w:val="Normal"/>
      </w:pPr>
      <w:r>
        <w:t xml:space="preserve">Confira cada item no menu Segurança e Medicina → Cadastros (CIDs, médicos, exames, EPIs, treinamentos, riscos, GHE).</w:t>
      </w:r>
    </w:p>
    <w:p>
      <w:pPr>
        <w:pStyle w:val="Heading1"/>
      </w:pPr>
      <w:r>
        <w:t xml:space="preserve">3. Matrizes (quem está exposto e o que é obrigatório)</w:t>
      </w:r>
    </w:p>
    <w:p>
      <w:pPr>
        <w:pStyle w:val="Normal"/>
      </w:pPr>
      <w:r>
        <w:t xml:space="preserve">Importe depois dos catálogos. Referências por código ou nome, iguais aos passos anteriores.</w:t>
      </w:r>
    </w:p>
    <w:p>
      <w:pPr>
        <w:pStyle w:val="Normal"/>
      </w:pPr>
      <w:r>
        <w:rPr>
          <w:b/>
        </w:rPr>
        <w:t xml:space="preserve">11. </w:t>
      </w:r>
      <w:r>
        <w:rPr/>
        <w:t xml:space="preserve">Risco × cargo/setor — SST — Risco × cargo/setor. Informe risco RIS001 e cargo e/ou departamento. Sem isso, exame, EPI e treinamento do risco não geram pendência. Ex.: RIS001 + Gerente de Suprimentos + Suprimentos.</w:t>
      </w:r>
    </w:p>
    <w:p>
      <w:pPr>
        <w:pStyle w:val="Normal"/>
      </w:pPr>
      <w:r>
        <w:rPr>
          <w:b/>
        </w:rPr>
        <w:t xml:space="preserve">12. </w:t>
      </w:r>
      <w:r>
        <w:rPr/>
        <w:t xml:space="preserve">No risco, o que é obrigatório:</w:t>
      </w:r>
    </w:p>
    <w:p>
      <w:pPr>
        <w:pStyle w:val="ListBullet"/>
      </w:pPr>
      <w:r>
        <w:t xml:space="preserve">SST — Risco × EPI → RIS001 × Capacete de segurança, Obrigatório Sim</w:t>
      </w:r>
    </w:p>
    <w:p>
      <w:pPr>
        <w:pStyle w:val="ListBullet"/>
      </w:pPr>
      <w:r>
        <w:t xml:space="preserve">SST — Risco × exame → RIS001 × EX0001, categoria ASO Periódico, 12 meses</w:t>
      </w:r>
    </w:p>
    <w:p>
      <w:pPr>
        <w:pStyle w:val="ListBullet"/>
      </w:pPr>
      <w:r>
        <w:t xml:space="preserve">SST — Risco × treinamento → RIS001 × TR0001, validade 24 meses</w:t>
      </w:r>
    </w:p>
    <w:p>
      <w:pPr>
        <w:pStyle w:val="Normal"/>
      </w:pPr>
      <w:r>
        <w:rPr>
          <w:b/>
        </w:rPr>
        <w:t xml:space="preserve">13. </w:t>
      </w:r>
      <w:r>
        <w:rPr/>
        <w:t xml:space="preserve">Necessidades (exceção ou regra direta, sem passar pelo risco). Só teste se quiser o caminho alternativo: necessidade de EPI, de exame e de treinamento (também cobre matriz cargo × treinamento).</w:t>
      </w:r>
    </w:p>
    <w:p>
      <w:pPr>
        <w:pStyle w:val="Normal"/>
      </w:pPr>
      <w:r>
        <w:t xml:space="preserve">Abra o risco RIS001 e confira as abas Cargos/Setores, Exames, EPIs e Treinamentos. Confira as listagens de Necessidades se usou o passo 13.</w:t>
      </w:r>
    </w:p>
    <w:p>
      <w:pPr>
        <w:pStyle w:val="Heading1"/>
      </w:pPr>
      <w:r>
        <w:t xml:space="preserve">4. Conferir se a regra pegou no colaborador</w:t>
      </w:r>
    </w:p>
    <w:p>
      <w:pPr>
        <w:pStyle w:val="Normal"/>
      </w:pPr>
      <w:r>
        <w:rPr>
          <w:b/>
        </w:rPr>
        <w:t xml:space="preserve">14. </w:t>
      </w:r>
      <w:r>
        <w:rPr/>
        <w:t xml:space="preserve">Segurança e Medicina → Dashboard.</w:t>
      </w:r>
    </w:p>
    <w:p>
      <w:pPr>
        <w:pStyle w:val="Normal"/>
      </w:pPr>
      <w:r>
        <w:rPr>
          <w:b/>
        </w:rPr>
        <w:t xml:space="preserve">15. </w:t>
      </w:r>
      <w:r>
        <w:rPr/>
        <w:t xml:space="preserve">Relatório de Pendências e/ou perfil SST do colaborador de teste. Esperado: exame (audiometria), EPI (capacete) e treinamento (NR-35) pendentes, porque ainda não há ASO, ficha nem aplicação.</w:t>
      </w:r>
    </w:p>
    <w:p>
      <w:pPr>
        <w:pStyle w:val="Normal"/>
      </w:pPr>
      <w:r>
        <w:t xml:space="preserve">Se não aparecer: verifique cargo/setor do usuário, risco vinculado ao cargo/setor, item marcado como obrigatório e cadastros Ativo.</w:t>
      </w:r>
    </w:p>
    <w:p>
      <w:pPr>
        <w:pStyle w:val="Heading1"/>
      </w:pPr>
      <w:r>
        <w:t xml:space="preserve">5. Operação do dia a dia (não entra na Central)</w:t>
      </w:r>
    </w:p>
    <w:p>
      <w:pPr>
        <w:pStyle w:val="Normal"/>
      </w:pPr>
      <w:r>
        <w:t xml:space="preserve">Faça na tela, com o mesmo colaborador.</w:t>
      </w:r>
    </w:p>
    <w:p>
      <w:pPr>
        <w:pStyle w:val="Normal"/>
      </w:pPr>
      <w:r>
        <w:rPr>
          <w:b/>
        </w:rPr>
        <w:t xml:space="preserve">16. </w:t>
      </w:r>
      <w:r>
        <w:rPr/>
        <w:t xml:space="preserve">Estoque de EPI — entrada de movimentação do capacete, se o módulo exigir estoque.</w:t>
      </w:r>
    </w:p>
    <w:p>
      <w:pPr>
        <w:pStyle w:val="Normal"/>
      </w:pPr>
      <w:r>
        <w:rPr>
          <w:b/>
        </w:rPr>
        <w:t xml:space="preserve">17. </w:t>
      </w:r>
      <w:r>
        <w:rPr/>
        <w:t xml:space="preserve">Ficha de entrega de EPI — item obrigatório; se possível, assinar em Meus EPIs.</w:t>
      </w:r>
    </w:p>
    <w:p>
      <w:pPr>
        <w:pStyle w:val="Normal"/>
      </w:pPr>
      <w:r>
        <w:rPr>
          <w:b/>
        </w:rPr>
        <w:t xml:space="preserve">18. </w:t>
      </w:r>
      <w:r>
        <w:rPr/>
        <w:t xml:space="preserve">ASO admissional — médico do passo 5; exame do passo 6; CID se precisar. Use Encaminhamento se o fluxo pedir exame complementar.</w:t>
      </w:r>
    </w:p>
    <w:p>
      <w:pPr>
        <w:pStyle w:val="Normal"/>
      </w:pPr>
      <w:r>
        <w:rPr>
          <w:b/>
        </w:rPr>
        <w:t xml:space="preserve">19. </w:t>
      </w:r>
      <w:r>
        <w:rPr/>
        <w:t xml:space="preserve">Treinamentos — em Status/vínculos, Sincronizar vínculos (ou sincronizar matriz). Depois Aplicar treinamento (data, instrutor). Colaborador: Meus treinamentos SST / certificado.</w:t>
      </w:r>
    </w:p>
    <w:p>
      <w:pPr>
        <w:pStyle w:val="Normal"/>
      </w:pPr>
      <w:r>
        <w:rPr>
          <w:b/>
        </w:rPr>
        <w:t xml:space="preserve">20. </w:t>
      </w:r>
      <w:r>
        <w:rPr/>
        <w:t xml:space="preserve">Volte ao dashboard/pendências: as três pendências do teste devem cair.</w:t>
      </w:r>
    </w:p>
    <w:p>
      <w:pPr>
        <w:pStyle w:val="Normal"/>
      </w:pPr>
      <w:r>
        <w:t xml:space="preserve">Opcional, para fechar o módulo:</w:t>
      </w:r>
    </w:p>
    <w:p>
      <w:pPr>
        <w:pStyle w:val="Normal"/>
      </w:pPr>
      <w:r>
        <w:rPr>
          <w:b/>
        </w:rPr>
        <w:t xml:space="preserve">21. </w:t>
      </w:r>
      <w:r>
        <w:rPr/>
        <w:t xml:space="preserve">Acidente (com CID) e/ou afastamento.</w:t>
      </w:r>
    </w:p>
    <w:p>
      <w:pPr>
        <w:pStyle w:val="Normal"/>
      </w:pPr>
      <w:r>
        <w:rPr>
          <w:b/>
        </w:rPr>
        <w:t xml:space="preserve">22. </w:t>
      </w:r>
      <w:r>
        <w:rPr/>
        <w:t xml:space="preserve">GHE: vincular o colaborador ao ambiente na tela do GHE (isso não importa).</w:t>
      </w:r>
    </w:p>
    <w:p>
      <w:pPr>
        <w:pStyle w:val="Normal"/>
      </w:pPr>
      <w:r>
        <w:rPr>
          <w:b/>
        </w:rPr>
        <w:t xml:space="preserve">23. </w:t>
      </w:r>
      <w:r>
        <w:rPr/>
        <w:t xml:space="preserve">Equipamento de segurança (tipo → equipamento → vistoria): cadastro operacional, fora da importação.</w:t>
      </w:r>
    </w:p>
    <w:p>
      <w:pPr>
        <w:pStyle w:val="Normal"/>
      </w:pPr>
      <w:r>
        <w:rPr>
          <w:b/>
        </w:rPr>
        <w:t xml:space="preserve">24. </w:t>
      </w:r>
      <w:r>
        <w:rPr/>
        <w:t xml:space="preserve">Programa PGR/PCMSO, PPP e fila eSocial: conferir que PPP/eSocial estão em rascunho interno e que não há S-2245 de treinamento.</w:t>
      </w:r>
    </w:p>
    <w:p>
      <w:pPr>
        <w:pStyle w:val="Heading1"/>
      </w:pPr>
      <w:r>
        <w:t xml:space="preserve">O que a Central não importa</w:t>
      </w:r>
    </w:p>
    <w:p>
      <w:pPr>
        <w:pStyle w:val="Normal"/>
      </w:pPr>
      <w:r>
        <w:t xml:space="preserve">ASO, entregas/fichas de EPI, movimentos de estoque, acidentes, afastamentos, vistorias, PPP, eSocial, histórico de aplicação de treinamento, equipamentos físicos, programas PGR/PCMSO, GHE × colaboradores e checklists de tipo. Esses fluxos continuam nas telas operacionais do módulo.</w:t>
      </w:r>
    </w:p>
    <w:p>
      <w:pPr>
        <w:pStyle w:val="Heading1"/>
      </w:pPr>
      <w:r>
        <w:t xml:space="preserve">Ordem resumida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</w:rPr>
              <w:t xml:space="preserve">Ordem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</w:rPr>
              <w:t xml:space="preserve">O quê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</w:rPr>
              <w:t xml:space="preserve">Onde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1–3</w:t>
            </w:r>
          </w:p>
        </w:tc>
        <w:tc>
          <w:tcPr>
            <w:tcW w:w="0" w:type="auto"/>
          </w:tcPr>
          <w:p>
            <w:r>
              <w:rPr/>
              <w:t xml:space="preserve">Setor → cargo → usuário</w:t>
            </w:r>
          </w:p>
        </w:tc>
        <w:tc>
          <w:tcPr>
            <w:tcW w:w="0" w:type="auto"/>
          </w:tcPr>
          <w:p>
            <w:r>
              <w:rPr/>
              <w:t xml:space="preserve">Central de Importações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4–10</w:t>
            </w:r>
          </w:p>
        </w:tc>
        <w:tc>
          <w:tcPr>
            <w:tcW w:w="0" w:type="auto"/>
          </w:tcPr>
          <w:p>
            <w:r>
              <w:rPr/>
              <w:t xml:space="preserve">CID, médico, exame, EPI, treinamento, risco, GHE</w:t>
            </w:r>
          </w:p>
        </w:tc>
        <w:tc>
          <w:tcPr>
            <w:tcW w:w="0" w:type="auto"/>
          </w:tcPr>
          <w:p>
            <w:r>
              <w:rPr/>
              <w:t xml:space="preserve">Central de Importações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11–13</w:t>
            </w:r>
          </w:p>
        </w:tc>
        <w:tc>
          <w:tcPr>
            <w:tcW w:w="0" w:type="auto"/>
          </w:tcPr>
          <w:p>
            <w:r>
              <w:rPr/>
              <w:t xml:space="preserve">Risco × cargo, depois risco × EPI/exame/treinamento (necessidades se precisar)</w:t>
            </w:r>
          </w:p>
        </w:tc>
        <w:tc>
          <w:tcPr>
            <w:tcW w:w="0" w:type="auto"/>
          </w:tcPr>
          <w:p>
            <w:r>
              <w:rPr/>
              <w:t xml:space="preserve">Central de Importações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14–15</w:t>
            </w:r>
          </w:p>
        </w:tc>
        <w:tc>
          <w:tcPr>
            <w:tcW w:w="0" w:type="auto"/>
          </w:tcPr>
          <w:p>
            <w:r>
              <w:rPr/>
              <w:t xml:space="preserve">Pendências no colaborador</w:t>
            </w:r>
          </w:p>
        </w:tc>
        <w:tc>
          <w:tcPr>
            <w:tcW w:w="0" w:type="auto"/>
          </w:tcPr>
          <w:p>
            <w:r>
              <w:rPr/>
              <w:t xml:space="preserve">Telas SST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16–20</w:t>
            </w:r>
          </w:p>
        </w:tc>
        <w:tc>
          <w:tcPr>
            <w:tcW w:w="0" w:type="auto"/>
          </w:tcPr>
          <w:p>
            <w:r>
              <w:rPr/>
              <w:t xml:space="preserve">Estoque, ficha EPI, ASO, aplicar treinamento</w:t>
            </w:r>
          </w:p>
        </w:tc>
        <w:tc>
          <w:tcPr>
            <w:tcW w:w="0" w:type="auto"/>
          </w:tcPr>
          <w:p>
            <w:r>
              <w:rPr/>
              <w:t xml:space="preserve">Telas SST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21–24</w:t>
            </w:r>
          </w:p>
        </w:tc>
        <w:tc>
          <w:tcPr>
            <w:tcW w:w="0" w:type="auto"/>
          </w:tcPr>
          <w:p>
            <w:r>
              <w:rPr/>
              <w:t xml:space="preserve">Acidente, GHE × pessoa, equipamentos, conformidade</w:t>
            </w:r>
          </w:p>
        </w:tc>
        <w:tc>
          <w:tcPr>
            <w:tcW w:w="0" w:type="auto"/>
          </w:tcPr>
          <w:p>
            <w:r>
              <w:rPr/>
              <w:t xml:space="preserve">Telas SST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60"/>
    </w:pPr>
  </w:style>
  <w:style w:type="paragraph" w:styleId="Title">
    <w:name w:val="Title"/>
    <w:basedOn w:val="Normal"/>
    <w:rPr>
      <w:b/>
      <w:sz w:val="40"/>
      <w:color w:val="1F4E79"/>
    </w:rPr>
    <w:pPr>
      <w:spacing w:after="80"/>
    </w:pPr>
  </w:style>
  <w:style w:type="paragraph" w:styleId="Subtitle">
    <w:name w:val="Subtitle"/>
    <w:basedOn w:val="Normal"/>
    <w:rPr>
      <w:sz w:val="24"/>
      <w:color w:val="5B9BD5"/>
      <w:i/>
    </w:rPr>
  </w:style>
  <w:style w:type="paragraph" w:styleId="Heading1">
    <w:name w:val="heading 1"/>
    <w:basedOn w:val="Normal"/>
    <w:rPr>
      <w:b/>
      <w:sz w:val="28"/>
      <w:color w:val="1F4E79"/>
    </w:rPr>
    <w:pPr>
      <w:spacing w:before="360" w:after="120"/>
    </w:pPr>
  </w:style>
  <w:style w:type="paragraph" w:styleId="ListBullet">
    <w:name w:val="List Bullet"/>
    <w:basedOn w:val="Normal"/>
    <w:pPr>
      <w:ind w:left="720"/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Sistema Administrativo Tiaraju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de testes SST</dc:title>
  <dc:subject>Segurança e Medicina — Central de Importações</dc:subject>
  <dc:creator>Sistema Administrativo Tiaraju</dc:creator>
  <cp:lastModifiedBy>Sistema Administrativo Tiaraju</cp:lastModifiedBy>
</cp:coreProperties>
</file>