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Canal de Denúncias — Evidências para o Ministério do Trabalho</w:t>
      </w:r>
    </w:p>
    <w:p>
      <w:pPr>
        <w:pStyle w:val="Normal"/>
      </w:pPr>
      <w:r>
        <w:t xml:space="preserve">Documento: Evidências de funcionamento, anonimato, auditoria e proteção de dados</w:t>
      </w:r>
    </w:p>
    <w:p>
      <w:pPr>
        <w:pStyle w:val="Normal"/>
      </w:pPr>
      <w:r>
        <w:t xml:space="preserve">Versão: 1.0</w:t>
      </w:r>
    </w:p>
    <w:p>
      <w:pPr>
        <w:pStyle w:val="Normal"/>
      </w:pPr>
      <w:r>
        <w:t xml:space="preserve">Data: ______________________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0"/>
        <w:gridCol w:w="2400"/>
      </w:tblGrid>
      <w:tr>
        <w:tc>
          <w:tcPr>
            <w:shd w:val="clear" w:color="auto" w:fill="D9E2F3"/>
          </w:tcPr>
          <w:p>
            <w:pPr>
              <w:pStyle w:val="Heading3"/>
            </w:pPr>
            <w:r>
              <w:t xml:space="preserve">Campo</w:t>
            </w:r>
          </w:p>
        </w:tc>
        <w:tc>
          <w:tcPr>
            <w:shd w:val="clear" w:color="auto" w:fill="D9E2F3"/>
          </w:tcPr>
          <w:p>
            <w:pPr>
              <w:pStyle w:val="Heading3"/>
            </w:pPr>
            <w:r>
              <w:t xml:space="preserve">Preenchimento</w:t>
            </w:r>
          </w:p>
        </w:tc>
      </w:tr>
      <w:tr>
        <w:tc>
          <w:tcPr/>
          <w:p>
            <w:pPr>
              <w:pStyle w:val="Normal"/>
            </w:pPr>
            <w:r>
              <w:t xml:space="preserve">Empresa</w:t>
            </w:r>
          </w:p>
        </w:tc>
        <w:tc>
          <w:tcPr/>
          <w:p/>
        </w:tc>
      </w:tr>
      <w:tr>
        <w:tc>
          <w:tcPr/>
          <w:p>
            <w:pPr>
              <w:pStyle w:val="Normal"/>
            </w:pPr>
            <w:r>
              <w:t xml:space="preserve">CNPJ</w:t>
            </w:r>
          </w:p>
        </w:tc>
        <w:tc>
          <w:tcPr/>
          <w:p/>
        </w:tc>
      </w:tr>
      <w:tr>
        <w:tc>
          <w:tcPr/>
          <w:p>
            <w:pPr>
              <w:pStyle w:val="Normal"/>
            </w:pPr>
            <w:r>
              <w:t xml:space="preserve">Unidade / estabelecimento</w:t>
            </w:r>
          </w:p>
        </w:tc>
        <w:tc>
          <w:tcPr/>
          <w:p/>
        </w:tc>
      </w:tr>
      <w:tr>
        <w:tc>
          <w:tcPr/>
          <w:p>
            <w:pPr>
              <w:pStyle w:val="Normal"/>
            </w:pPr>
            <w:r>
              <w:t xml:space="preserve">Responsável Compliance / RH</w:t>
            </w:r>
          </w:p>
        </w:tc>
        <w:tc>
          <w:tcPr/>
          <w:p/>
        </w:tc>
      </w:tr>
      <w:tr>
        <w:tc>
          <w:tcPr/>
          <w:p>
            <w:pPr>
              <w:pStyle w:val="Normal"/>
            </w:pPr>
            <w:r>
              <w:t xml:space="preserve">Responsável DPO / TI</w:t>
            </w:r>
          </w:p>
        </w:tc>
        <w:tc>
          <w:tcPr/>
          <w:p/>
        </w:tc>
      </w:tr>
      <w:tr>
        <w:tc>
          <w:tcPr/>
          <w:p>
            <w:pPr>
              <w:pStyle w:val="Normal"/>
            </w:pPr>
            <w:r>
              <w:t xml:space="preserve">URL canal público</w:t>
            </w:r>
          </w:p>
        </w:tc>
        <w:tc>
          <w:tcPr/>
          <w:p>
            <w:pPr>
              <w:pStyle w:val="Normal"/>
            </w:pPr>
            <w:r>
              <w:t xml:space="preserve">ex.: https://www.empresa.com.br/canaldenuncia/</w:t>
            </w:r>
          </w:p>
        </w:tc>
      </w:tr>
    </w:tbl>
    <w:p/>
    <w:p/>
    <w:p>
      <w:pPr>
        <w:pStyle w:val="Heading2"/>
      </w:pPr>
      <w:r>
        <w:t xml:space="preserve">1. Objetivo deste documento</w:t>
      </w:r>
    </w:p>
    <w:p>
      <w:pPr>
        <w:pStyle w:val="Normal"/>
      </w:pPr>
      <w:r>
        <w:t xml:space="preserve">Demonstrar à fiscalização e à auditoria interna/externa que a organização dispõe de canal de denúncias operacional, com:</w:t>
      </w:r>
    </w:p>
    <w:p>
      <w:pPr>
        <w:pStyle w:val="Normal"/>
      </w:pPr>
      <w:r>
        <w:t xml:space="preserve">• acesso público sem identificação obrigatória;</w:t>
      </w:r>
    </w:p>
    <w:p>
      <w:pPr>
        <w:pStyle w:val="Normal"/>
      </w:pPr>
      <w:r>
        <w:t xml:space="preserve">• proteção técnica da confidencialidade (criptografia e controle de acesso);</w:t>
      </w:r>
    </w:p>
    <w:p>
      <w:pPr>
        <w:pStyle w:val="Normal"/>
      </w:pPr>
      <w:r>
        <w:t xml:space="preserve">• rastreabilidade de ações internas (auditoria);</w:t>
      </w:r>
    </w:p>
    <w:p>
      <w:pPr>
        <w:pStyle w:val="Normal"/>
      </w:pPr>
      <w:r>
        <w:t xml:space="preserve">• política de retenção e exclusão alinhada à LGPD;</w:t>
      </w:r>
    </w:p>
    <w:p>
      <w:pPr>
        <w:pStyle w:val="Normal"/>
      </w:pPr>
      <w:r>
        <w:t xml:space="preserve">• governança por comitês com segregação de funções.</w:t>
      </w:r>
    </w:p>
    <w:p>
      <w:pPr>
        <w:pStyle w:val="Normal"/>
      </w:pPr>
      <w:r>
        <w:t xml:space="preserve">Este material deve ser complementado por prints de tela (Anexo A) e, opcionalmente, evidências técnicas de banco sanitizadas (Anexo B).</w:t>
      </w:r>
    </w:p>
    <w:p/>
    <w:p>
      <w:pPr>
        <w:pStyle w:val="Heading2"/>
      </w:pPr>
      <w:r>
        <w:t xml:space="preserve">2. Base normativa e institucional</w:t>
      </w:r>
    </w:p>
    <w:p>
      <w:pPr>
        <w:pStyle w:val="Heading3"/>
      </w:pPr>
      <w:r>
        <w:t xml:space="preserve">2.1 Referências legais e regulatórias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0"/>
        <w:gridCol w:w="2400"/>
      </w:tblGrid>
      <w:tr>
        <w:tc>
          <w:tcPr>
            <w:shd w:val="clear" w:color="auto" w:fill="D9E2F3"/>
          </w:tcPr>
          <w:p>
            <w:pPr>
              <w:pStyle w:val="Heading3"/>
            </w:pPr>
            <w:r>
              <w:t xml:space="preserve">Norma</w:t>
            </w:r>
          </w:p>
        </w:tc>
        <w:tc>
          <w:tcPr>
            <w:shd w:val="clear" w:color="auto" w:fill="D9E2F3"/>
          </w:tcPr>
          <w:p>
            <w:pPr>
              <w:pStyle w:val="Heading3"/>
            </w:pPr>
            <w:r>
              <w:t xml:space="preserve">Relevância</w:t>
            </w:r>
          </w:p>
        </w:tc>
      </w:tr>
      <w:tr>
        <w:tc>
          <w:tcPr/>
          <w:p>
            <w:pPr>
              <w:pStyle w:val="Normal"/>
            </w:pPr>
            <w:r>
              <w:t xml:space="preserve">NR-1 (Gerenciamento de Riscos Ocupacionais)</w:t>
            </w:r>
          </w:p>
        </w:tc>
        <w:tc>
          <w:tcPr/>
          <w:p>
            <w:pPr>
              <w:pStyle w:val="Normal"/>
            </w:pPr>
            <w:r>
              <w:t xml:space="preserve">Exige canal para relatos e mecanismos de gestão</w:t>
            </w:r>
          </w:p>
        </w:tc>
      </w:tr>
      <w:tr>
        <w:tc>
          <w:tcPr/>
          <w:p>
            <w:pPr>
              <w:pStyle w:val="Normal"/>
            </w:pPr>
            <w:r>
              <w:t xml:space="preserve">Lei 14.457/2022</w:t>
            </w:r>
          </w:p>
        </w:tc>
        <w:tc>
          <w:tcPr/>
          <w:p>
            <w:pPr>
              <w:pStyle w:val="Normal"/>
            </w:pPr>
            <w:r>
              <w:t xml:space="preserve">Prevenção e combate ao assédio — reforço da necessidade de canal seguro</w:t>
            </w:r>
          </w:p>
        </w:tc>
      </w:tr>
      <w:tr>
        <w:tc>
          <w:tcPr/>
          <w:p>
            <w:pPr>
              <w:pStyle w:val="Normal"/>
            </w:pPr>
            <w:r>
              <w:t xml:space="preserve">Lei 13.709/2018 (LGPD)</w:t>
            </w:r>
          </w:p>
        </w:tc>
        <w:tc>
          <w:tcPr/>
          <w:p>
            <w:pPr>
              <w:pStyle w:val="Normal"/>
            </w:pPr>
            <w:r>
              <w:t xml:space="preserve">Segurança, minimização, finalidade e retenção de dados pessoais</w:t>
            </w:r>
          </w:p>
        </w:tc>
      </w:tr>
      <w:tr>
        <w:tc>
          <w:tcPr/>
          <w:p>
            <w:pPr>
              <w:pStyle w:val="Normal"/>
            </w:pPr>
            <w:r>
              <w:t xml:space="preserve">CLT e normas correlatas</w:t>
            </w:r>
          </w:p>
        </w:tc>
        <w:tc>
          <w:tcPr/>
          <w:p>
            <w:pPr>
              <w:pStyle w:val="Normal"/>
            </w:pPr>
            <w:r>
              <w:t xml:space="preserve">Dever de ambiente de trabalho seguro e livre de retaliação</w:t>
            </w:r>
          </w:p>
        </w:tc>
      </w:tr>
    </w:tbl>
    <w:p/>
    <w:p>
      <w:pPr>
        <w:pStyle w:val="Heading3"/>
      </w:pPr>
      <w:r>
        <w:t xml:space="preserve">2.2 Documentos corporativos (anexar)</w:t>
      </w:r>
    </w:p>
    <w:p>
      <w:pPr>
        <w:pStyle w:val="Normal"/>
      </w:pPr>
      <w:r>
        <w:t xml:space="preserve">• [ ] Código de Ética e Conduta</w:t>
      </w:r>
    </w:p>
    <w:p>
      <w:pPr>
        <w:pStyle w:val="Normal"/>
      </w:pPr>
      <w:r>
        <w:t xml:space="preserve">• [ ] Política de Denúncias / Canal de Integridade</w:t>
      </w:r>
    </w:p>
    <w:p>
      <w:pPr>
        <w:pStyle w:val="Normal"/>
      </w:pPr>
      <w:r>
        <w:t xml:space="preserve">• [ ] Política de Privacidade / LGPD</w:t>
      </w:r>
    </w:p>
    <w:p>
      <w:pPr>
        <w:pStyle w:val="Normal"/>
      </w:pPr>
      <w:r>
        <w:t xml:space="preserve">• [ ] Comunicado interno de divulgação do canal</w:t>
      </w:r>
    </w:p>
    <w:p>
      <w:pPr>
        <w:pStyle w:val="Normal"/>
      </w:pPr>
      <w:r>
        <w:t xml:space="preserve">• [ ] Registro de treinamento do comitê (se aplicável)</w:t>
      </w:r>
    </w:p>
    <w:p/>
    <w:p>
      <w:pPr>
        <w:pStyle w:val="Heading2"/>
      </w:pPr>
      <w:r>
        <w:t xml:space="preserve">3. Descrição da solução</w:t>
      </w:r>
    </w:p>
    <w:p>
      <w:pPr>
        <w:pStyle w:val="Heading3"/>
      </w:pPr>
      <w:r>
        <w:t xml:space="preserve">3.1 Componentes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0"/>
        <w:gridCol w:w="2400"/>
      </w:tblGrid>
      <w:tr>
        <w:tc>
          <w:tcPr>
            <w:shd w:val="clear" w:color="auto" w:fill="D9E2F3"/>
          </w:tcPr>
          <w:p>
            <w:pPr>
              <w:pStyle w:val="Heading3"/>
            </w:pPr>
            <w:r>
              <w:t xml:space="preserve">Componente</w:t>
            </w:r>
          </w:p>
        </w:tc>
        <w:tc>
          <w:tcPr>
            <w:shd w:val="clear" w:color="auto" w:fill="D9E2F3"/>
          </w:tcPr>
          <w:p>
            <w:pPr>
              <w:pStyle w:val="Heading3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Normal"/>
            </w:pPr>
            <w:r>
              <w:t xml:space="preserve">Canal público</w:t>
            </w:r>
          </w:p>
        </w:tc>
        <w:tc>
          <w:tcPr/>
          <w:p>
            <w:pPr>
              <w:pStyle w:val="Normal"/>
            </w:pPr>
            <w:r>
              <w:t xml:space="preserve">Formulário web em /canaldenuncia — registro e acompanhamento sem login no sistema corporativo</w:t>
            </w:r>
          </w:p>
        </w:tc>
      </w:tr>
      <w:tr>
        <w:tc>
          <w:tcPr/>
          <w:p>
            <w:pPr>
              <w:pStyle w:val="Normal"/>
            </w:pPr>
            <w:r>
              <w:t xml:space="preserve">Gestão interna</w:t>
            </w:r>
          </w:p>
        </w:tc>
        <w:tc>
          <w:tcPr/>
          <w:p>
            <w:pPr>
              <w:pStyle w:val="Normal"/>
            </w:pPr>
            <w:r>
              <w:t xml:space="preserve">Módulo administrativo para Compliance e comitês — triagem, investigação, resposta e encerramento</w:t>
            </w:r>
          </w:p>
        </w:tc>
      </w:tr>
      <w:tr>
        <w:tc>
          <w:tcPr/>
          <w:p>
            <w:pPr>
              <w:pStyle w:val="Normal"/>
            </w:pPr>
            <w:r>
              <w:t xml:space="preserve">Comitês</w:t>
            </w:r>
          </w:p>
        </w:tc>
        <w:tc>
          <w:tcPr/>
          <w:p>
            <w:pPr>
              <w:pStyle w:val="Normal"/>
            </w:pPr>
            <w:r>
              <w:t xml:space="preserve">Grupos por área (Ética, Compliance, Segurança etc.) vinculados a classificações de denúncia</w:t>
            </w:r>
          </w:p>
        </w:tc>
      </w:tr>
      <w:tr>
        <w:tc>
          <w:tcPr/>
          <w:p>
            <w:pPr>
              <w:pStyle w:val="Normal"/>
            </w:pPr>
            <w:r>
              <w:t xml:space="preserve">Governança LGPD</w:t>
            </w:r>
          </w:p>
        </w:tc>
        <w:tc>
          <w:tcPr/>
          <w:p>
            <w:pPr>
              <w:pStyle w:val="Normal"/>
            </w:pPr>
            <w:r>
              <w:t xml:space="preserve">Política de arquivamento/exclusão, execução automática e histórico de rotinas</w:t>
            </w:r>
          </w:p>
        </w:tc>
      </w:tr>
    </w:tbl>
    <w:p/>
    <w:p>
      <w:pPr>
        <w:pStyle w:val="Heading3"/>
      </w:pPr>
      <w:r>
        <w:t xml:space="preserve">3.2 Fluxo operacional</w:t>
      </w:r>
    </w:p>
    <w:p>
      <w:pPr>
        <w:pStyle w:val="Quote"/>
      </w:pPr>
      <w:r>
        <w:t xml:space="preserve">flowchart LR → A[Denunciante acessa canal público] --&gt; B[Registra denúncia anônima ou identificada] → B --&gt; C[Sistema gera protocolo e senha] → C --&gt; D[Encaminhamento ao comitê da classificação] → D --&gt; E[Triagem e investigação interna] → E --&gt; F[Troca de mensagens via protocolo] → F --&gt; G[Encerramento] → G --&gt; H[Retenção LGPD a partir do encerramento]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lang w:val="pt-BR"/>
    </w:rPr>
  </w:style>
  <w:style w:type="paragraph" w:styleId="Heading1">
    <w:name w:val="heading 1"/>
    <w:pPr>
      <w:spacing w:before="240" w:after="120"/>
    </w:pPr>
    <w:rPr>
      <w:b/>
      <w:sz w:val="32"/>
      <w:color w:val="1F3864"/>
    </w:rPr>
  </w:style>
  <w:style w:type="paragraph" w:styleId="Heading2">
    <w:name w:val="heading 2"/>
    <w:pPr>
      <w:spacing w:before="200" w:after="80"/>
    </w:pPr>
    <w:rPr>
      <w:b/>
      <w:sz w:val="26"/>
      <w:color w:val="2E5496"/>
    </w:rPr>
  </w:style>
  <w:style w:type="paragraph" w:styleId="Heading3">
    <w:name w:val="heading 3"/>
    <w:pPr>
      <w:spacing w:before="160" w:after="60"/>
    </w:pPr>
    <w:rPr>
      <w:b/>
      <w:sz w:val="24"/>
    </w:rPr>
  </w:style>
  <w:style w:type="paragraph" w:styleId="Quote">
    <w:name w:val="Quote"/>
    <w:pPr>
      <w:ind w:left="720"/>
      <w:spacing w:before="80" w:after="80"/>
      <w:shd w:val="clear" w:color="auto" w:fill="F2F2F2"/>
    </w:pPr>
    <w:rPr>
      <w:i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