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CONTRATO DE TRABALHO POR OBRA CERTA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Art. 443, §1º e §2º, "a", da CLT c/c Lei nº 2.959/1956 (construção civil)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pessoa jurídica de direito privado, inscrita no CNPJ sob o nº {{ empresa.cnpj }}, com sede em {{ empresa.endereco_completo }}, {{ empresa.municipio }}/{{ empresa.uf }}, doravante denominada EMPREGADOR(A).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nacionalidade {{ empregado.nacionalidade }}, estado civil {{ empregado.estado_civil }}, portador(a) da Carteira de Trabalho nº {{ empregado.ctps_numero }} série {{ empregado.ctps_serie }}, inscrito(a) no CPF sob o nº {{ empregado.cpf }}, residente e domiciliado(a) em {{ empregado.endereco }}, doravante denominado(a) EMPREGADO(A).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Cargo e da Prestação de Serviços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Descrição sumária das atribuições: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extra.descricao_sumaria_das_atribuicoes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Local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extra.local_de_trabalho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horas semanais, de {{ extra.campo_1 }} a {{ extra.campo_2 }}, das {{ extra.campo_3 }}h às {{ extra.h_as }}h, com intervalo de {{ extra.intervalo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Remuneração: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extra.remuneracao }} ({{ extra.remuneracao_2 }}) mensais, pagos até o 5º dia útil do mês subsequente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Obra/serviço a que se vincula o contrato: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extra.obra_servico_a_que_se_vincula_o_contrato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Duração estimada da obra/etapa: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extra.campo_4 }} a {{ extra.dd_mm_aaaa }} (ou até a conclusão da obra/etapa, o que ocorrer primeiro)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é celebrado por prazo determinado, vinculado à execução de serviço certo e específico, qual seja, a obra/etapa identificada acima, cuja natureza transitória justifica a predeterminação de seu prazo, nos termos do art. 443, §1º e §2º, "a",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O contrato vigorará pelo tempo necessário à execução dos serviços contratados, extinguindo-se automaticamente com a conclusão da obra ou da etapa a que o(a) EMPREGADO(A) foi especificamente designado(a), independentemente de aviso prévio.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Em razão da natureza do contrato por obra certa, não incide a multa de 40% do FGTS na hipótese de extinção do contrato pelo término normal da obra ou serviço, ressalvadas as exceções e entendimentos previstos em lei e em normas coletivas da categoria (construção civil).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Havendo rescisão antecipada do contrato, por iniciativa de qualquer das partes, antes da conclusão da obra ou serviço, aplicam-se as regras indenizatórias dos arts. 479 e 480 da CLT, relativas aos contratos por prazo determinado.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O(a) EMPREGADO(A) executará suas atividades no canteiro de obras indicado, observando rigorosamente as normas de segurança do trabalho aplicáveis à construção civil (NR-18), sendo obrigatório o uso dos Equipamentos de Proteção Individual (EPI) fornecidos pelo EMPREGADOR.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O(a) EMPREGADO(A) se compromete a exercer suas funções com zelo, assiduidade, pontualidade e observância das normas internas do EMPREGADOR, do Regulamento Interno (quando existente) e da legislação trabalhista aplicável.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O EMPREGADOR poderá, a seu critério e dentro dos limites legais, alterar as condições de trabalho do(a) EMPREGADO(A), desde que tais alterações não acarretem prejuízos diretos ou indiretos, nos termos do art. 468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8ª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constantes na Consolidação das Leis do Trabalho (CLT), nas convenções e acordos coletivos de trabalho aplicáveis à categoria, e no Regulamento Interno do EMPREGADOR, quando existente.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9ª – </w:t>
      </w:r>
      <w:r>
        <w:rPr>
          <w:rFonts w:ascii="Calibri" w:cs="Calibri" w:eastAsia="Calibri" w:hAnsi="Calibri"/>
          <w:sz w:val="21"/>
          <w:szCs w:val="21"/>
        </w:rPr>
        <w:t>As partes elegem o foro da Comarca de {{ empresa.municipio }}/{{ empresa.uf }} para dirimir quaisquer dúvidas ou controvérsias oriundas do presente contrato.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forma, na presença das testemunhas abaixo.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extra.campo_5 }}   CPF: {{ extra.campo_6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extra.campo_7 }}   CPF: {{ extra.campo_8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POR OBRA CERTA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2026-08-28T10:20:18.382Z</dcterms:created>
  <dcterms:modified xsi:type="dcterms:W3CDTF">2026-08-28T10:20:18.382Z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