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NOTIFICAÇÃO DE SUSPENSÃO DISCIPLINAR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Fundamentação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Tendo em vista a reincidência/gravidade da conduta abaixo descrita, e considerando as advertências anteriormente aplicadas (quando houver), vimos, por meio desta, aplicar-lhe a penalidade de SUSPENSÃO DISCIPLINAR, nos termos do art. 474 da CLT.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{{ extra.campo }}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da suspensão: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de {{ extra.dd_mm_aaaa }} a {{ extra.dd_mm_aaaa_1 }} ({{ extra.dd_mm_aaaa_dd_mm_aaaa }} dias)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retorno ao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extra.data_de_retorno_ao_trabalho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Durante o período de suspensão, o(a) colaborador(a) não deverá comparecer ao trabalho, ficando sem direito à remuneração correspondente aos dias de afastamento, nos termos da legislação vigente. Informamos que a reincidência em conduta semelhante ou a prática de nova falta grave poderá ensejar a rescisão do contrato de trabalho por justa causa.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 estar ciente do teor desta comunicação, esclarecendo que a assinatura abaixo não implica concordância com os fatos narrados, mas tão somente confirma o recebimento e a ciência deste documento.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Liderança Imediata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C9C9C"/>
          <w:sz w:val="16"/>
          <w:szCs w:val="16"/>
        </w:rPr>
        <w:t xml:space="preserve">Caso o(a) empregado(a) se recuse a assinar, colher a assinatura de 2 (duas) testemunhas.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2026-08-28T10:21:45.221Z</dcterms:created>
  <dcterms:modified xsi:type="dcterms:W3CDTF">2026-08-28T10:21:45.221Z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