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CAHIER DE FONCTIONNEMENT ET D’ARCHITECTURE</w:t>
        <w:br/>
      </w:r>
      <w:r>
        <w:rPr>
          <w:b/>
          <w:sz w:val="28"/>
        </w:rPr>
        <w:t>Plateforme numérique de mise en relation et d’intelligence du marché agricole</w:t>
      </w:r>
    </w:p>
    <w:p>
      <w:pPr>
        <w:jc w:val="center"/>
      </w:pPr>
      <w:r>
        <w:rPr>
          <w:i/>
        </w:rPr>
        <w:t>Version 1.0 — Spécification fonctionnelle et technique</w:t>
      </w:r>
    </w:p>
    <w:p>
      <w:pPr>
        <w:pStyle w:val="Heading1"/>
      </w:pPr>
      <w:r>
        <w:t>1. Vision du projet</w:t>
      </w:r>
    </w:p>
    <w:p>
      <w:r>
        <w:t>La plateforme a pour objectif de créer une infrastructure numérique permettant aux entreprises et structures agricoles de présenter leur production, de recevoir et analyser la demande des revendeurs, de planifier la distribution de leurs récoltes et de suivre les commandes et livraisons. La marketplace constitue une couche d’échange ; la valeur stratégique du projet réside dans la structuration des données de production et de demande.</w:t>
      </w:r>
    </w:p>
    <w:p>
      <w:pPr>
        <w:pStyle w:val="Heading1"/>
      </w:pPr>
      <w:r>
        <w:t>2. Acteurs</w:t>
      </w:r>
    </w:p>
    <w:p>
      <w:pPr>
        <w:pStyle w:val="ListBullet"/>
      </w:pPr>
      <w:r>
        <w:rPr>
          <w:b/>
        </w:rPr>
        <w:t xml:space="preserve">Entreprise agricole : </w:t>
      </w:r>
      <w:r>
        <w:t>Déclare ses produits, exploitations, productions et récoltes ; reçoit les demandes ; crée des campagnes ; gère commandes et livraisons.</w:t>
      </w:r>
    </w:p>
    <w:p>
      <w:pPr>
        <w:pStyle w:val="ListBullet"/>
      </w:pPr>
      <w:r>
        <w:rPr>
          <w:b/>
        </w:rPr>
        <w:t xml:space="preserve">Revendeur : </w:t>
      </w:r>
      <w:r>
        <w:t>Recherche des produits, exprime des besoins, reçoit des campagnes, confirme des commandes et valide les livraisons.</w:t>
      </w:r>
    </w:p>
    <w:p>
      <w:pPr>
        <w:pStyle w:val="ListBullet"/>
      </w:pPr>
      <w:r>
        <w:rPr>
          <w:b/>
        </w:rPr>
        <w:t xml:space="preserve">Administrateur : </w:t>
      </w:r>
      <w:r>
        <w:t>Vérifie les entreprises et documents, modère la plateforme, gère les abonnements, supervise les incidents et les données.</w:t>
      </w:r>
    </w:p>
    <w:p>
      <w:pPr>
        <w:pStyle w:val="ListBullet"/>
      </w:pPr>
      <w:r>
        <w:rPr>
          <w:b/>
        </w:rPr>
        <w:t xml:space="preserve">Moteur d’intelligence : </w:t>
      </w:r>
      <w:r>
        <w:t>Agrège les données, produit des statistiques et, lorsque les données sont suffisantes, des prévisions et recommandations.</w:t>
      </w:r>
    </w:p>
    <w:p>
      <w:pPr>
        <w:pStyle w:val="Heading1"/>
      </w:pPr>
      <w:r>
        <w:t>3. Fonctionnement global — de l’inscription à la livraison</w:t>
      </w:r>
    </w:p>
    <w:p>
      <w:r>
        <w:rPr>
          <w:b/>
        </w:rPr>
        <w:t xml:space="preserve">1. Inscription — </w:t>
      </w:r>
      <w:r>
        <w:t>Un utilisateur crée son compte et choisit son type d’acteur.</w:t>
      </w:r>
    </w:p>
    <w:p>
      <w:r>
        <w:rPr>
          <w:b/>
        </w:rPr>
        <w:t xml:space="preserve">2. Création de l’espace entreprise — </w:t>
      </w:r>
      <w:r>
        <w:t>Une entreprise renseigne son profil et transmet ses documents légaux.</w:t>
      </w:r>
    </w:p>
    <w:p>
      <w:r>
        <w:rPr>
          <w:b/>
        </w:rPr>
        <w:t xml:space="preserve">3. Vérification — </w:t>
      </w:r>
      <w:r>
        <w:t>L’administrateur vérifie les documents et attribue un niveau de vérification.</w:t>
      </w:r>
    </w:p>
    <w:p>
      <w:r>
        <w:rPr>
          <w:b/>
        </w:rPr>
        <w:t xml:space="preserve">4. Configuration agricole — </w:t>
      </w:r>
      <w:r>
        <w:t>L’entreprise ajoute ses exploitations, produits et zones d’activité.</w:t>
      </w:r>
    </w:p>
    <w:p>
      <w:r>
        <w:rPr>
          <w:b/>
        </w:rPr>
        <w:t xml:space="preserve">5. Planification / récolte — </w:t>
      </w:r>
      <w:r>
        <w:t>Elle peut déclarer une production prévue puis enregistrer la quantité réellement récoltée.</w:t>
      </w:r>
    </w:p>
    <w:p>
      <w:r>
        <w:rPr>
          <w:b/>
        </w:rPr>
        <w:t xml:space="preserve">6. Création du lot — </w:t>
      </w:r>
      <w:r>
        <w:t>La récolte réelle est structurée en lot traçable avec quantité, qualité et disponibilité.</w:t>
      </w:r>
    </w:p>
    <w:p>
      <w:r>
        <w:rPr>
          <w:b/>
        </w:rPr>
        <w:t xml:space="preserve">7. Expression de la demande — </w:t>
      </w:r>
      <w:r>
        <w:t>Un revendeur recherche un produit et peut créer une demande avec quantité, zone et période souhaitée.</w:t>
      </w:r>
    </w:p>
    <w:p>
      <w:r>
        <w:rPr>
          <w:b/>
        </w:rPr>
        <w:t xml:space="preserve">8. Mise en relation — </w:t>
      </w:r>
      <w:r>
        <w:t>Une même demande peut être adressée à plusieurs entreprises pertinentes, avec une limite initiale recommandée de 5 destinataires simultanés.</w:t>
      </w:r>
    </w:p>
    <w:p>
      <w:r>
        <w:rPr>
          <w:b/>
        </w:rPr>
        <w:t xml:space="preserve">9. Analyse de la demande — </w:t>
      </w:r>
      <w:r>
        <w:t>Les entreprises voient les demandes qui leur sont adressées et les volumes agrégés utiles à leur décision.</w:t>
      </w:r>
    </w:p>
    <w:p>
      <w:r>
        <w:rPr>
          <w:b/>
        </w:rPr>
        <w:t xml:space="preserve">10. Campagne commerciale — </w:t>
      </w:r>
      <w:r>
        <w:t>L’entreprise décide de servir une zone et crée une campagne avec quantité disponible, prix et conditions.</w:t>
      </w:r>
    </w:p>
    <w:p>
      <w:r>
        <w:rPr>
          <w:b/>
        </w:rPr>
        <w:t xml:space="preserve">11. Commande — </w:t>
      </w:r>
      <w:r>
        <w:t>Le revendeur intéressé confirme une quantité. Une réservation de stock est effectuée.</w:t>
      </w:r>
    </w:p>
    <w:p>
      <w:r>
        <w:rPr>
          <w:b/>
        </w:rPr>
        <w:t xml:space="preserve">12. Préparation et livraison — </w:t>
      </w:r>
      <w:r>
        <w:t>La commande peut être livrée en une ou plusieurs fois, avec possibilité de livraison partielle.</w:t>
      </w:r>
    </w:p>
    <w:p>
      <w:r>
        <w:rPr>
          <w:b/>
        </w:rPr>
        <w:t xml:space="preserve">13. Confirmation QR — </w:t>
      </w:r>
      <w:r>
        <w:t>Le QR code sert d’identifiant sécurisé de la commande ; le scan permet de retrouver la commande et de confirmer la livraison.</w:t>
      </w:r>
    </w:p>
    <w:p>
      <w:r>
        <w:rPr>
          <w:b/>
        </w:rPr>
        <w:t xml:space="preserve">14. Évaluation — </w:t>
      </w:r>
      <w:r>
        <w:t>Après une transaction réelle, les parties peuvent évaluer la qualité, la ponctualité, les quantités et la fiabilité.</w:t>
      </w:r>
    </w:p>
    <w:p>
      <w:r>
        <w:rPr>
          <w:b/>
        </w:rPr>
        <w:t xml:space="preserve">15. Statistiques — </w:t>
      </w:r>
      <w:r>
        <w:t>Les données historiques alimentent les tableaux de bord et les analyses.</w:t>
      </w:r>
    </w:p>
    <w:p>
      <w:r>
        <w:rPr>
          <w:b/>
        </w:rPr>
        <w:t xml:space="preserve">16. Prévision — </w:t>
      </w:r>
      <w:r>
        <w:t>Le moteur de prévision est activé progressivement uniquement lorsqu’un produit/zone dispose d’un historique et d’un volume suffisants.</w:t>
      </w:r>
    </w:p>
    <w:p>
      <w:pPr>
        <w:pStyle w:val="Heading1"/>
      </w:pPr>
      <w:r>
        <w:t>4. Cycle de vie d’une demande</w:t>
      </w:r>
    </w:p>
    <w:p>
      <w:r>
        <w:t>Une demande représente l’expression d’un besoin du revendeur. Elle n’est pas une commande et ne constitue pas, à elle seule, un engagement définitif d’achat.</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État</w:t>
            </w:r>
          </w:p>
        </w:tc>
        <w:tc>
          <w:tcPr>
            <w:tcW w:type="dxa" w:w="3312"/>
          </w:tcPr>
          <w:p>
            <w:r>
              <w:t>Signification</w:t>
            </w:r>
          </w:p>
        </w:tc>
        <w:tc>
          <w:tcPr>
            <w:tcW w:type="dxa" w:w="3312"/>
          </w:tcPr>
          <w:p>
            <w:r>
              <w:t>Effet sur quota</w:t>
            </w:r>
          </w:p>
        </w:tc>
      </w:tr>
      <w:tr>
        <w:tc>
          <w:tcPr>
            <w:tcW w:type="dxa" w:w="3312"/>
          </w:tcPr>
          <w:p>
            <w:r>
              <w:t>ACTIVE</w:t>
            </w:r>
          </w:p>
        </w:tc>
        <w:tc>
          <w:tcPr>
            <w:tcW w:type="dxa" w:w="3312"/>
          </w:tcPr>
          <w:p>
            <w:r>
              <w:t>La demande est en cours de traitement par la société.</w:t>
            </w:r>
          </w:p>
        </w:tc>
        <w:tc>
          <w:tcPr>
            <w:tcW w:type="dxa" w:w="3312"/>
          </w:tcPr>
          <w:p>
            <w:r>
              <w:t>Consomme 1 unité de quota pour cette société.</w:t>
            </w:r>
          </w:p>
        </w:tc>
      </w:tr>
      <w:tr>
        <w:tc>
          <w:tcPr>
            <w:tcW w:type="dxa" w:w="3312"/>
          </w:tcPr>
          <w:p>
            <w:r>
              <w:t>REJECTED</w:t>
            </w:r>
          </w:p>
        </w:tc>
        <w:tc>
          <w:tcPr>
            <w:tcW w:type="dxa" w:w="3312"/>
          </w:tcPr>
          <w:p>
            <w:r>
              <w:t>La société refuse la demande.</w:t>
            </w:r>
          </w:p>
        </w:tc>
        <w:tc>
          <w:tcPr>
            <w:tcW w:type="dxa" w:w="3312"/>
          </w:tcPr>
          <w:p>
            <w:r>
              <w:t>Libère le quota.</w:t>
            </w:r>
          </w:p>
        </w:tc>
      </w:tr>
      <w:tr>
        <w:tc>
          <w:tcPr>
            <w:tcW w:type="dxa" w:w="3312"/>
          </w:tcPr>
          <w:p>
            <w:r>
              <w:t>CANCELLED</w:t>
            </w:r>
          </w:p>
        </w:tc>
        <w:tc>
          <w:tcPr>
            <w:tcW w:type="dxa" w:w="3312"/>
          </w:tcPr>
          <w:p>
            <w:r>
              <w:t>Le revendeur annule avant commande.</w:t>
            </w:r>
          </w:p>
        </w:tc>
        <w:tc>
          <w:tcPr>
            <w:tcW w:type="dxa" w:w="3312"/>
          </w:tcPr>
          <w:p>
            <w:r>
              <w:t>Libère le quota.</w:t>
            </w:r>
          </w:p>
        </w:tc>
      </w:tr>
      <w:tr>
        <w:tc>
          <w:tcPr>
            <w:tcW w:type="dxa" w:w="3312"/>
          </w:tcPr>
          <w:p>
            <w:r>
              <w:t>EXPIRED</w:t>
            </w:r>
          </w:p>
        </w:tc>
        <w:tc>
          <w:tcPr>
            <w:tcW w:type="dxa" w:w="3312"/>
          </w:tcPr>
          <w:p>
            <w:r>
              <w:t>La demande arrive à expiration sans suite.</w:t>
            </w:r>
          </w:p>
        </w:tc>
        <w:tc>
          <w:tcPr>
            <w:tcW w:type="dxa" w:w="3312"/>
          </w:tcPr>
          <w:p>
            <w:r>
              <w:t>Libère le quota.</w:t>
            </w:r>
          </w:p>
        </w:tc>
      </w:tr>
      <w:tr>
        <w:tc>
          <w:tcPr>
            <w:tcW w:type="dxa" w:w="3312"/>
          </w:tcPr>
          <w:p>
            <w:r>
              <w:t>CONVERTED_TO_ORDER</w:t>
            </w:r>
          </w:p>
        </w:tc>
        <w:tc>
          <w:tcPr>
            <w:tcW w:type="dxa" w:w="3312"/>
          </w:tcPr>
          <w:p>
            <w:r>
              <w:t>La demande a abouti à une commande.</w:t>
            </w:r>
          </w:p>
        </w:tc>
        <w:tc>
          <w:tcPr>
            <w:tcW w:type="dxa" w:w="3312"/>
          </w:tcPr>
          <w:p>
            <w:r>
              <w:t>Libère le quota ; la commande possède son propre cycle.</w:t>
            </w:r>
          </w:p>
        </w:tc>
      </w:tr>
    </w:tbl>
    <w:p>
      <w:pPr>
        <w:pStyle w:val="Heading1"/>
      </w:pPr>
      <w:r>
        <w:t>5. Système d’abonnement et de quotas</w:t>
      </w:r>
    </w:p>
    <w:p>
      <w:r>
        <w:t>Une nouvelle entreprise bénéficie de 3 mois gratuits. Après l’essai, deux offres sont prévues :</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Plan</w:t>
            </w:r>
          </w:p>
        </w:tc>
        <w:tc>
          <w:tcPr>
            <w:tcW w:type="dxa" w:w="2484"/>
          </w:tcPr>
          <w:p>
            <w:r>
              <w:t>Prix</w:t>
            </w:r>
          </w:p>
        </w:tc>
        <w:tc>
          <w:tcPr>
            <w:tcW w:type="dxa" w:w="2484"/>
          </w:tcPr>
          <w:p>
            <w:r>
              <w:t>Demandes actives</w:t>
            </w:r>
          </w:p>
        </w:tc>
        <w:tc>
          <w:tcPr>
            <w:tcW w:type="dxa" w:w="2484"/>
          </w:tcPr>
          <w:p>
            <w:r>
              <w:t>Intelligence</w:t>
            </w:r>
          </w:p>
        </w:tc>
      </w:tr>
      <w:tr>
        <w:tc>
          <w:tcPr>
            <w:tcW w:type="dxa" w:w="2484"/>
          </w:tcPr>
          <w:p>
            <w:r>
              <w:t>Starter</w:t>
            </w:r>
          </w:p>
        </w:tc>
        <w:tc>
          <w:tcPr>
            <w:tcW w:type="dxa" w:w="2484"/>
          </w:tcPr>
          <w:p>
            <w:r>
              <w:t>30 $/mois</w:t>
            </w:r>
          </w:p>
        </w:tc>
        <w:tc>
          <w:tcPr>
            <w:tcW w:type="dxa" w:w="2484"/>
          </w:tcPr>
          <w:p>
            <w:r>
              <w:t>500 maximum simultanément</w:t>
            </w:r>
          </w:p>
        </w:tc>
        <w:tc>
          <w:tcPr>
            <w:tcW w:type="dxa" w:w="2484"/>
          </w:tcPr>
          <w:p>
            <w:r>
              <w:t>Statistiques et analyses de base</w:t>
            </w:r>
          </w:p>
        </w:tc>
      </w:tr>
      <w:tr>
        <w:tc>
          <w:tcPr>
            <w:tcW w:type="dxa" w:w="2484"/>
          </w:tcPr>
          <w:p>
            <w:r>
              <w:t>Business</w:t>
            </w:r>
          </w:p>
        </w:tc>
        <w:tc>
          <w:tcPr>
            <w:tcW w:type="dxa" w:w="2484"/>
          </w:tcPr>
          <w:p>
            <w:r>
              <w:t>100 $/mois</w:t>
            </w:r>
          </w:p>
        </w:tc>
        <w:tc>
          <w:tcPr>
            <w:tcW w:type="dxa" w:w="2484"/>
          </w:tcPr>
          <w:p>
            <w:r>
              <w:t>Illimité</w:t>
            </w:r>
          </w:p>
        </w:tc>
        <w:tc>
          <w:tcPr>
            <w:tcW w:type="dxa" w:w="2484"/>
          </w:tcPr>
          <w:p>
            <w:r>
              <w:t>Statistiques avancées + prévision/recommandations lorsque les données le permettent</w:t>
            </w:r>
          </w:p>
        </w:tc>
      </w:tr>
    </w:tbl>
    <w:p>
      <w:r>
        <w:t>Le quota de 500 est une capacité opérationnelle et non un compteur historique. Une demande ne doit donc pas consommer définitivement une place. Elle consomme une place pendant sa phase active puis libère cette place lorsqu’elle est rejetée, annulée, expirée ou convertie en commande.</w:t>
      </w:r>
    </w:p>
    <w:p>
      <w:pPr>
        <w:pStyle w:val="Heading1"/>
      </w:pPr>
      <w:r>
        <w:t>6. Différence entre demande, campagne, commande et livraison</w:t>
      </w:r>
    </w:p>
    <w:p>
      <w:pPr>
        <w:pStyle w:val="ListBullet"/>
      </w:pPr>
      <w:r>
        <w:rPr>
          <w:b/>
        </w:rPr>
        <w:t xml:space="preserve">Demande : </w:t>
      </w:r>
      <w:r>
        <w:t>« Je recherche 20 tonnes de maïs à Kinshasa. »</w:t>
      </w:r>
    </w:p>
    <w:p>
      <w:pPr>
        <w:pStyle w:val="ListBullet"/>
      </w:pPr>
      <w:r>
        <w:rPr>
          <w:b/>
        </w:rPr>
        <w:t xml:space="preserve">Campagne : </w:t>
      </w:r>
      <w:r>
        <w:t>« Je mets 100 tonnes de maïs à disposition pour Kinshasa, au prix de X. »</w:t>
      </w:r>
    </w:p>
    <w:p>
      <w:pPr>
        <w:pStyle w:val="ListBullet"/>
      </w:pPr>
      <w:r>
        <w:rPr>
          <w:b/>
        </w:rPr>
        <w:t xml:space="preserve">Commande : </w:t>
      </w:r>
      <w:r>
        <w:t>Le revendeur confirme une quantité précise sur une campagne.</w:t>
      </w:r>
    </w:p>
    <w:p>
      <w:pPr>
        <w:pStyle w:val="ListBullet"/>
      </w:pPr>
      <w:r>
        <w:rPr>
          <w:b/>
        </w:rPr>
        <w:t xml:space="preserve">Livraison : </w:t>
      </w:r>
      <w:r>
        <w:t>La quantité réellement remise au revendeur. Une commande peut avoir plusieurs livraisons.</w:t>
      </w:r>
    </w:p>
    <w:p>
      <w:pPr>
        <w:pStyle w:val="Heading1"/>
      </w:pPr>
      <w:r>
        <w:t>7. Réservation et prévention de la double réservation</w:t>
      </w:r>
    </w:p>
    <w:p>
      <w:r>
        <w:t>Le stock doit distinguer quantité totale, quantité réservée et quantité disponible. Une réservation est validée dans une transaction protégée : le système verrouille la ligne de stock/lot, vérifie la disponibilité, enregistre la réservation puis valide l’opération. Si la quantité disponible est insuffisante, la réservation est refusée.</w:t>
      </w:r>
    </w:p>
    <w:p>
      <w:r>
        <w:t>Formule : Quantité disponible = Quantité totale affectée au lot/campagne − Quantité réservée.</w:t>
      </w:r>
    </w:p>
    <w:p>
      <w:pPr>
        <w:pStyle w:val="Heading1"/>
      </w:pPr>
      <w:r>
        <w:t>8. Répartition d’un lot entre plusieurs campagnes</w:t>
      </w:r>
    </w:p>
    <w:p>
      <w:r>
        <w:t>Un lot représente une quantité réellement récoltée. Il peut être réparti entre plusieurs campagnes. La somme des allocations ne peut jamais dépasser la quantité disponible du lot.</w:t>
      </w:r>
    </w:p>
    <w:p>
      <w:r>
        <w:t>Exemple : lot de 1 000 t → Kinshasa 400 t + Kongo-Central 300 t + Kwilu 200 t + autre zone 100 t = 1 000 t.</w:t>
      </w:r>
    </w:p>
    <w:p>
      <w:pPr>
        <w:pStyle w:val="Heading1"/>
      </w:pPr>
      <w:r>
        <w:t>9. Commandes et livraisons partielles</w:t>
      </w:r>
    </w:p>
    <w:p>
      <w:r>
        <w:t>La quantité commandée est conservée et ne doit jamais être écrasée par la quantité livrée. Une commande de 40 t peut donc avoir une livraison de 35 t et conserver 5 t restantes. Une commande peut également comporter plusieurs livraisons successives.</w:t>
      </w:r>
    </w:p>
    <w:p>
      <w:r>
        <w:t>Exemple : commande 100 t → livraison 30 t + 40 t + 30 t = 100 t.</w:t>
      </w:r>
    </w:p>
    <w:p>
      <w:pPr>
        <w:pStyle w:val="Heading1"/>
      </w:pPr>
      <w:r>
        <w:t>10. Annulation</w:t>
      </w:r>
    </w:p>
    <w:p>
      <w:pPr>
        <w:pStyle w:val="ListBullet"/>
      </w:pPr>
      <w:r>
        <w:t>Le revendeur peut annuler une demande tant qu’elle n’est pas transformée en commande.</w:t>
      </w:r>
    </w:p>
    <w:p>
      <w:pPr>
        <w:pStyle w:val="ListBullet"/>
      </w:pPr>
      <w:r>
        <w:t>Une commande peut être annulée selon son état : avant préparation, l’annulation peut être directe ; après préparation, une demande d’annulation peut nécessiter l’intervention de la société.</w:t>
      </w:r>
    </w:p>
    <w:p>
      <w:pPr>
        <w:pStyle w:val="ListBullet"/>
      </w:pPr>
      <w:r>
        <w:t>Une commande déjà livrée ne peut pas être simplement annulée ; elle peut faire l’objet d’une réclamation ou d’un litige.</w:t>
      </w:r>
    </w:p>
    <w:p>
      <w:pPr>
        <w:pStyle w:val="Heading1"/>
      </w:pPr>
      <w:r>
        <w:t>11. Fiabilité et réputation</w:t>
      </w:r>
    </w:p>
    <w:p>
      <w:r>
        <w:t>Le score de fiabilité est proposé sur 100 et repose uniquement sur des transactions réelles.</w:t>
      </w:r>
    </w:p>
    <w:tbl>
      <w:tblPr>
        <w:tblStyle w:val="TableGrid"/>
        <w:tblW w:type="auto" w:w="0"/>
        <w:tblLook w:firstColumn="1" w:firstRow="1" w:lastColumn="0" w:lastRow="0" w:noHBand="0" w:noVBand="1" w:val="04A0"/>
      </w:tblPr>
      <w:tblGrid>
        <w:gridCol w:w="4968"/>
        <w:gridCol w:w="4968"/>
      </w:tblGrid>
      <w:tr>
        <w:tc>
          <w:tcPr>
            <w:tcW w:type="dxa" w:w="4968"/>
          </w:tcPr>
          <w:p>
            <w:r>
              <w:t>Composante</w:t>
            </w:r>
          </w:p>
        </w:tc>
        <w:tc>
          <w:tcPr>
            <w:tcW w:type="dxa" w:w="4968"/>
          </w:tcPr>
          <w:p>
            <w:r>
              <w:t>Poids initial</w:t>
            </w:r>
          </w:p>
        </w:tc>
      </w:tr>
      <w:tr>
        <w:tc>
          <w:tcPr>
            <w:tcW w:type="dxa" w:w="4968"/>
          </w:tcPr>
          <w:p>
            <w:r>
              <w:t>Respect des quantités promises</w:t>
            </w:r>
          </w:p>
        </w:tc>
        <w:tc>
          <w:tcPr>
            <w:tcW w:type="dxa" w:w="4968"/>
          </w:tcPr>
          <w:p>
            <w:r>
              <w:t>30 %</w:t>
            </w:r>
          </w:p>
        </w:tc>
      </w:tr>
      <w:tr>
        <w:tc>
          <w:tcPr>
            <w:tcW w:type="dxa" w:w="4968"/>
          </w:tcPr>
          <w:p>
            <w:r>
              <w:t>Ponctualité</w:t>
            </w:r>
          </w:p>
        </w:tc>
        <w:tc>
          <w:tcPr>
            <w:tcW w:type="dxa" w:w="4968"/>
          </w:tcPr>
          <w:p>
            <w:r>
              <w:t>25 %</w:t>
            </w:r>
          </w:p>
        </w:tc>
      </w:tr>
      <w:tr>
        <w:tc>
          <w:tcPr>
            <w:tcW w:type="dxa" w:w="4968"/>
          </w:tcPr>
          <w:p>
            <w:r>
              <w:t>Annulations</w:t>
            </w:r>
          </w:p>
        </w:tc>
        <w:tc>
          <w:tcPr>
            <w:tcW w:type="dxa" w:w="4968"/>
          </w:tcPr>
          <w:p>
            <w:r>
              <w:t>20 %</w:t>
            </w:r>
          </w:p>
        </w:tc>
      </w:tr>
      <w:tr>
        <w:tc>
          <w:tcPr>
            <w:tcW w:type="dxa" w:w="4968"/>
          </w:tcPr>
          <w:p>
            <w:r>
              <w:t>Qualité</w:t>
            </w:r>
          </w:p>
        </w:tc>
        <w:tc>
          <w:tcPr>
            <w:tcW w:type="dxa" w:w="4968"/>
          </w:tcPr>
          <w:p>
            <w:r>
              <w:t>15 %</w:t>
            </w:r>
          </w:p>
        </w:tc>
      </w:tr>
      <w:tr>
        <w:tc>
          <w:tcPr>
            <w:tcW w:type="dxa" w:w="4968"/>
          </w:tcPr>
          <w:p>
            <w:r>
              <w:t>Satisfaction générale</w:t>
            </w:r>
          </w:p>
        </w:tc>
        <w:tc>
          <w:tcPr>
            <w:tcW w:type="dxa" w:w="4968"/>
          </w:tcPr>
          <w:p>
            <w:r>
              <w:t>10 %</w:t>
            </w:r>
          </w:p>
        </w:tc>
      </w:tr>
    </w:tbl>
    <w:p>
      <w:r>
        <w:t>Ces pondérations constituent une base V1 et pourront être calibrées après observation des premières transactions. Une nouvelle société n’a pas automatiquement une mauvaise note : elle est affichée comme « non évaluée » jusqu’à disposer d’un historique suffisant. Le même principe peut être appliqué aux revendeurs.</w:t>
      </w:r>
    </w:p>
    <w:p>
      <w:pPr>
        <w:pStyle w:val="Heading1"/>
      </w:pPr>
      <w:r>
        <w:t>12. Données publiques et privées</w:t>
      </w:r>
    </w:p>
    <w:tbl>
      <w:tblPr>
        <w:tblStyle w:val="TableGrid"/>
        <w:tblW w:type="auto" w:w="0"/>
        <w:tblLook w:firstColumn="1" w:firstRow="1" w:lastColumn="0" w:lastRow="0" w:noHBand="0" w:noVBand="1" w:val="04A0"/>
      </w:tblPr>
      <w:tblGrid>
        <w:gridCol w:w="4968"/>
        <w:gridCol w:w="4968"/>
      </w:tblGrid>
      <w:tr>
        <w:tc>
          <w:tcPr>
            <w:tcW w:type="dxa" w:w="4968"/>
          </w:tcPr>
          <w:p>
            <w:r>
              <w:t>Données publiques</w:t>
            </w:r>
          </w:p>
        </w:tc>
        <w:tc>
          <w:tcPr>
            <w:tcW w:type="dxa" w:w="4968"/>
          </w:tcPr>
          <w:p>
            <w:r>
              <w:t>Données privées</w:t>
            </w:r>
          </w:p>
        </w:tc>
      </w:tr>
      <w:tr>
        <w:tc>
          <w:tcPr>
            <w:tcW w:type="dxa" w:w="4968"/>
          </w:tcPr>
          <w:p>
            <w:r>
              <w:t>Nom, logo, description</w:t>
            </w:r>
          </w:p>
        </w:tc>
        <w:tc>
          <w:tcPr>
            <w:tcW w:type="dxa" w:w="4968"/>
          </w:tcPr>
          <w:p>
            <w:r>
              <w:t>RCCM et pièces justificatives</w:t>
            </w:r>
          </w:p>
        </w:tc>
      </w:tr>
      <w:tr>
        <w:tc>
          <w:tcPr>
            <w:tcW w:type="dxa" w:w="4968"/>
          </w:tcPr>
          <w:p>
            <w:r>
              <w:t>Produits et zones desservies</w:t>
            </w:r>
          </w:p>
        </w:tc>
        <w:tc>
          <w:tcPr>
            <w:tcW w:type="dxa" w:w="4968"/>
          </w:tcPr>
          <w:p>
            <w:r>
              <w:t>Données internes détaillées</w:t>
            </w:r>
          </w:p>
        </w:tc>
      </w:tr>
      <w:tr>
        <w:tc>
          <w:tcPr>
            <w:tcW w:type="dxa" w:w="4968"/>
          </w:tcPr>
          <w:p>
            <w:r>
              <w:t>Statut/niveau de vérification</w:t>
            </w:r>
          </w:p>
        </w:tc>
        <w:tc>
          <w:tcPr>
            <w:tcW w:type="dxa" w:w="4968"/>
          </w:tcPr>
          <w:p>
            <w:r>
              <w:t>Données financières et coûts</w:t>
            </w:r>
          </w:p>
        </w:tc>
      </w:tr>
      <w:tr>
        <w:tc>
          <w:tcPr>
            <w:tcW w:type="dxa" w:w="4968"/>
          </w:tcPr>
          <w:p>
            <w:r>
              <w:t>Campagnes publiques</w:t>
            </w:r>
          </w:p>
        </w:tc>
        <w:tc>
          <w:tcPr>
            <w:tcW w:type="dxa" w:w="4968"/>
          </w:tcPr>
          <w:p>
            <w:r>
              <w:t>Historique commercial complet</w:t>
            </w:r>
          </w:p>
        </w:tc>
      </w:tr>
      <w:tr>
        <w:tc>
          <w:tcPr>
            <w:tcW w:type="dxa" w:w="4968"/>
          </w:tcPr>
          <w:p>
            <w:r>
              <w:t>Score et statistiques publiques sélectionnées</w:t>
            </w:r>
          </w:p>
        </w:tc>
        <w:tc>
          <w:tcPr>
            <w:tcW w:type="dxa" w:w="4968"/>
          </w:tcPr>
          <w:p>
            <w:r>
              <w:t>Demandes détaillées non destinées au public</w:t>
            </w:r>
          </w:p>
        </w:tc>
      </w:tr>
    </w:tbl>
    <w:p>
      <w:r>
        <w:t>Les données privées doivent être protégées au niveau de la base de données. Avec Supabase/PostgreSQL, Row Level Security (RLS) permet d'appliquer des politiques d’accès par ligne ; les clés secrètes/service role doivent rester côté serveur. La documentation Supabase recommande RLS sur les tables exposées. citeturn0search0turn0search3</w:t>
      </w:r>
    </w:p>
    <w:p>
      <w:pPr>
        <w:pStyle w:val="Heading1"/>
      </w:pPr>
      <w:r>
        <w:t>13. Statistiques et intelligence</w:t>
      </w:r>
    </w:p>
    <w:p>
      <w:pPr>
        <w:pStyle w:val="ListBullet"/>
      </w:pPr>
      <w:r>
        <w:rPr>
          <w:b/>
        </w:rPr>
        <w:t xml:space="preserve">Niveau 1 — descriptif : </w:t>
      </w:r>
      <w:r>
        <w:t>Volumes demandés, volumes commandés, volumes livrés, taux de livraison, évolution mensuelle, zones de forte demande.</w:t>
      </w:r>
    </w:p>
    <w:p>
      <w:pPr>
        <w:pStyle w:val="ListBullet"/>
      </w:pPr>
      <w:r>
        <w:rPr>
          <w:b/>
        </w:rPr>
        <w:t xml:space="preserve">Niveau 2 — analytique : </w:t>
      </w:r>
      <w:r>
        <w:t>Tendances, saisonnalité observée, écarts entre demande et offre, performance par zone et produit.</w:t>
      </w:r>
    </w:p>
    <w:p>
      <w:pPr>
        <w:pStyle w:val="ListBullet"/>
      </w:pPr>
      <w:r>
        <w:rPr>
          <w:b/>
        </w:rPr>
        <w:t xml:space="preserve">Niveau 3 — prévision : </w:t>
      </w:r>
      <w:r>
        <w:t>Fourchette de demande future avec niveau de confiance et recommandations lorsque les données sont suffisantes.</w:t>
      </w:r>
    </w:p>
    <w:p>
      <w:r>
        <w:t>Le moteur de prévision n’est pas activé simplement parce qu’un nombre arbitraire de demandes est atteint. La V1 recommande au minimum environ 6 mois d’historique, un volume d’observations significatif et une activité répartie dans le temps. Une cible de 12 à 24 mois est préférable pour les phénomènes saisonniers. Les seuils exacts seront calibrés après collecte des premières données.</w:t>
      </w:r>
    </w:p>
    <w:p>
      <w:r>
        <w:t>Le système doit pouvoir afficher « données insuffisantes » plutôt que produire une prévision artificiellement précise.</w:t>
      </w:r>
    </w:p>
    <w:p>
      <w:pPr>
        <w:pStyle w:val="Heading1"/>
      </w:pPr>
      <w:r>
        <w:t>14. Notifications</w:t>
      </w:r>
    </w:p>
    <w:p>
      <w:r>
        <w:t>La plateforme étant lancée comme application web, les notifications doivent être multicanales. Le canal principal recommandé pour la V1 est l’e-mail, complété progressivement par WhatsApp pour les événements importants.</w:t>
      </w:r>
    </w:p>
    <w:tbl>
      <w:tblPr>
        <w:tblStyle w:val="TableGrid"/>
        <w:tblW w:type="auto" w:w="0"/>
        <w:tblLook w:firstColumn="1" w:firstRow="1" w:lastColumn="0" w:lastRow="0" w:noHBand="0" w:noVBand="1" w:val="04A0"/>
      </w:tblPr>
      <w:tblGrid>
        <w:gridCol w:w="3312"/>
        <w:gridCol w:w="3312"/>
        <w:gridCol w:w="3312"/>
      </w:tblGrid>
      <w:tr>
        <w:tc>
          <w:tcPr>
            <w:tcW w:type="dxa" w:w="3312"/>
          </w:tcPr>
          <w:p>
            <w:r>
              <w:t>Événement</w:t>
            </w:r>
          </w:p>
        </w:tc>
        <w:tc>
          <w:tcPr>
            <w:tcW w:type="dxa" w:w="3312"/>
          </w:tcPr>
          <w:p>
            <w:r>
              <w:t>E-mail</w:t>
            </w:r>
          </w:p>
        </w:tc>
        <w:tc>
          <w:tcPr>
            <w:tcW w:type="dxa" w:w="3312"/>
          </w:tcPr>
          <w:p>
            <w:r>
              <w:t>WhatsApp</w:t>
            </w:r>
          </w:p>
        </w:tc>
      </w:tr>
      <w:tr>
        <w:tc>
          <w:tcPr>
            <w:tcW w:type="dxa" w:w="3312"/>
          </w:tcPr>
          <w:p>
            <w:r>
              <w:t>Nouvelle demande pertinente</w:t>
            </w:r>
          </w:p>
        </w:tc>
        <w:tc>
          <w:tcPr>
            <w:tcW w:type="dxa" w:w="3312"/>
          </w:tcPr>
          <w:p>
            <w:r>
              <w:t>Oui</w:t>
            </w:r>
          </w:p>
        </w:tc>
        <w:tc>
          <w:tcPr>
            <w:tcW w:type="dxa" w:w="3312"/>
          </w:tcPr>
          <w:p>
            <w:r>
              <w:t>Optionnel</w:t>
            </w:r>
          </w:p>
        </w:tc>
      </w:tr>
      <w:tr>
        <w:tc>
          <w:tcPr>
            <w:tcW w:type="dxa" w:w="3312"/>
          </w:tcPr>
          <w:p>
            <w:r>
              <w:t>Réponse à une demande</w:t>
            </w:r>
          </w:p>
        </w:tc>
        <w:tc>
          <w:tcPr>
            <w:tcW w:type="dxa" w:w="3312"/>
          </w:tcPr>
          <w:p>
            <w:r>
              <w:t>Oui</w:t>
            </w:r>
          </w:p>
        </w:tc>
        <w:tc>
          <w:tcPr>
            <w:tcW w:type="dxa" w:w="3312"/>
          </w:tcPr>
          <w:p>
            <w:r>
              <w:t>Oui, événement important</w:t>
            </w:r>
          </w:p>
        </w:tc>
      </w:tr>
      <w:tr>
        <w:tc>
          <w:tcPr>
            <w:tcW w:type="dxa" w:w="3312"/>
          </w:tcPr>
          <w:p>
            <w:r>
              <w:t>Nouvelle campagne correspondant au besoin</w:t>
            </w:r>
          </w:p>
        </w:tc>
        <w:tc>
          <w:tcPr>
            <w:tcW w:type="dxa" w:w="3312"/>
          </w:tcPr>
          <w:p>
            <w:r>
              <w:t>Oui</w:t>
            </w:r>
          </w:p>
        </w:tc>
        <w:tc>
          <w:tcPr>
            <w:tcW w:type="dxa" w:w="3312"/>
          </w:tcPr>
          <w:p>
            <w:r>
              <w:t>Oui</w:t>
            </w:r>
          </w:p>
        </w:tc>
      </w:tr>
      <w:tr>
        <w:tc>
          <w:tcPr>
            <w:tcW w:type="dxa" w:w="3312"/>
          </w:tcPr>
          <w:p>
            <w:r>
              <w:t>Commande confirmée</w:t>
            </w:r>
          </w:p>
        </w:tc>
        <w:tc>
          <w:tcPr>
            <w:tcW w:type="dxa" w:w="3312"/>
          </w:tcPr>
          <w:p>
            <w:r>
              <w:t>Oui</w:t>
            </w:r>
          </w:p>
        </w:tc>
        <w:tc>
          <w:tcPr>
            <w:tcW w:type="dxa" w:w="3312"/>
          </w:tcPr>
          <w:p>
            <w:r>
              <w:t>Oui</w:t>
            </w:r>
          </w:p>
        </w:tc>
      </w:tr>
      <w:tr>
        <w:tc>
          <w:tcPr>
            <w:tcW w:type="dxa" w:w="3312"/>
          </w:tcPr>
          <w:p>
            <w:r>
              <w:t>Changement de statut de livraison</w:t>
            </w:r>
          </w:p>
        </w:tc>
        <w:tc>
          <w:tcPr>
            <w:tcW w:type="dxa" w:w="3312"/>
          </w:tcPr>
          <w:p>
            <w:r>
              <w:t>Oui</w:t>
            </w:r>
          </w:p>
        </w:tc>
        <w:tc>
          <w:tcPr>
            <w:tcW w:type="dxa" w:w="3312"/>
          </w:tcPr>
          <w:p>
            <w:r>
              <w:t>Oui</w:t>
            </w:r>
          </w:p>
        </w:tc>
      </w:tr>
      <w:tr>
        <w:tc>
          <w:tcPr>
            <w:tcW w:type="dxa" w:w="3312"/>
          </w:tcPr>
          <w:p>
            <w:r>
              <w:t>QR / retrait / arrivée</w:t>
            </w:r>
          </w:p>
        </w:tc>
        <w:tc>
          <w:tcPr>
            <w:tcW w:type="dxa" w:w="3312"/>
          </w:tcPr>
          <w:p>
            <w:r>
              <w:t>Oui</w:t>
            </w:r>
          </w:p>
        </w:tc>
        <w:tc>
          <w:tcPr>
            <w:tcW w:type="dxa" w:w="3312"/>
          </w:tcPr>
          <w:p>
            <w:r>
              <w:t>Oui</w:t>
            </w:r>
          </w:p>
        </w:tc>
      </w:tr>
      <w:tr>
        <w:tc>
          <w:tcPr>
            <w:tcW w:type="dxa" w:w="3312"/>
          </w:tcPr>
          <w:p>
            <w:r>
              <w:t>Expiration d’une demande</w:t>
            </w:r>
          </w:p>
        </w:tc>
        <w:tc>
          <w:tcPr>
            <w:tcW w:type="dxa" w:w="3312"/>
          </w:tcPr>
          <w:p>
            <w:r>
              <w:t>Oui</w:t>
            </w:r>
          </w:p>
        </w:tc>
        <w:tc>
          <w:tcPr>
            <w:tcW w:type="dxa" w:w="3312"/>
          </w:tcPr>
          <w:p>
            <w:r>
              <w:t>Optionnel</w:t>
            </w:r>
          </w:p>
        </w:tc>
      </w:tr>
      <w:tr>
        <w:tc>
          <w:tcPr>
            <w:tcW w:type="dxa" w:w="3312"/>
          </w:tcPr>
          <w:p>
            <w:r>
              <w:t>Facturation / abonnement</w:t>
            </w:r>
          </w:p>
        </w:tc>
        <w:tc>
          <w:tcPr>
            <w:tcW w:type="dxa" w:w="3312"/>
          </w:tcPr>
          <w:p>
            <w:r>
              <w:t>Oui</w:t>
            </w:r>
          </w:p>
        </w:tc>
        <w:tc>
          <w:tcPr>
            <w:tcW w:type="dxa" w:w="3312"/>
          </w:tcPr>
          <w:p>
            <w:r>
              <w:t>Optionnel</w:t>
            </w:r>
          </w:p>
        </w:tc>
      </w:tr>
    </w:tbl>
    <w:p>
      <w:r>
        <w:t>Le site doit également disposer d’un centre de notifications interne. L’e-mail et WhatsApp ne remplacent donc pas les notifications dans l’application : ils sont des canaux complémentaires.</w:t>
      </w:r>
    </w:p>
    <w:p>
      <w:r>
        <w:t>Pour WhatsApp, l’intégration devra passer par une solution compatible avec WhatsApp Business/Cloud API et respecter les règles de la plateforme, notamment les exigences de messagerie et de consentement applicables au moment de l’intégration.</w:t>
      </w:r>
    </w:p>
    <w:p>
      <w:pPr>
        <w:pStyle w:val="Heading1"/>
      </w:pPr>
      <w:r>
        <w:t>15. Stack technique retenue</w:t>
      </w:r>
    </w:p>
    <w:tbl>
      <w:tblPr>
        <w:tblStyle w:val="TableGrid"/>
        <w:tblW w:type="auto" w:w="0"/>
        <w:tblLook w:firstColumn="1" w:firstRow="1" w:lastColumn="0" w:lastRow="0" w:noHBand="0" w:noVBand="1" w:val="04A0"/>
      </w:tblPr>
      <w:tblGrid>
        <w:gridCol w:w="3312"/>
        <w:gridCol w:w="3312"/>
        <w:gridCol w:w="3312"/>
      </w:tblGrid>
      <w:tr>
        <w:tc>
          <w:tcPr>
            <w:tcW w:type="dxa" w:w="3312"/>
          </w:tcPr>
          <w:p>
            <w:r>
              <w:t>Couche</w:t>
            </w:r>
          </w:p>
        </w:tc>
        <w:tc>
          <w:tcPr>
            <w:tcW w:type="dxa" w:w="3312"/>
          </w:tcPr>
          <w:p>
            <w:r>
              <w:t>Technologie</w:t>
            </w:r>
          </w:p>
        </w:tc>
        <w:tc>
          <w:tcPr>
            <w:tcW w:type="dxa" w:w="3312"/>
          </w:tcPr>
          <w:p>
            <w:r>
              <w:t>Rôle</w:t>
            </w:r>
          </w:p>
        </w:tc>
      </w:tr>
      <w:tr>
        <w:tc>
          <w:tcPr>
            <w:tcW w:type="dxa" w:w="3312"/>
          </w:tcPr>
          <w:p>
            <w:r>
              <w:t>Frontend</w:t>
            </w:r>
          </w:p>
        </w:tc>
        <w:tc>
          <w:tcPr>
            <w:tcW w:type="dxa" w:w="3312"/>
          </w:tcPr>
          <w:p>
            <w:r>
              <w:t>Next.js + React + TypeScript</w:t>
            </w:r>
          </w:p>
        </w:tc>
        <w:tc>
          <w:tcPr>
            <w:tcW w:type="dxa" w:w="3312"/>
          </w:tcPr>
          <w:p>
            <w:r>
              <w:t>Application web responsive, espaces entreprise/revendeur/admin.</w:t>
            </w:r>
          </w:p>
        </w:tc>
      </w:tr>
      <w:tr>
        <w:tc>
          <w:tcPr>
            <w:tcW w:type="dxa" w:w="3312"/>
          </w:tcPr>
          <w:p>
            <w:r>
              <w:t>UI</w:t>
            </w:r>
          </w:p>
        </w:tc>
        <w:tc>
          <w:tcPr>
            <w:tcW w:type="dxa" w:w="3312"/>
          </w:tcPr>
          <w:p>
            <w:r>
              <w:t>Tailwind CSS</w:t>
            </w:r>
          </w:p>
        </w:tc>
        <w:tc>
          <w:tcPr>
            <w:tcW w:type="dxa" w:w="3312"/>
          </w:tcPr>
          <w:p>
            <w:r>
              <w:t>Interface responsive et cohérente.</w:t>
            </w:r>
          </w:p>
        </w:tc>
      </w:tr>
      <w:tr>
        <w:tc>
          <w:tcPr>
            <w:tcW w:type="dxa" w:w="3312"/>
          </w:tcPr>
          <w:p>
            <w:r>
              <w:t>Backend / BaaS</w:t>
            </w:r>
          </w:p>
        </w:tc>
        <w:tc>
          <w:tcPr>
            <w:tcW w:type="dxa" w:w="3312"/>
          </w:tcPr>
          <w:p>
            <w:r>
              <w:t>Supabase</w:t>
            </w:r>
          </w:p>
        </w:tc>
        <w:tc>
          <w:tcPr>
            <w:tcW w:type="dxa" w:w="3312"/>
          </w:tcPr>
          <w:p>
            <w:r>
              <w:t>Base PostgreSQL, Auth, Storage, fonctions et services backend.</w:t>
            </w:r>
          </w:p>
        </w:tc>
      </w:tr>
      <w:tr>
        <w:tc>
          <w:tcPr>
            <w:tcW w:type="dxa" w:w="3312"/>
          </w:tcPr>
          <w:p>
            <w:r>
              <w:t>Base de données</w:t>
            </w:r>
          </w:p>
        </w:tc>
        <w:tc>
          <w:tcPr>
            <w:tcW w:type="dxa" w:w="3312"/>
          </w:tcPr>
          <w:p>
            <w:r>
              <w:t>PostgreSQL</w:t>
            </w:r>
          </w:p>
        </w:tc>
        <w:tc>
          <w:tcPr>
            <w:tcW w:type="dxa" w:w="3312"/>
          </w:tcPr>
          <w:p>
            <w:r>
              <w:t>Modèle relationnel, transactions, contraintes et agrégations.</w:t>
            </w:r>
          </w:p>
        </w:tc>
      </w:tr>
      <w:tr>
        <w:tc>
          <w:tcPr>
            <w:tcW w:type="dxa" w:w="3312"/>
          </w:tcPr>
          <w:p>
            <w:r>
              <w:t>Géospatial</w:t>
            </w:r>
          </w:p>
        </w:tc>
        <w:tc>
          <w:tcPr>
            <w:tcW w:type="dxa" w:w="3312"/>
          </w:tcPr>
          <w:p>
            <w:r>
              <w:t>PostGIS</w:t>
            </w:r>
          </w:p>
        </w:tc>
        <w:tc>
          <w:tcPr>
            <w:tcW w:type="dxa" w:w="3312"/>
          </w:tcPr>
          <w:p>
            <w:r>
              <w:t>Zones, coordonnées, distances et analyses géographiques.</w:t>
            </w:r>
          </w:p>
        </w:tc>
      </w:tr>
      <w:tr>
        <w:tc>
          <w:tcPr>
            <w:tcW w:type="dxa" w:w="3312"/>
          </w:tcPr>
          <w:p>
            <w:r>
              <w:t>Authentification</w:t>
            </w:r>
          </w:p>
        </w:tc>
        <w:tc>
          <w:tcPr>
            <w:tcW w:type="dxa" w:w="3312"/>
          </w:tcPr>
          <w:p>
            <w:r>
              <w:t>Supabase Auth</w:t>
            </w:r>
          </w:p>
        </w:tc>
        <w:tc>
          <w:tcPr>
            <w:tcW w:type="dxa" w:w="3312"/>
          </w:tcPr>
          <w:p>
            <w:r>
              <w:t>Comptes, sessions et identité.</w:t>
            </w:r>
          </w:p>
        </w:tc>
      </w:tr>
      <w:tr>
        <w:tc>
          <w:tcPr>
            <w:tcW w:type="dxa" w:w="3312"/>
          </w:tcPr>
          <w:p>
            <w:r>
              <w:t>Fichiers</w:t>
            </w:r>
          </w:p>
        </w:tc>
        <w:tc>
          <w:tcPr>
            <w:tcW w:type="dxa" w:w="3312"/>
          </w:tcPr>
          <w:p>
            <w:r>
              <w:t>Supabase Storage</w:t>
            </w:r>
          </w:p>
        </w:tc>
        <w:tc>
          <w:tcPr>
            <w:tcW w:type="dxa" w:w="3312"/>
          </w:tcPr>
          <w:p>
            <w:r>
              <w:t>RCCM, justificatifs, preuves de livraison, médias.</w:t>
            </w:r>
          </w:p>
        </w:tc>
      </w:tr>
      <w:tr>
        <w:tc>
          <w:tcPr>
            <w:tcW w:type="dxa" w:w="3312"/>
          </w:tcPr>
          <w:p>
            <w:r>
              <w:t>Notifications</w:t>
            </w:r>
          </w:p>
        </w:tc>
        <w:tc>
          <w:tcPr>
            <w:tcW w:type="dxa" w:w="3312"/>
          </w:tcPr>
          <w:p>
            <w:r>
              <w:t>E-mail + WhatsApp</w:t>
            </w:r>
          </w:p>
        </w:tc>
        <w:tc>
          <w:tcPr>
            <w:tcW w:type="dxa" w:w="3312"/>
          </w:tcPr>
          <w:p>
            <w:r>
              <w:t>Alertes et événements importants.</w:t>
            </w:r>
          </w:p>
        </w:tc>
      </w:tr>
      <w:tr>
        <w:tc>
          <w:tcPr>
            <w:tcW w:type="dxa" w:w="3312"/>
          </w:tcPr>
          <w:p>
            <w:r>
              <w:t>QR</w:t>
            </w:r>
          </w:p>
        </w:tc>
        <w:tc>
          <w:tcPr>
            <w:tcW w:type="dxa" w:w="3312"/>
          </w:tcPr>
          <w:p>
            <w:r>
              <w:t>QR sécurisé côté serveur</w:t>
            </w:r>
          </w:p>
        </w:tc>
        <w:tc>
          <w:tcPr>
            <w:tcW w:type="dxa" w:w="3312"/>
          </w:tcPr>
          <w:p>
            <w:r>
              <w:t>Identification des commandes/livraisons.</w:t>
            </w:r>
          </w:p>
        </w:tc>
      </w:tr>
      <w:tr>
        <w:tc>
          <w:tcPr>
            <w:tcW w:type="dxa" w:w="3312"/>
          </w:tcPr>
          <w:p>
            <w:r>
              <w:t>Hébergement web</w:t>
            </w:r>
          </w:p>
        </w:tc>
        <w:tc>
          <w:tcPr>
            <w:tcW w:type="dxa" w:w="3312"/>
          </w:tcPr>
          <w:p>
            <w:r>
              <w:t>Vercel</w:t>
            </w:r>
          </w:p>
        </w:tc>
        <w:tc>
          <w:tcPr>
            <w:tcW w:type="dxa" w:w="3312"/>
          </w:tcPr>
          <w:p>
            <w:r>
              <w:t>Déploiement de l’application Next.js.</w:t>
            </w:r>
          </w:p>
        </w:tc>
      </w:tr>
      <w:tr>
        <w:tc>
          <w:tcPr>
            <w:tcW w:type="dxa" w:w="3312"/>
          </w:tcPr>
          <w:p>
            <w:r>
              <w:t>Intelligence V1</w:t>
            </w:r>
          </w:p>
        </w:tc>
        <w:tc>
          <w:tcPr>
            <w:tcW w:type="dxa" w:w="3312"/>
          </w:tcPr>
          <w:p>
            <w:r>
              <w:t>SQL + statistiques + moteur Python/ML ultérieur</w:t>
            </w:r>
          </w:p>
        </w:tc>
        <w:tc>
          <w:tcPr>
            <w:tcW w:type="dxa" w:w="3312"/>
          </w:tcPr>
          <w:p>
            <w:r>
              <w:t>Commencer par des statistiques fiables avant le machine learning.</w:t>
            </w:r>
          </w:p>
        </w:tc>
      </w:tr>
    </w:tbl>
    <w:p>
      <w:r>
        <w:t>Supabase fournit un PostgreSQL complet et propose notamment Auth, Storage, Realtime, Edge Functions et des extensions comme PostGIS. PostGIS est adapté aux requêtes géographiques et aux données indexables de localisation. citeturn0search1turn0search9</w:t>
      </w:r>
    </w:p>
    <w:p>
      <w:pPr>
        <w:pStyle w:val="Heading1"/>
      </w:pPr>
      <w:r>
        <w:t>16. Architecture fonctionnelle</w:t>
      </w:r>
    </w:p>
    <w:p>
      <w:pPr>
        <w:pStyle w:val="ListBullet"/>
      </w:pPr>
      <w:r>
        <w:t>Module Identité : utilisateurs, rôles, membres d’entreprise, profils revendeurs.</w:t>
      </w:r>
    </w:p>
    <w:p>
      <w:pPr>
        <w:pStyle w:val="ListBullet"/>
      </w:pPr>
      <w:r>
        <w:t>Module Vérification : documents, statuts de vérification, historique des contrôles.</w:t>
      </w:r>
    </w:p>
    <w:p>
      <w:pPr>
        <w:pStyle w:val="ListBullet"/>
      </w:pPr>
      <w:r>
        <w:t>Module Géographie : provinces, villes, communes/zones, coordonnées.</w:t>
      </w:r>
    </w:p>
    <w:p>
      <w:pPr>
        <w:pStyle w:val="ListBullet"/>
      </w:pPr>
      <w:r>
        <w:t>Module Agriculture : exploitations, produits, plans de production, récoltes et lots.</w:t>
      </w:r>
    </w:p>
    <w:p>
      <w:pPr>
        <w:pStyle w:val="ListBullet"/>
      </w:pPr>
      <w:r>
        <w:t>Module Marché : demandes, destinataires, campagnes.</w:t>
      </w:r>
    </w:p>
    <w:p>
      <w:pPr>
        <w:pStyle w:val="ListBullet"/>
      </w:pPr>
      <w:r>
        <w:t>Module Commerce : commandes, réservation, allocations, livraisons et confirmations.</w:t>
      </w:r>
    </w:p>
    <w:p>
      <w:pPr>
        <w:pStyle w:val="ListBullet"/>
      </w:pPr>
      <w:r>
        <w:t>Module Réputation : évaluations et métriques de fiabilité.</w:t>
      </w:r>
    </w:p>
    <w:p>
      <w:pPr>
        <w:pStyle w:val="ListBullet"/>
      </w:pPr>
      <w:r>
        <w:t>Module Abonnement : essai gratuit, plans, quotas et usage.</w:t>
      </w:r>
    </w:p>
    <w:p>
      <w:pPr>
        <w:pStyle w:val="ListBullet"/>
      </w:pPr>
      <w:r>
        <w:t>Module Notifications : notifications internes, e-mails et WhatsApp.</w:t>
      </w:r>
    </w:p>
    <w:p>
      <w:pPr>
        <w:pStyle w:val="ListBullet"/>
      </w:pPr>
      <w:r>
        <w:t>Module Intelligence : agrégations, statistiques, tendances et prévisions.</w:t>
      </w:r>
    </w:p>
    <w:p>
      <w:pPr>
        <w:pStyle w:val="ListBullet"/>
      </w:pPr>
      <w:r>
        <w:t>Module Administration : modération, vérification, supervision, paramètres et audit.</w:t>
      </w:r>
    </w:p>
    <w:p>
      <w:pPr>
        <w:pStyle w:val="Heading1"/>
      </w:pPr>
      <w:r>
        <w:t>17. Cas d’utilisation principaux</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ID</w:t>
            </w:r>
          </w:p>
        </w:tc>
        <w:tc>
          <w:tcPr>
            <w:tcW w:type="dxa" w:w="2484"/>
          </w:tcPr>
          <w:p>
            <w:r>
              <w:t>Cas</w:t>
            </w:r>
          </w:p>
        </w:tc>
        <w:tc>
          <w:tcPr>
            <w:tcW w:type="dxa" w:w="2484"/>
          </w:tcPr>
          <w:p>
            <w:r>
              <w:t>Acteur</w:t>
            </w:r>
          </w:p>
        </w:tc>
        <w:tc>
          <w:tcPr>
            <w:tcW w:type="dxa" w:w="2484"/>
          </w:tcPr>
          <w:p>
            <w:r>
              <w:t>Résultat</w:t>
            </w:r>
          </w:p>
        </w:tc>
      </w:tr>
      <w:tr>
        <w:tc>
          <w:tcPr>
            <w:tcW w:type="dxa" w:w="2484"/>
          </w:tcPr>
          <w:p>
            <w:r>
              <w:t>UC-01</w:t>
            </w:r>
          </w:p>
        </w:tc>
        <w:tc>
          <w:tcPr>
            <w:tcW w:type="dxa" w:w="2484"/>
          </w:tcPr>
          <w:p>
            <w:r>
              <w:t>Créer un compte</w:t>
            </w:r>
          </w:p>
        </w:tc>
        <w:tc>
          <w:tcPr>
            <w:tcW w:type="dxa" w:w="2484"/>
          </w:tcPr>
          <w:p>
            <w:r>
              <w:t>Revendeur / Entreprise</w:t>
            </w:r>
          </w:p>
        </w:tc>
        <w:tc>
          <w:tcPr>
            <w:tcW w:type="dxa" w:w="2484"/>
          </w:tcPr>
          <w:p>
            <w:r>
              <w:t>Créer son identité et accéder à son espace.</w:t>
            </w:r>
          </w:p>
        </w:tc>
      </w:tr>
      <w:tr>
        <w:tc>
          <w:tcPr>
            <w:tcW w:type="dxa" w:w="2484"/>
          </w:tcPr>
          <w:p>
            <w:r>
              <w:t>UC-02</w:t>
            </w:r>
          </w:p>
        </w:tc>
        <w:tc>
          <w:tcPr>
            <w:tcW w:type="dxa" w:w="2484"/>
          </w:tcPr>
          <w:p>
            <w:r>
              <w:t>Vérifier une entreprise</w:t>
            </w:r>
          </w:p>
        </w:tc>
        <w:tc>
          <w:tcPr>
            <w:tcW w:type="dxa" w:w="2484"/>
          </w:tcPr>
          <w:p>
            <w:r>
              <w:t>Administrateur</w:t>
            </w:r>
          </w:p>
        </w:tc>
        <w:tc>
          <w:tcPr>
            <w:tcW w:type="dxa" w:w="2484"/>
          </w:tcPr>
          <w:p>
            <w:r>
              <w:t>Contrôler les documents et attribuer le niveau de vérification.</w:t>
            </w:r>
          </w:p>
        </w:tc>
      </w:tr>
      <w:tr>
        <w:tc>
          <w:tcPr>
            <w:tcW w:type="dxa" w:w="2484"/>
          </w:tcPr>
          <w:p>
            <w:r>
              <w:t>UC-03</w:t>
            </w:r>
          </w:p>
        </w:tc>
        <w:tc>
          <w:tcPr>
            <w:tcW w:type="dxa" w:w="2484"/>
          </w:tcPr>
          <w:p>
            <w:r>
              <w:t>Déclarer une production</w:t>
            </w:r>
          </w:p>
        </w:tc>
        <w:tc>
          <w:tcPr>
            <w:tcW w:type="dxa" w:w="2484"/>
          </w:tcPr>
          <w:p>
            <w:r>
              <w:t>Entreprise</w:t>
            </w:r>
          </w:p>
        </w:tc>
        <w:tc>
          <w:tcPr>
            <w:tcW w:type="dxa" w:w="2484"/>
          </w:tcPr>
          <w:p>
            <w:r>
              <w:t>Définir une production prévue ou enregistrer une récolte réelle.</w:t>
            </w:r>
          </w:p>
        </w:tc>
      </w:tr>
      <w:tr>
        <w:tc>
          <w:tcPr>
            <w:tcW w:type="dxa" w:w="2484"/>
          </w:tcPr>
          <w:p>
            <w:r>
              <w:t>UC-04</w:t>
            </w:r>
          </w:p>
        </w:tc>
        <w:tc>
          <w:tcPr>
            <w:tcW w:type="dxa" w:w="2484"/>
          </w:tcPr>
          <w:p>
            <w:r>
              <w:t>Créer un lot</w:t>
            </w:r>
          </w:p>
        </w:tc>
        <w:tc>
          <w:tcPr>
            <w:tcW w:type="dxa" w:w="2484"/>
          </w:tcPr>
          <w:p>
            <w:r>
              <w:t>Entreprise</w:t>
            </w:r>
          </w:p>
        </w:tc>
        <w:tc>
          <w:tcPr>
            <w:tcW w:type="dxa" w:w="2484"/>
          </w:tcPr>
          <w:p>
            <w:r>
              <w:t>Créer une unité de production traçable.</w:t>
            </w:r>
          </w:p>
        </w:tc>
      </w:tr>
      <w:tr>
        <w:tc>
          <w:tcPr>
            <w:tcW w:type="dxa" w:w="2484"/>
          </w:tcPr>
          <w:p>
            <w:r>
              <w:t>UC-05</w:t>
            </w:r>
          </w:p>
        </w:tc>
        <w:tc>
          <w:tcPr>
            <w:tcW w:type="dxa" w:w="2484"/>
          </w:tcPr>
          <w:p>
            <w:r>
              <w:t>Exprimer une demande</w:t>
            </w:r>
          </w:p>
        </w:tc>
        <w:tc>
          <w:tcPr>
            <w:tcW w:type="dxa" w:w="2484"/>
          </w:tcPr>
          <w:p>
            <w:r>
              <w:t>Revendeur</w:t>
            </w:r>
          </w:p>
        </w:tc>
        <w:tc>
          <w:tcPr>
            <w:tcW w:type="dxa" w:w="2484"/>
          </w:tcPr>
          <w:p>
            <w:r>
              <w:t>Décrire produit, quantité, zone et période.</w:t>
            </w:r>
          </w:p>
        </w:tc>
      </w:tr>
      <w:tr>
        <w:tc>
          <w:tcPr>
            <w:tcW w:type="dxa" w:w="2484"/>
          </w:tcPr>
          <w:p>
            <w:r>
              <w:t>UC-06</w:t>
            </w:r>
          </w:p>
        </w:tc>
        <w:tc>
          <w:tcPr>
            <w:tcW w:type="dxa" w:w="2484"/>
          </w:tcPr>
          <w:p>
            <w:r>
              <w:t>Répondre à une demande</w:t>
            </w:r>
          </w:p>
        </w:tc>
        <w:tc>
          <w:tcPr>
            <w:tcW w:type="dxa" w:w="2484"/>
          </w:tcPr>
          <w:p>
            <w:r>
              <w:t>Entreprise</w:t>
            </w:r>
          </w:p>
        </w:tc>
        <w:tc>
          <w:tcPr>
            <w:tcW w:type="dxa" w:w="2484"/>
          </w:tcPr>
          <w:p>
            <w:r>
              <w:t>Accepter, refuser ou traiter une demande.</w:t>
            </w:r>
          </w:p>
        </w:tc>
      </w:tr>
      <w:tr>
        <w:tc>
          <w:tcPr>
            <w:tcW w:type="dxa" w:w="2484"/>
          </w:tcPr>
          <w:p>
            <w:r>
              <w:t>UC-07</w:t>
            </w:r>
          </w:p>
        </w:tc>
        <w:tc>
          <w:tcPr>
            <w:tcW w:type="dxa" w:w="2484"/>
          </w:tcPr>
          <w:p>
            <w:r>
              <w:t>Créer une campagne</w:t>
            </w:r>
          </w:p>
        </w:tc>
        <w:tc>
          <w:tcPr>
            <w:tcW w:type="dxa" w:w="2484"/>
          </w:tcPr>
          <w:p>
            <w:r>
              <w:t>Entreprise</w:t>
            </w:r>
          </w:p>
        </w:tc>
        <w:tc>
          <w:tcPr>
            <w:tcW w:type="dxa" w:w="2484"/>
          </w:tcPr>
          <w:p>
            <w:r>
              <w:t>Mettre une quantité disponible à destination d’une zone.</w:t>
            </w:r>
          </w:p>
        </w:tc>
      </w:tr>
      <w:tr>
        <w:tc>
          <w:tcPr>
            <w:tcW w:type="dxa" w:w="2484"/>
          </w:tcPr>
          <w:p>
            <w:r>
              <w:t>UC-08</w:t>
            </w:r>
          </w:p>
        </w:tc>
        <w:tc>
          <w:tcPr>
            <w:tcW w:type="dxa" w:w="2484"/>
          </w:tcPr>
          <w:p>
            <w:r>
              <w:t>Passer une commande</w:t>
            </w:r>
          </w:p>
        </w:tc>
        <w:tc>
          <w:tcPr>
            <w:tcW w:type="dxa" w:w="2484"/>
          </w:tcPr>
          <w:p>
            <w:r>
              <w:t>Revendeur</w:t>
            </w:r>
          </w:p>
        </w:tc>
        <w:tc>
          <w:tcPr>
            <w:tcW w:type="dxa" w:w="2484"/>
          </w:tcPr>
          <w:p>
            <w:r>
              <w:t>Choisir une quantité et confirmer.</w:t>
            </w:r>
          </w:p>
        </w:tc>
      </w:tr>
      <w:tr>
        <w:tc>
          <w:tcPr>
            <w:tcW w:type="dxa" w:w="2484"/>
          </w:tcPr>
          <w:p>
            <w:r>
              <w:t>UC-09</w:t>
            </w:r>
          </w:p>
        </w:tc>
        <w:tc>
          <w:tcPr>
            <w:tcW w:type="dxa" w:w="2484"/>
          </w:tcPr>
          <w:p>
            <w:r>
              <w:t>Réserver une quantité</w:t>
            </w:r>
          </w:p>
        </w:tc>
        <w:tc>
          <w:tcPr>
            <w:tcW w:type="dxa" w:w="2484"/>
          </w:tcPr>
          <w:p>
            <w:r>
              <w:t>Système</w:t>
            </w:r>
          </w:p>
        </w:tc>
        <w:tc>
          <w:tcPr>
            <w:tcW w:type="dxa" w:w="2484"/>
          </w:tcPr>
          <w:p>
            <w:r>
              <w:t>Garantir qu’une même quantité ne soit pas réservée deux fois.</w:t>
            </w:r>
          </w:p>
        </w:tc>
      </w:tr>
      <w:tr>
        <w:tc>
          <w:tcPr>
            <w:tcW w:type="dxa" w:w="2484"/>
          </w:tcPr>
          <w:p>
            <w:r>
              <w:t>UC-10</w:t>
            </w:r>
          </w:p>
        </w:tc>
        <w:tc>
          <w:tcPr>
            <w:tcW w:type="dxa" w:w="2484"/>
          </w:tcPr>
          <w:p>
            <w:r>
              <w:t>Livrer</w:t>
            </w:r>
          </w:p>
        </w:tc>
        <w:tc>
          <w:tcPr>
            <w:tcW w:type="dxa" w:w="2484"/>
          </w:tcPr>
          <w:p>
            <w:r>
              <w:t>Entreprise</w:t>
            </w:r>
          </w:p>
        </w:tc>
        <w:tc>
          <w:tcPr>
            <w:tcW w:type="dxa" w:w="2484"/>
          </w:tcPr>
          <w:p>
            <w:r>
              <w:t>Effectuer une ou plusieurs livraisons.</w:t>
            </w:r>
          </w:p>
        </w:tc>
      </w:tr>
      <w:tr>
        <w:tc>
          <w:tcPr>
            <w:tcW w:type="dxa" w:w="2484"/>
          </w:tcPr>
          <w:p>
            <w:r>
              <w:t>UC-11</w:t>
            </w:r>
          </w:p>
        </w:tc>
        <w:tc>
          <w:tcPr>
            <w:tcW w:type="dxa" w:w="2484"/>
          </w:tcPr>
          <w:p>
            <w:r>
              <w:t>Confirmer par QR</w:t>
            </w:r>
          </w:p>
        </w:tc>
        <w:tc>
          <w:tcPr>
            <w:tcW w:type="dxa" w:w="2484"/>
          </w:tcPr>
          <w:p>
            <w:r>
              <w:t>Entreprise / Agent</w:t>
            </w:r>
          </w:p>
        </w:tc>
        <w:tc>
          <w:tcPr>
            <w:tcW w:type="dxa" w:w="2484"/>
          </w:tcPr>
          <w:p>
            <w:r>
              <w:t>Identifier la commande et confirmer la livraison.</w:t>
            </w:r>
          </w:p>
        </w:tc>
      </w:tr>
      <w:tr>
        <w:tc>
          <w:tcPr>
            <w:tcW w:type="dxa" w:w="2484"/>
          </w:tcPr>
          <w:p>
            <w:r>
              <w:t>UC-12</w:t>
            </w:r>
          </w:p>
        </w:tc>
        <w:tc>
          <w:tcPr>
            <w:tcW w:type="dxa" w:w="2484"/>
          </w:tcPr>
          <w:p>
            <w:r>
              <w:t>Évaluer</w:t>
            </w:r>
          </w:p>
        </w:tc>
        <w:tc>
          <w:tcPr>
            <w:tcW w:type="dxa" w:w="2484"/>
          </w:tcPr>
          <w:p>
            <w:r>
              <w:t>Entreprise / Revendeur</w:t>
            </w:r>
          </w:p>
        </w:tc>
        <w:tc>
          <w:tcPr>
            <w:tcW w:type="dxa" w:w="2484"/>
          </w:tcPr>
          <w:p>
            <w:r>
              <w:t>Évaluer une transaction réelle.</w:t>
            </w:r>
          </w:p>
        </w:tc>
      </w:tr>
      <w:tr>
        <w:tc>
          <w:tcPr>
            <w:tcW w:type="dxa" w:w="2484"/>
          </w:tcPr>
          <w:p>
            <w:r>
              <w:t>UC-13</w:t>
            </w:r>
          </w:p>
        </w:tc>
        <w:tc>
          <w:tcPr>
            <w:tcW w:type="dxa" w:w="2484"/>
          </w:tcPr>
          <w:p>
            <w:r>
              <w:t>Consulter les statistiques</w:t>
            </w:r>
          </w:p>
        </w:tc>
        <w:tc>
          <w:tcPr>
            <w:tcW w:type="dxa" w:w="2484"/>
          </w:tcPr>
          <w:p>
            <w:r>
              <w:t>Entreprise / Admin</w:t>
            </w:r>
          </w:p>
        </w:tc>
        <w:tc>
          <w:tcPr>
            <w:tcW w:type="dxa" w:w="2484"/>
          </w:tcPr>
          <w:p>
            <w:r>
              <w:t>Analyser demande, ventes, livraisons et performance.</w:t>
            </w:r>
          </w:p>
        </w:tc>
      </w:tr>
      <w:tr>
        <w:tc>
          <w:tcPr>
            <w:tcW w:type="dxa" w:w="2484"/>
          </w:tcPr>
          <w:p>
            <w:r>
              <w:t>UC-14</w:t>
            </w:r>
          </w:p>
        </w:tc>
        <w:tc>
          <w:tcPr>
            <w:tcW w:type="dxa" w:w="2484"/>
          </w:tcPr>
          <w:p>
            <w:r>
              <w:t>Prévoir la demande</w:t>
            </w:r>
          </w:p>
        </w:tc>
        <w:tc>
          <w:tcPr>
            <w:tcW w:type="dxa" w:w="2484"/>
          </w:tcPr>
          <w:p>
            <w:r>
              <w:t>Moteur</w:t>
            </w:r>
          </w:p>
        </w:tc>
        <w:tc>
          <w:tcPr>
            <w:tcW w:type="dxa" w:w="2484"/>
          </w:tcPr>
          <w:p>
            <w:r>
              <w:t>Produire une estimation seulement lorsque les données sont suffisantes.</w:t>
            </w:r>
          </w:p>
        </w:tc>
      </w:tr>
    </w:tbl>
    <w:p>
      <w:pPr>
        <w:pStyle w:val="Heading1"/>
      </w:pPr>
      <w:r>
        <w:t>18. Modèle de données — vue simplifiée</w:t>
      </w:r>
    </w:p>
    <w:p>
      <w:r>
        <w:t>Principales relations : COMPANY 1—N FARMS ; FARM 1—N PRODUCTION_PLANS ; PRODUCTION_PLAN 1—N HARVESTS ; HARVEST 1—N LOTS ; PRODUCT 1—N PRODUCTION_PLANS ; RESELLER 1—N DEMANDS ; DEMAND N—N COMPANY via COMPANY_DEMANDS ; COMPANY 1—N CAMPAIGNS ; LOT 1—N LOT_ALLOCATIONS ; CAMPAIGN 1—N ORDERS ; ORDER 1—N DELIVERIES ; DELIVERY 1—1 ou N DELIVERY_CONFIRMATIONS selon la politique retenue ; ORDER 1—N ORDER_ITEMS.</w:t>
      </w:r>
    </w:p>
    <w:p>
      <w:pPr>
        <w:pStyle w:val="Heading1"/>
      </w:pPr>
      <w:r>
        <w:t>19. Périmètre V1 — ce qui n’est pas prioritaire</w:t>
      </w:r>
    </w:p>
    <w:p>
      <w:pPr>
        <w:pStyle w:val="ListBullet"/>
      </w:pPr>
      <w:r>
        <w:t>Paiement en ligne : hors V1 ; les transactions financières restent directement entre société et revendeur.</w:t>
      </w:r>
    </w:p>
    <w:p>
      <w:pPr>
        <w:pStyle w:val="ListBullet"/>
      </w:pPr>
      <w:r>
        <w:t>Crédit / financement agricole : hors V1.</w:t>
      </w:r>
    </w:p>
    <w:p>
      <w:pPr>
        <w:pStyle w:val="ListBullet"/>
      </w:pPr>
      <w:r>
        <w:t>IoT et capteurs : hors V1.</w:t>
      </w:r>
    </w:p>
    <w:p>
      <w:pPr>
        <w:pStyle w:val="ListBullet"/>
      </w:pPr>
      <w:r>
        <w:t>Prédiction agronomique complexe : hors V1.</w:t>
      </w:r>
    </w:p>
    <w:p>
      <w:pPr>
        <w:pStyle w:val="ListBullet"/>
      </w:pPr>
      <w:r>
        <w:t>Transporteur automatisé : hors V1.</w:t>
      </w:r>
    </w:p>
    <w:p>
      <w:pPr>
        <w:pStyle w:val="ListBullet"/>
      </w:pPr>
      <w:r>
        <w:t>Export et commerce international avancé : hors V1.</w:t>
      </w:r>
    </w:p>
    <w:p>
      <w:pPr>
        <w:pStyle w:val="ListBullet"/>
      </w:pPr>
      <w:r>
        <w:t>Application mobile native : non nécessaire au lancement ; la plateforme web doit être responsive et utilisable sur mobile.</w:t>
      </w:r>
    </w:p>
    <w:p>
      <w:pPr>
        <w:pStyle w:val="Heading1"/>
      </w:pPr>
      <w:r>
        <w:t>20. Principes de conception</w:t>
      </w:r>
    </w:p>
    <w:p>
      <w:pPr>
        <w:pStyle w:val="ListBullet"/>
      </w:pPr>
      <w:r>
        <w:t>Ne jamais confondre demande, commande et livraison.</w:t>
      </w:r>
    </w:p>
    <w:p>
      <w:pPr>
        <w:pStyle w:val="ListBullet"/>
      </w:pPr>
      <w:r>
        <w:t>Ne jamais écraser les quantités historiques : conserver commandé, réservé et livré séparément.</w:t>
      </w:r>
    </w:p>
    <w:p>
      <w:pPr>
        <w:pStyle w:val="ListBullet"/>
      </w:pPr>
      <w:r>
        <w:t>Ne jamais autoriser une sur-réservation.</w:t>
      </w:r>
    </w:p>
    <w:p>
      <w:pPr>
        <w:pStyle w:val="ListBullet"/>
      </w:pPr>
      <w:r>
        <w:t>Ne jamais attribuer une note de fiabilité sur une transaction inexistante.</w:t>
      </w:r>
    </w:p>
    <w:p>
      <w:pPr>
        <w:pStyle w:val="ListBullet"/>
      </w:pPr>
      <w:r>
        <w:t>Ne pas présenter une prévision lorsque les données sont insuffisantes.</w:t>
      </w:r>
    </w:p>
    <w:p>
      <w:pPr>
        <w:pStyle w:val="ListBullet"/>
      </w:pPr>
      <w:r>
        <w:t>Protéger les données privées au niveau backend/base de données.</w:t>
      </w:r>
    </w:p>
    <w:p>
      <w:pPr>
        <w:pStyle w:val="ListBullet"/>
      </w:pPr>
      <w:r>
        <w:t>Conserver des journaux d’audit et d’événements pour les opérations sensibles.</w:t>
      </w:r>
    </w:p>
    <w:p>
      <w:pPr>
        <w:pStyle w:val="ListBullet"/>
      </w:pPr>
      <w:r>
        <w:t>Construire d’abord une plateforme fiable de collecte de données ; l’intelligence artificielle vient progressivement.</w:t>
      </w:r>
    </w:p>
    <w:p>
      <w:pPr>
        <w:pStyle w:val="Heading1"/>
      </w:pPr>
      <w:r>
        <w:t>21. Conclusion</w:t>
      </w:r>
    </w:p>
    <w:p>
      <w:r>
        <w:t>La V1 est conçue comme une plateforme web B2B agricole centrée sur la mise en relation, la planification de l’offre, la demande géographique, la gestion des campagnes, les commandes, la traçabilité des livraisons et la constitution d’un historique de données. Le projet ne dépend pas d’un paiement intégré ni d’une IA complexe pour être utile dès le lancement. L’objectif est de créer progressivement une base de données suffisamment structurée pour produire ensuite des analyses et des prévisions fiables.</w:t>
      </w:r>
    </w:p>
    <w:p/>
    <w:p>
      <w:pPr>
        <w:jc w:val="center"/>
      </w:pPr>
      <w:r>
        <w:rPr>
          <w:i/>
        </w:rPr>
        <w:t>Document de travail — Version 1.0</w:t>
      </w:r>
    </w:p>
    <w:p>
      <w:r>
        <w:br w:type="page"/>
      </w:r>
    </w:p>
    <w:p>
      <w:pPr>
        <w:pStyle w:val="Heading1"/>
      </w:pPr>
      <w:r>
        <w:t>22. Architecture technique complète et stratégie d’évolution</w:t>
      </w:r>
    </w:p>
    <w:p>
      <w:r>
        <w:t>La plateforme sera lancée comme une application web responsive. L’architecture est conçue dès le départ pour permettre l’évolution vers une application mobile sans réécrire le backend métier. Les interfaces web et mobile utiliseront les mêmes données et règles métier.</w:t>
      </w:r>
    </w:p>
    <w:p>
      <w:pPr>
        <w:pStyle w:val="Heading2"/>
      </w:pPr>
      <w:r>
        <w:t>22.1 Stack technique retenue</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Composant</w:t>
            </w:r>
          </w:p>
        </w:tc>
        <w:tc>
          <w:tcPr>
            <w:tcW w:type="dxa" w:w="3312"/>
          </w:tcPr>
          <w:p>
            <w:r>
              <w:t>Choix</w:t>
            </w:r>
          </w:p>
        </w:tc>
        <w:tc>
          <w:tcPr>
            <w:tcW w:type="dxa" w:w="3312"/>
          </w:tcPr>
          <w:p>
            <w:r>
              <w:t>Rôle</w:t>
            </w:r>
          </w:p>
        </w:tc>
      </w:tr>
      <w:tr>
        <w:tc>
          <w:tcPr>
            <w:tcW w:type="dxa" w:w="3312"/>
          </w:tcPr>
          <w:p>
            <w:r>
              <w:t>Frontend web</w:t>
            </w:r>
          </w:p>
        </w:tc>
        <w:tc>
          <w:tcPr>
            <w:tcW w:type="dxa" w:w="3312"/>
          </w:tcPr>
          <w:p>
            <w:r>
              <w:t>Next.js + React + TypeScript</w:t>
            </w:r>
          </w:p>
        </w:tc>
        <w:tc>
          <w:tcPr>
            <w:tcW w:type="dxa" w:w="3312"/>
          </w:tcPr>
          <w:p>
            <w:r>
              <w:t>Application web responsive.</w:t>
            </w:r>
          </w:p>
        </w:tc>
      </w:tr>
      <w:tr>
        <w:tc>
          <w:tcPr>
            <w:tcW w:type="dxa" w:w="3312"/>
          </w:tcPr>
          <w:p>
            <w:r>
              <w:t>UI</w:t>
            </w:r>
          </w:p>
        </w:tc>
        <w:tc>
          <w:tcPr>
            <w:tcW w:type="dxa" w:w="3312"/>
          </w:tcPr>
          <w:p>
            <w:r>
              <w:t>Tailwind CSS</w:t>
            </w:r>
          </w:p>
        </w:tc>
        <w:tc>
          <w:tcPr>
            <w:tcW w:type="dxa" w:w="3312"/>
          </w:tcPr>
          <w:p>
            <w:r>
              <w:t>Interface cohérente et responsive.</w:t>
            </w:r>
          </w:p>
        </w:tc>
      </w:tr>
      <w:tr>
        <w:tc>
          <w:tcPr>
            <w:tcW w:type="dxa" w:w="3312"/>
          </w:tcPr>
          <w:p>
            <w:r>
              <w:t>Backend / plateforme</w:t>
            </w:r>
          </w:p>
        </w:tc>
        <w:tc>
          <w:tcPr>
            <w:tcW w:type="dxa" w:w="3312"/>
          </w:tcPr>
          <w:p>
            <w:r>
              <w:t>Supabase</w:t>
            </w:r>
          </w:p>
        </w:tc>
        <w:tc>
          <w:tcPr>
            <w:tcW w:type="dxa" w:w="3312"/>
          </w:tcPr>
          <w:p>
            <w:r>
              <w:t>PostgreSQL, Auth, Storage et services backend.</w:t>
            </w:r>
          </w:p>
        </w:tc>
      </w:tr>
      <w:tr>
        <w:tc>
          <w:tcPr>
            <w:tcW w:type="dxa" w:w="3312"/>
          </w:tcPr>
          <w:p>
            <w:r>
              <w:t>Base de données</w:t>
            </w:r>
          </w:p>
        </w:tc>
        <w:tc>
          <w:tcPr>
            <w:tcW w:type="dxa" w:w="3312"/>
          </w:tcPr>
          <w:p>
            <w:r>
              <w:t>PostgreSQL</w:t>
            </w:r>
          </w:p>
        </w:tc>
        <w:tc>
          <w:tcPr>
            <w:tcW w:type="dxa" w:w="3312"/>
          </w:tcPr>
          <w:p>
            <w:r>
              <w:t>Relations, contraintes, transactions et agrégations.</w:t>
            </w:r>
          </w:p>
        </w:tc>
      </w:tr>
      <w:tr>
        <w:tc>
          <w:tcPr>
            <w:tcW w:type="dxa" w:w="3312"/>
          </w:tcPr>
          <w:p>
            <w:r>
              <w:t>Géospatial</w:t>
            </w:r>
          </w:p>
        </w:tc>
        <w:tc>
          <w:tcPr>
            <w:tcW w:type="dxa" w:w="3312"/>
          </w:tcPr>
          <w:p>
            <w:r>
              <w:t>PostGIS</w:t>
            </w:r>
          </w:p>
        </w:tc>
        <w:tc>
          <w:tcPr>
            <w:tcW w:type="dxa" w:w="3312"/>
          </w:tcPr>
          <w:p>
            <w:r>
              <w:t>Zones, coordonnées, distances et analyses géographiques.</w:t>
            </w:r>
          </w:p>
        </w:tc>
      </w:tr>
      <w:tr>
        <w:tc>
          <w:tcPr>
            <w:tcW w:type="dxa" w:w="3312"/>
          </w:tcPr>
          <w:p>
            <w:r>
              <w:t>Authentification</w:t>
            </w:r>
          </w:p>
        </w:tc>
        <w:tc>
          <w:tcPr>
            <w:tcW w:type="dxa" w:w="3312"/>
          </w:tcPr>
          <w:p>
            <w:r>
              <w:t>Supabase Auth</w:t>
            </w:r>
          </w:p>
        </w:tc>
        <w:tc>
          <w:tcPr>
            <w:tcW w:type="dxa" w:w="3312"/>
          </w:tcPr>
          <w:p>
            <w:r>
              <w:t>Comptes et sessions.</w:t>
            </w:r>
          </w:p>
        </w:tc>
      </w:tr>
      <w:tr>
        <w:tc>
          <w:tcPr>
            <w:tcW w:type="dxa" w:w="3312"/>
          </w:tcPr>
          <w:p>
            <w:r>
              <w:t>Stockage</w:t>
            </w:r>
          </w:p>
        </w:tc>
        <w:tc>
          <w:tcPr>
            <w:tcW w:type="dxa" w:w="3312"/>
          </w:tcPr>
          <w:p>
            <w:r>
              <w:t>Supabase Storage</w:t>
            </w:r>
          </w:p>
        </w:tc>
        <w:tc>
          <w:tcPr>
            <w:tcW w:type="dxa" w:w="3312"/>
          </w:tcPr>
          <w:p>
            <w:r>
              <w:t>Documents légaux, images et preuves.</w:t>
            </w:r>
          </w:p>
        </w:tc>
      </w:tr>
      <w:tr>
        <w:tc>
          <w:tcPr>
            <w:tcW w:type="dxa" w:w="3312"/>
          </w:tcPr>
          <w:p>
            <w:r>
              <w:t>Hébergement web</w:t>
            </w:r>
          </w:p>
        </w:tc>
        <w:tc>
          <w:tcPr>
            <w:tcW w:type="dxa" w:w="3312"/>
          </w:tcPr>
          <w:p>
            <w:r>
              <w:t>Vercel</w:t>
            </w:r>
          </w:p>
        </w:tc>
        <w:tc>
          <w:tcPr>
            <w:tcW w:type="dxa" w:w="3312"/>
          </w:tcPr>
          <w:p>
            <w:r>
              <w:t>Déploiement Next.js et adaptation au trafic.</w:t>
            </w:r>
          </w:p>
        </w:tc>
      </w:tr>
      <w:tr>
        <w:tc>
          <w:tcPr>
            <w:tcW w:type="dxa" w:w="3312"/>
          </w:tcPr>
          <w:p>
            <w:r>
              <w:t>Paiement abonnement</w:t>
            </w:r>
          </w:p>
        </w:tc>
        <w:tc>
          <w:tcPr>
            <w:tcW w:type="dxa" w:w="3312"/>
          </w:tcPr>
          <w:p>
            <w:r>
              <w:t>pawaPay</w:t>
            </w:r>
          </w:p>
        </w:tc>
        <w:tc>
          <w:tcPr>
            <w:tcW w:type="dxa" w:w="3312"/>
          </w:tcPr>
          <w:p>
            <w:r>
              <w:t>Agrégation Mobile Money pour les abonnements RDC.</w:t>
            </w:r>
          </w:p>
        </w:tc>
      </w:tr>
      <w:tr>
        <w:tc>
          <w:tcPr>
            <w:tcW w:type="dxa" w:w="3312"/>
          </w:tcPr>
          <w:p>
            <w:r>
              <w:t>Notifications</w:t>
            </w:r>
          </w:p>
        </w:tc>
        <w:tc>
          <w:tcPr>
            <w:tcW w:type="dxa" w:w="3312"/>
          </w:tcPr>
          <w:p>
            <w:r>
              <w:t>Centre interne + e-mail + WhatsApp</w:t>
            </w:r>
          </w:p>
        </w:tc>
        <w:tc>
          <w:tcPr>
            <w:tcW w:type="dxa" w:w="3312"/>
          </w:tcPr>
          <w:p>
            <w:r>
              <w:t>Canaux complémentaires.</w:t>
            </w:r>
          </w:p>
        </w:tc>
      </w:tr>
      <w:tr>
        <w:tc>
          <w:tcPr>
            <w:tcW w:type="dxa" w:w="3312"/>
          </w:tcPr>
          <w:p>
            <w:r>
              <w:t>Futur mobile</w:t>
            </w:r>
          </w:p>
        </w:tc>
        <w:tc>
          <w:tcPr>
            <w:tcW w:type="dxa" w:w="3312"/>
          </w:tcPr>
          <w:p>
            <w:r>
              <w:t>Flutter</w:t>
            </w:r>
          </w:p>
        </w:tc>
        <w:tc>
          <w:tcPr>
            <w:tcW w:type="dxa" w:w="3312"/>
          </w:tcPr>
          <w:p>
            <w:r>
              <w:t>Nouvelle interface réutilisant le backend.</w:t>
            </w:r>
          </w:p>
        </w:tc>
      </w:tr>
      <w:tr>
        <w:tc>
          <w:tcPr>
            <w:tcW w:type="dxa" w:w="3312"/>
          </w:tcPr>
          <w:p>
            <w:r>
              <w:t>Développement IA</w:t>
            </w:r>
          </w:p>
        </w:tc>
        <w:tc>
          <w:tcPr>
            <w:tcW w:type="dxa" w:w="3312"/>
          </w:tcPr>
          <w:p>
            <w:r>
              <w:t>Agents IA + GitHub + Supabase MCP</w:t>
            </w:r>
          </w:p>
        </w:tc>
        <w:tc>
          <w:tcPr>
            <w:tcW w:type="dxa" w:w="3312"/>
          </w:tcPr>
          <w:p>
            <w:r>
              <w:t>Développement assisté et accès contrôlé à Supabase.</w:t>
            </w:r>
          </w:p>
        </w:tc>
      </w:tr>
    </w:tbl>
    <w:p>
      <w:pPr>
        <w:pStyle w:val="Heading2"/>
      </w:pPr>
      <w:r>
        <w:t>22.2 Architecture logique</w:t>
      </w:r>
    </w:p>
    <w:p>
      <w:r>
        <w:t>Utilisateur → Next.js/Web ou Flutter/Mobile → services métier/API → Supabase/PostgreSQL/PostGIS. Storage gère les fichiers, Auth l’identité, les services de notification les alertes et pawaPay les abonnements.</w:t>
      </w:r>
    </w:p>
    <w:p>
      <w:pPr>
        <w:pStyle w:val="Heading2"/>
      </w:pPr>
      <w:r>
        <w:t>22.3 Montée en charge</w:t>
      </w:r>
    </w:p>
    <w:p>
      <w:r>
        <w:t>V1 : Vercel + Supabase PostgreSQL. Avec la croissance : indexation, pagination, pooling des connexions, cache, traitements asynchrones et, si nécessaire, read replicas ou infrastructure analytique séparée. L’objectif est de faire évoluer l’infrastructure sans refaire le produit.</w:t>
      </w:r>
    </w:p>
    <w:p>
      <w:pPr>
        <w:pStyle w:val="ListBullet"/>
      </w:pPr>
      <w:r>
        <w:t>Pagination obligatoire pour les listes importantes.</w:t>
      </w:r>
    </w:p>
    <w:p>
      <w:pPr>
        <w:pStyle w:val="ListBullet"/>
      </w:pPr>
      <w:r>
        <w:t>Index sur produit, zone, statut, dates, entreprise et commande.</w:t>
      </w:r>
    </w:p>
    <w:p>
      <w:pPr>
        <w:pStyle w:val="ListBullet"/>
      </w:pPr>
      <w:r>
        <w:t>Éviter les requêtes N+1.</w:t>
      </w:r>
    </w:p>
    <w:p>
      <w:pPr>
        <w:pStyle w:val="ListBullet"/>
      </w:pPr>
      <w:r>
        <w:t>Calculer les statistiques par agrégations SQL.</w:t>
      </w:r>
    </w:p>
    <w:p>
      <w:pPr>
        <w:pStyle w:val="ListBullet"/>
      </w:pPr>
      <w:r>
        <w:t>Utiliser cache et traitements asynchrones lorsque la charge le justifie.</w:t>
      </w:r>
    </w:p>
    <w:p>
      <w:pPr>
        <w:pStyle w:val="ListBullet"/>
      </w:pPr>
      <w:r>
        <w:t>Séparer progressivement les lectures lourdes et l’analytique du trafic transactionnel.</w:t>
      </w:r>
    </w:p>
    <w:p>
      <w:pPr>
        <w:pStyle w:val="Heading1"/>
      </w:pPr>
      <w:r>
        <w:t>23. Future application mobile</w:t>
      </w:r>
    </w:p>
    <w:p>
      <w:r>
        <w:t>La V1 est web-first mais backend-first. Les règles critiques ne doivent pas être enfouies dans React : quotas, réservations, commandes, livraisons, abonnements et permissions sont contrôlés côté serveur. Une future application Flutter réutilisera les mêmes comptes, données, services et règles métier ; il faudra principalement construire une nouvelle interface mobile.</w:t>
      </w:r>
    </w:p>
    <w:p>
      <w:pPr>
        <w:pStyle w:val="Heading1"/>
      </w:pPr>
      <w:r>
        <w:t>24. Paiement des abonnements — pawaPay</w:t>
      </w:r>
    </w:p>
    <w:p>
      <w:r>
        <w:t>Le paiement intégré de la V1 concerne uniquement les abonnements de la plateforme. Les transactions agricoles restent directement entre entreprise et revendeur.</w:t>
      </w:r>
    </w:p>
    <w:p>
      <w:r>
        <w:t>Flux : choix du plan → tentative de paiement → pawaPay → opérateur Mobile Money → callback → vérification serveur → activation/renouvellement de l’abonnement.</w:t>
      </w:r>
    </w:p>
    <w:p>
      <w:r>
        <w:t>Un abonnement ne doit jamais être activé simplement parce qu’un paiement a été initié. Le serveur doit confirmer le statut final avant activation.</w:t>
      </w:r>
    </w:p>
    <w:p>
      <w:r>
        <w:t>L’intégration commencera en Sandbox puis passera en production après validation.</w:t>
      </w:r>
    </w:p>
    <w:p>
      <w:pPr>
        <w:pStyle w:val="Heading2"/>
      </w:pPr>
      <w:r>
        <w:t>24.1 Données de paiement</w:t>
      </w:r>
    </w:p>
    <w:p>
      <w:pPr>
        <w:pStyle w:val="ListBullet"/>
      </w:pPr>
      <w:r>
        <w:t>payments : id, company_id, subscription_id, provider, provider_transaction_id, amount, currency, phone_number, status, initiated_at, completed_at, failure_reason, metadata, created_at.</w:t>
      </w:r>
    </w:p>
    <w:p>
      <w:pPr>
        <w:pStyle w:val="ListBullet"/>
      </w:pPr>
      <w:r>
        <w:t>subscription_events : id, company_id, subscription_id, event_type, payment_id, occurred_at, metadata.</w:t>
      </w:r>
    </w:p>
    <w:p>
      <w:pPr>
        <w:pStyle w:val="ListBullet"/>
      </w:pPr>
      <w:r>
        <w:t>Les clés et secrets de paiement restent côté serveur.</w:t>
      </w:r>
    </w:p>
    <w:p>
      <w:pPr>
        <w:pStyle w:val="Heading1"/>
      </w:pPr>
      <w:r>
        <w:t>25. Notifications</w:t>
      </w:r>
    </w:p>
    <w:p>
      <w:r>
        <w:t>Le centre de notifications interne est la source fonctionnelle de référence. L’e-mail est le canal principal de la V1 ; WhatsApp complète les événements importants.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Événement</w:t>
            </w:r>
          </w:p>
        </w:tc>
        <w:tc>
          <w:tcPr>
            <w:tcW w:type="dxa" w:w="2484"/>
          </w:tcPr>
          <w:p>
            <w:r>
              <w:t>Interne</w:t>
            </w:r>
          </w:p>
        </w:tc>
        <w:tc>
          <w:tcPr>
            <w:tcW w:type="dxa" w:w="2484"/>
          </w:tcPr>
          <w:p>
            <w:r>
              <w:t>E-mail</w:t>
            </w:r>
          </w:p>
        </w:tc>
        <w:tc>
          <w:tcPr>
            <w:tcW w:type="dxa" w:w="2484"/>
          </w:tcPr>
          <w:p>
            <w:r>
              <w:t>WhatsApp</w:t>
            </w:r>
          </w:p>
        </w:tc>
      </w:tr>
      <w:tr>
        <w:tc>
          <w:tcPr>
            <w:tcW w:type="dxa" w:w="2484"/>
          </w:tcPr>
          <w:p>
            <w:r>
              <w:t>Nouvelle demande pertinente</w:t>
            </w:r>
          </w:p>
        </w:tc>
        <w:tc>
          <w:tcPr>
            <w:tcW w:type="dxa" w:w="2484"/>
          </w:tcPr>
          <w:p>
            <w:r>
              <w:t>Oui</w:t>
            </w:r>
          </w:p>
        </w:tc>
        <w:tc>
          <w:tcPr>
            <w:tcW w:type="dxa" w:w="2484"/>
          </w:tcPr>
          <w:p>
            <w:r>
              <w:t>Oui</w:t>
            </w:r>
          </w:p>
        </w:tc>
        <w:tc>
          <w:tcPr>
            <w:tcW w:type="dxa" w:w="2484"/>
          </w:tcPr>
          <w:p>
            <w:r>
              <w:t>Optionnel</w:t>
            </w:r>
          </w:p>
        </w:tc>
      </w:tr>
      <w:tr>
        <w:tc>
          <w:tcPr>
            <w:tcW w:type="dxa" w:w="2484"/>
          </w:tcPr>
          <w:p>
            <w:r>
              <w:t>Nouvelle campagne</w:t>
            </w:r>
          </w:p>
        </w:tc>
        <w:tc>
          <w:tcPr>
            <w:tcW w:type="dxa" w:w="2484"/>
          </w:tcPr>
          <w:p>
            <w:r>
              <w:t>Oui</w:t>
            </w:r>
          </w:p>
        </w:tc>
        <w:tc>
          <w:tcPr>
            <w:tcW w:type="dxa" w:w="2484"/>
          </w:tcPr>
          <w:p>
            <w:r>
              <w:t>Oui</w:t>
            </w:r>
          </w:p>
        </w:tc>
        <w:tc>
          <w:tcPr>
            <w:tcW w:type="dxa" w:w="2484"/>
          </w:tcPr>
          <w:p>
            <w:r>
              <w:t>Oui</w:t>
            </w:r>
          </w:p>
        </w:tc>
      </w:tr>
      <w:tr>
        <w:tc>
          <w:tcPr>
            <w:tcW w:type="dxa" w:w="2484"/>
          </w:tcPr>
          <w:p>
            <w:r>
              <w:t>Commande confirmée</w:t>
            </w:r>
          </w:p>
        </w:tc>
        <w:tc>
          <w:tcPr>
            <w:tcW w:type="dxa" w:w="2484"/>
          </w:tcPr>
          <w:p>
            <w:r>
              <w:t>Oui</w:t>
            </w:r>
          </w:p>
        </w:tc>
        <w:tc>
          <w:tcPr>
            <w:tcW w:type="dxa" w:w="2484"/>
          </w:tcPr>
          <w:p>
            <w:r>
              <w:t>Oui</w:t>
            </w:r>
          </w:p>
        </w:tc>
        <w:tc>
          <w:tcPr>
            <w:tcW w:type="dxa" w:w="2484"/>
          </w:tcPr>
          <w:p>
            <w:r>
              <w:t>Oui</w:t>
            </w:r>
          </w:p>
        </w:tc>
      </w:tr>
      <w:tr>
        <w:tc>
          <w:tcPr>
            <w:tcW w:type="dxa" w:w="2484"/>
          </w:tcPr>
          <w:p>
            <w:r>
              <w:t>Commande prête/livraison</w:t>
            </w:r>
          </w:p>
        </w:tc>
        <w:tc>
          <w:tcPr>
            <w:tcW w:type="dxa" w:w="2484"/>
          </w:tcPr>
          <w:p>
            <w:r>
              <w:t>Oui</w:t>
            </w:r>
          </w:p>
        </w:tc>
        <w:tc>
          <w:tcPr>
            <w:tcW w:type="dxa" w:w="2484"/>
          </w:tcPr>
          <w:p>
            <w:r>
              <w:t>Oui</w:t>
            </w:r>
          </w:p>
        </w:tc>
        <w:tc>
          <w:tcPr>
            <w:tcW w:type="dxa" w:w="2484"/>
          </w:tcPr>
          <w:p>
            <w:r>
              <w:t>Oui</w:t>
            </w:r>
          </w:p>
        </w:tc>
      </w:tr>
      <w:tr>
        <w:tc>
          <w:tcPr>
            <w:tcW w:type="dxa" w:w="2484"/>
          </w:tcPr>
          <w:p>
            <w:r>
              <w:t>Expiration</w:t>
            </w:r>
          </w:p>
        </w:tc>
        <w:tc>
          <w:tcPr>
            <w:tcW w:type="dxa" w:w="2484"/>
          </w:tcPr>
          <w:p>
            <w:r>
              <w:t>Oui</w:t>
            </w:r>
          </w:p>
        </w:tc>
        <w:tc>
          <w:tcPr>
            <w:tcW w:type="dxa" w:w="2484"/>
          </w:tcPr>
          <w:p>
            <w:r>
              <w:t>Oui</w:t>
            </w:r>
          </w:p>
        </w:tc>
        <w:tc>
          <w:tcPr>
            <w:tcW w:type="dxa" w:w="2484"/>
          </w:tcPr>
          <w:p>
            <w:r>
              <w:t>Optionnel</w:t>
            </w:r>
          </w:p>
        </w:tc>
      </w:tr>
      <w:tr>
        <w:tc>
          <w:tcPr>
            <w:tcW w:type="dxa" w:w="2484"/>
          </w:tcPr>
          <w:p>
            <w:r>
              <w:t>Paiement/abonnement</w:t>
            </w:r>
          </w:p>
        </w:tc>
        <w:tc>
          <w:tcPr>
            <w:tcW w:type="dxa" w:w="2484"/>
          </w:tcPr>
          <w:p>
            <w:r>
              <w:t>Oui</w:t>
            </w:r>
          </w:p>
        </w:tc>
        <w:tc>
          <w:tcPr>
            <w:tcW w:type="dxa" w:w="2484"/>
          </w:tcPr>
          <w:p>
            <w:r>
              <w:t>Oui</w:t>
            </w:r>
          </w:p>
        </w:tc>
        <w:tc>
          <w:tcPr>
            <w:tcW w:type="dxa" w:w="2484"/>
          </w:tcPr>
          <w:p>
            <w:r>
              <w:t>Optionnel</w:t>
            </w:r>
          </w:p>
        </w:tc>
      </w:tr>
    </w:tbl>
    <w:p>
      <w:pPr>
        <w:pStyle w:val="Heading1"/>
      </w:pPr>
      <w:r>
        <w:t>26. Développement avec agents IA et Supabase MCP</w:t>
      </w:r>
    </w:p>
    <w:p>
      <w:r>
        <w:t>Les agents IA sont des assistants de développement et non des décideurs métier. Le cahier des charges, les règles métier validées, le schéma de données et les migrations constituent la source de vérité.</w:t>
      </w:r>
    </w:p>
    <w:p>
      <w:pPr>
        <w:pStyle w:val="ListBullet"/>
      </w:pPr>
      <w:r>
        <w:rPr>
          <w:b/>
        </w:rPr>
        <w:t xml:space="preserve">Agent Architecte : </w:t>
      </w:r>
      <w:r>
        <w:t>Vérifie la cohérence globale et les règles.</w:t>
      </w:r>
    </w:p>
    <w:p>
      <w:pPr>
        <w:pStyle w:val="ListBullet"/>
      </w:pPr>
      <w:r>
        <w:rPr>
          <w:b/>
        </w:rPr>
        <w:t xml:space="preserve">Agent Database : </w:t>
      </w:r>
      <w:r>
        <w:t>Migrations, PostgreSQL, contraintes, index, RLS et types.</w:t>
      </w:r>
    </w:p>
    <w:p>
      <w:pPr>
        <w:pStyle w:val="ListBullet"/>
      </w:pPr>
      <w:r>
        <w:rPr>
          <w:b/>
        </w:rPr>
        <w:t xml:space="preserve">Agent Backend : </w:t>
      </w:r>
      <w:r>
        <w:t>Services métier, quotas, réservations, commandes, paiements et notifications.</w:t>
      </w:r>
    </w:p>
    <w:p>
      <w:pPr>
        <w:pStyle w:val="ListBullet"/>
      </w:pPr>
      <w:r>
        <w:rPr>
          <w:b/>
        </w:rPr>
        <w:t xml:space="preserve">Agent Frontend : </w:t>
      </w:r>
      <w:r>
        <w:t>Interfaces web et intégration des contrats backend.</w:t>
      </w:r>
    </w:p>
    <w:p>
      <w:pPr>
        <w:pStyle w:val="ListBullet"/>
      </w:pPr>
      <w:r>
        <w:rPr>
          <w:b/>
        </w:rPr>
        <w:t xml:space="preserve">Agent QA/Sécurité : </w:t>
      </w:r>
      <w:r>
        <w:t>Tests des permissions, RLS, concurrence, quotas, paiements et cas limites.</w:t>
      </w:r>
    </w:p>
    <w:p>
      <w:pPr>
        <w:pStyle w:val="Heading2"/>
      </w:pPr>
      <w:r>
        <w:t>26.1 Sécurité MCP</w:t>
      </w:r>
    </w:p>
    <w:p>
      <w:pPr>
        <w:pStyle w:val="ListBullet"/>
      </w:pPr>
      <w:r>
        <w:t>Projet Supabase de développement séparé de la production.</w:t>
      </w:r>
    </w:p>
    <w:p>
      <w:pPr>
        <w:pStyle w:val="ListBullet"/>
      </w:pPr>
      <w:r>
        <w:t>Permissions MCP limitées au strict nécessaire.</w:t>
      </w:r>
    </w:p>
    <w:p>
      <w:pPr>
        <w:pStyle w:val="ListBullet"/>
      </w:pPr>
      <w:r>
        <w:t>Mode lecture seule privilégié pour les tâches d’inspection.</w:t>
      </w:r>
    </w:p>
    <w:p>
      <w:pPr>
        <w:pStyle w:val="ListBullet"/>
      </w:pPr>
      <w:r>
        <w:t>Migrations production relues avant application.</w:t>
      </w:r>
    </w:p>
    <w:p>
      <w:pPr>
        <w:pStyle w:val="ListBullet"/>
      </w:pPr>
      <w:r>
        <w:t>Secrets et service-role keys jamais exposés au frontend.</w:t>
      </w:r>
    </w:p>
    <w:p>
      <w:pPr>
        <w:pStyle w:val="ListBullet"/>
      </w:pPr>
      <w:r>
        <w:t>Toutes les modifications de schéma versionnées dans Git.</w:t>
      </w:r>
    </w:p>
    <w:p>
      <w:pPr>
        <w:pStyle w:val="ListBullet"/>
      </w:pPr>
      <w:r>
        <w:t>En cas d’ambiguïté, l’agent doit demander/indiquer le point au lieu d’inventer.</w:t>
      </w:r>
    </w:p>
    <w:p>
      <w:pPr>
        <w:pStyle w:val="Heading1"/>
      </w:pPr>
      <w:r>
        <w:t>27. Règles anti-hallucination pour les agents</w:t>
      </w:r>
    </w:p>
    <w:p>
      <w:pPr>
        <w:pStyle w:val="ListBullet"/>
      </w:pPr>
      <w:r>
        <w:t>Ne créer aucune table ou fonctionnalité non justifiée.</w:t>
      </w:r>
    </w:p>
    <w:p>
      <w:pPr>
        <w:pStyle w:val="ListBullet"/>
      </w:pPr>
      <w:r>
        <w:t>Ne pas modifier implicitement une règle métier.</w:t>
      </w:r>
    </w:p>
    <w:p>
      <w:pPr>
        <w:pStyle w:val="ListBullet"/>
      </w:pPr>
      <w:r>
        <w:t>Ne jamais supposer qu’un paiement est réussi sans confirmation serveur.</w:t>
      </w:r>
    </w:p>
    <w:p>
      <w:pPr>
        <w:pStyle w:val="ListBullet"/>
      </w:pPr>
      <w:r>
        <w:t>Ne jamais supposer qu’un stock est disponible sans vérification transactionnelle.</w:t>
      </w:r>
    </w:p>
    <w:p>
      <w:pPr>
        <w:pStyle w:val="ListBullet"/>
      </w:pPr>
      <w:r>
        <w:t>Ne jamais exposer les données privées d’une autre entreprise.</w:t>
      </w:r>
    </w:p>
    <w:p>
      <w:pPr>
        <w:pStyle w:val="ListBullet"/>
      </w:pPr>
      <w:r>
        <w:t>Ne pas contourner RLS pour simplifier le frontend.</w:t>
      </w:r>
    </w:p>
    <w:p>
      <w:pPr>
        <w:pStyle w:val="ListBullet"/>
      </w:pPr>
      <w:r>
        <w:t>Ne pas activer la prévision avant les critères de données définis.</w:t>
      </w:r>
    </w:p>
    <w:p>
      <w:pPr>
        <w:pStyle w:val="ListBullet"/>
      </w:pPr>
      <w:r>
        <w:t>Avant chaque étape, vérifier les fichiers, tables, migrations et règles concernés.</w:t>
      </w:r>
    </w:p>
    <w:p>
      <w:pPr>
        <w:pStyle w:val="ListBullet"/>
      </w:pPr>
      <w:r>
        <w:t>Après chaque étape, exécuter les tests et signaler les hypothèses restantes.</w:t>
      </w:r>
    </w:p>
    <w:p>
      <w:pPr>
        <w:pStyle w:val="Heading1"/>
      </w:pPr>
      <w:r>
        <w:t>28. Feuille de route technique</w:t>
      </w:r>
    </w:p>
    <w:tbl>
      <w:tblPr>
        <w:tblStyle w:val="TableGrid"/>
        <w:tblW w:type="auto" w:w="0"/>
        <w:tblLook w:firstColumn="1" w:firstRow="1" w:lastColumn="0" w:lastRow="0" w:noHBand="0" w:noVBand="1" w:val="04A0"/>
      </w:tblPr>
      <w:tblGrid>
        <w:gridCol w:w="4968"/>
        <w:gridCol w:w="4968"/>
      </w:tblGrid>
      <w:tr>
        <w:tc>
          <w:tcPr>
            <w:tcW w:type="dxa" w:w="4968"/>
          </w:tcPr>
          <w:p>
            <w:r>
              <w:t>Phase</w:t>
            </w:r>
          </w:p>
        </w:tc>
        <w:tc>
          <w:tcPr>
            <w:tcW w:type="dxa" w:w="4968"/>
          </w:tcPr>
          <w:p>
            <w:r>
              <w:t>Objectif</w:t>
            </w:r>
          </w:p>
        </w:tc>
      </w:tr>
      <w:tr>
        <w:tc>
          <w:tcPr>
            <w:tcW w:type="dxa" w:w="4968"/>
          </w:tcPr>
          <w:p>
            <w:r>
              <w:t>0 — Spécification</w:t>
            </w:r>
          </w:p>
        </w:tc>
        <w:tc>
          <w:tcPr>
            <w:tcW w:type="dxa" w:w="4968"/>
          </w:tcPr>
          <w:p>
            <w:r>
              <w:t>Règles métier, MCD/ERD, dictionnaire, rôles et RLS.</w:t>
            </w:r>
          </w:p>
        </w:tc>
      </w:tr>
      <w:tr>
        <w:tc>
          <w:tcPr>
            <w:tcW w:type="dxa" w:w="4968"/>
          </w:tcPr>
          <w:p>
            <w:r>
              <w:t>1 — Fondation</w:t>
            </w:r>
          </w:p>
        </w:tc>
        <w:tc>
          <w:tcPr>
            <w:tcW w:type="dxa" w:w="4968"/>
          </w:tcPr>
          <w:p>
            <w:r>
              <w:t>Supabase dev, migrations, Auth, Storage, PostGIS, RLS.</w:t>
            </w:r>
          </w:p>
        </w:tc>
      </w:tr>
      <w:tr>
        <w:tc>
          <w:tcPr>
            <w:tcW w:type="dxa" w:w="4968"/>
          </w:tcPr>
          <w:p>
            <w:r>
              <w:t>2 — Backend</w:t>
            </w:r>
          </w:p>
        </w:tc>
        <w:tc>
          <w:tcPr>
            <w:tcW w:type="dxa" w:w="4968"/>
          </w:tcPr>
          <w:p>
            <w:r>
              <w:t>Entreprises, produits, productions, lots, demandes, campagnes, commandes et réservations.</w:t>
            </w:r>
          </w:p>
        </w:tc>
      </w:tr>
      <w:tr>
        <w:tc>
          <w:tcPr>
            <w:tcW w:type="dxa" w:w="4968"/>
          </w:tcPr>
          <w:p>
            <w:r>
              <w:t>3 — Web</w:t>
            </w:r>
          </w:p>
        </w:tc>
        <w:tc>
          <w:tcPr>
            <w:tcW w:type="dxa" w:w="4968"/>
          </w:tcPr>
          <w:p>
            <w:r>
              <w:t>Onboarding, dashboards, marketplace, demandes, campagnes, commandes et livraisons.</w:t>
            </w:r>
          </w:p>
        </w:tc>
      </w:tr>
      <w:tr>
        <w:tc>
          <w:tcPr>
            <w:tcW w:type="dxa" w:w="4968"/>
          </w:tcPr>
          <w:p>
            <w:r>
              <w:t>4 — Notifications</w:t>
            </w:r>
          </w:p>
        </w:tc>
        <w:tc>
          <w:tcPr>
            <w:tcW w:type="dxa" w:w="4968"/>
          </w:tcPr>
          <w:p>
            <w:r>
              <w:t>Centre interne, e-mail, puis WhatsApp.</w:t>
            </w:r>
          </w:p>
        </w:tc>
      </w:tr>
      <w:tr>
        <w:tc>
          <w:tcPr>
            <w:tcW w:type="dxa" w:w="4968"/>
          </w:tcPr>
          <w:p>
            <w:r>
              <w:t>5 — Abonnements</w:t>
            </w:r>
          </w:p>
        </w:tc>
        <w:tc>
          <w:tcPr>
            <w:tcW w:type="dxa" w:w="4968"/>
          </w:tcPr>
          <w:p>
            <w:r>
              <w:t>Plans, essai gratuit, quota, pawaPay Sandbox puis production.</w:t>
            </w:r>
          </w:p>
        </w:tc>
      </w:tr>
      <w:tr>
        <w:tc>
          <w:tcPr>
            <w:tcW w:type="dxa" w:w="4968"/>
          </w:tcPr>
          <w:p>
            <w:r>
              <w:t>6 — Statistiques</w:t>
            </w:r>
          </w:p>
        </w:tc>
        <w:tc>
          <w:tcPr>
            <w:tcW w:type="dxa" w:w="4968"/>
          </w:tcPr>
          <w:p>
            <w:r>
              <w:t>Tableaux de bord descriptifs et agrégations.</w:t>
            </w:r>
          </w:p>
        </w:tc>
      </w:tr>
      <w:tr>
        <w:tc>
          <w:tcPr>
            <w:tcW w:type="dxa" w:w="4968"/>
          </w:tcPr>
          <w:p>
            <w:r>
              <w:t>7 — Pilote</w:t>
            </w:r>
          </w:p>
        </w:tc>
        <w:tc>
          <w:tcPr>
            <w:tcW w:type="dxa" w:w="4968"/>
          </w:tcPr>
          <w:p>
            <w:r>
              <w:t>Premières entreprises/revendeurs et transactions réelles.</w:t>
            </w:r>
          </w:p>
        </w:tc>
      </w:tr>
      <w:tr>
        <w:tc>
          <w:tcPr>
            <w:tcW w:type="dxa" w:w="4968"/>
          </w:tcPr>
          <w:p>
            <w:r>
              <w:t>8 — Intelligence</w:t>
            </w:r>
          </w:p>
        </w:tc>
        <w:tc>
          <w:tcPr>
            <w:tcW w:type="dxa" w:w="4968"/>
          </w:tcPr>
          <w:p>
            <w:r>
              <w:t>Tendances puis prévision lorsque les seuils sont atteints.</w:t>
            </w:r>
          </w:p>
        </w:tc>
      </w:tr>
      <w:tr>
        <w:tc>
          <w:tcPr>
            <w:tcW w:type="dxa" w:w="4968"/>
          </w:tcPr>
          <w:p>
            <w:r>
              <w:t>9 — Mobile</w:t>
            </w:r>
          </w:p>
        </w:tc>
        <w:tc>
          <w:tcPr>
            <w:tcW w:type="dxa" w:w="4968"/>
          </w:tcPr>
          <w:p>
            <w:r>
              <w:t>Application Flutter réutilisant le backend.</w:t>
            </w:r>
          </w:p>
        </w:tc>
      </w:tr>
    </w:tbl>
    <w:p>
      <w:pPr>
        <w:pStyle w:val="Heading1"/>
      </w:pPr>
      <w:r>
        <w:t>29. Références techniques</w:t>
      </w:r>
    </w:p>
    <w:p>
      <w:r>
        <w:t>Supabase documente l’utilisation de PostgreSQL, Auth, Storage, PostGIS et RLS ; PostgreSQL fournit les mécanismes transactionnels nécessaires aux réservations concurrentes ; pawaPay fournit l’intégration Mobile Money et les callbacks de statut. Ces éléments sont utilisés comme fondations techniques du projet.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