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A3F36"/>
          <w:sz w:val="36"/>
          <w:szCs w:val="36"/>
        </w:rPr>
        <w:t xml:space="preserve">5 Signs You're Not Ready to Retire — YouTube Packaging</w:t>
      </w:r>
    </w:p>
    <w:p>
      <w:pPr>
        <w:spacing w:after="130" w:before="260"/>
      </w:pPr>
      <w:r>
        <w:rPr>
          <w:rFonts w:ascii="Arial" w:cs="Arial" w:eastAsia="Arial" w:hAnsi="Arial"/>
          <w:b/>
          <w:bCs/>
          <w:color w:val="4A3F36"/>
          <w:sz w:val="32"/>
          <w:szCs w:val="32"/>
        </w:rPr>
        <w:t xml:space="preserve">Title Options</w:t>
      </w:r>
    </w:p>
    <w:p>
      <w:r>
        <w:rPr>
          <w:rFonts w:ascii="Arial" w:cs="Arial" w:eastAsia="Arial" w:hAnsi="Arial"/>
          <w:i/>
          <w:iCs/>
          <w:color w:val="8A7F73"/>
          <w:sz w:val="18"/>
          <w:szCs w:val="18"/>
        </w:rPr>
        <w:t xml:space="preserve">Search = how closely the title matches what a retirement viewer actually types into YouTube (1–10).   Len = character count; green stays visible on mobile.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F2F2F2" w:val="clear"/>
            <w:tcMar>
              <w:top w:type="dxa" w:w="100"/>
              <w:left w:type="dxa" w:w="160"/>
              <w:bottom w:type="dxa" w:w="100"/>
              <w:right w:type="dxa" w:w="160"/>
            </w:tcMar>
          </w:tcPr>
          <w:p>
            <w:r>
              <w:rPr>
                <w:rFonts w:ascii="Arial" w:cs="Arial" w:eastAsia="Arial" w:hAnsi="Arial"/>
                <w:b/>
                <w:bCs/>
                <w:sz w:val="22"/>
                <w:szCs w:val="22"/>
              </w:rPr>
              <w:t xml:space="preserve">#</w:t>
            </w:r>
          </w:p>
        </w:tc>
        <w:tc>
          <w:tcPr>
            <w:tcW w:type="dxa" w:w="4700"/>
            <w:shd w:fill="F2F2F2" w:val="clear"/>
            <w:tcMar>
              <w:top w:type="dxa" w:w="100"/>
              <w:left w:type="dxa" w:w="160"/>
              <w:bottom w:type="dxa" w:w="100"/>
              <w:right w:type="dxa" w:w="160"/>
            </w:tcMar>
          </w:tcPr>
          <w:p>
            <w:r>
              <w:rPr>
                <w:rFonts w:ascii="Arial" w:cs="Arial" w:eastAsia="Arial" w:hAnsi="Arial"/>
                <w:b/>
                <w:bCs/>
                <w:sz w:val="22"/>
                <w:szCs w:val="22"/>
              </w:rPr>
              <w:t xml:space="preserve">Title</w:t>
            </w:r>
          </w:p>
        </w:tc>
        <w:tc>
          <w:tcPr>
            <w:tcW w:type="dxa" w:w="1200"/>
            <w:shd w:fill="F2F2F2" w:val="clear"/>
            <w:tcMar>
              <w:top w:type="dxa" w:w="100"/>
              <w:left w:type="dxa" w:w="160"/>
              <w:bottom w:type="dxa" w:w="100"/>
              <w:right w:type="dxa" w:w="160"/>
            </w:tcMar>
          </w:tcPr>
          <w:p>
            <w:r>
              <w:rPr>
                <w:rFonts w:ascii="Arial" w:cs="Arial" w:eastAsia="Arial" w:hAnsi="Arial"/>
                <w:b/>
                <w:bCs/>
                <w:sz w:val="22"/>
                <w:szCs w:val="22"/>
              </w:rPr>
              <w:t xml:space="preserve">Search</w:t>
            </w:r>
          </w:p>
        </w:tc>
        <w:tc>
          <w:tcPr>
            <w:tcW w:type="dxa" w:w="900"/>
            <w:shd w:fill="F2F2F2" w:val="clear"/>
            <w:tcMar>
              <w:top w:type="dxa" w:w="100"/>
              <w:left w:type="dxa" w:w="160"/>
              <w:bottom w:type="dxa" w:w="100"/>
              <w:right w:type="dxa" w:w="160"/>
            </w:tcMar>
          </w:tcPr>
          <w:p>
            <w:r>
              <w:rPr>
                <w:rFonts w:ascii="Arial" w:cs="Arial" w:eastAsia="Arial" w:hAnsi="Arial"/>
                <w:b/>
                <w:bCs/>
                <w:sz w:val="22"/>
                <w:szCs w:val="22"/>
              </w:rPr>
              <w:t xml:space="preserve">Len</w:t>
            </w:r>
          </w:p>
        </w:tc>
        <w:tc>
          <w:tcPr>
            <w:tcW w:type="dxa" w:w="2060"/>
            <w:shd w:fill="F2F2F2" w:val="clear"/>
            <w:tcMar>
              <w:top w:type="dxa" w:w="100"/>
              <w:left w:type="dxa" w:w="160"/>
              <w:bottom w:type="dxa" w:w="100"/>
              <w:right w:type="dxa" w:w="160"/>
            </w:tcMar>
          </w:tcPr>
          <w:p>
            <w:r>
              <w:rPr>
                <w:rFonts w:ascii="Arial" w:cs="Arial" w:eastAsia="Arial" w:hAnsi="Arial"/>
                <w:b/>
                <w:bCs/>
                <w:sz w:val="22"/>
                <w:szCs w:val="22"/>
              </w:rPr>
              <w:t xml:space="preserve">Pattern</w:t>
            </w:r>
          </w:p>
        </w:tc>
      </w:tr>
      <w:tr>
        <w:tc>
          <w:tcPr>
            <w:tcW w:type="dxa" w:w="500"/>
            <w:tcMar>
              <w:top w:type="dxa" w:w="100"/>
              <w:left w:type="dxa" w:w="160"/>
              <w:bottom w:type="dxa" w:w="100"/>
              <w:right w:type="dxa" w:w="160"/>
            </w:tcMar>
          </w:tcPr>
          <w:p>
            <w:r>
              <w:rPr>
                <w:rFonts w:ascii="Arial" w:cs="Arial" w:eastAsia="Arial" w:hAnsi="Arial"/>
                <w:sz w:val="22"/>
                <w:szCs w:val="22"/>
              </w:rPr>
              <w:t xml:space="preserve">1</w:t>
            </w:r>
          </w:p>
        </w:tc>
        <w:tc>
          <w:tcPr>
            <w:tcW w:type="dxa" w:w="4700"/>
            <w:tcMar>
              <w:top w:type="dxa" w:w="100"/>
              <w:left w:type="dxa" w:w="160"/>
              <w:bottom w:type="dxa" w:w="100"/>
              <w:right w:type="dxa" w:w="160"/>
            </w:tcMar>
          </w:tcPr>
          <w:p>
            <w:r>
              <w:rPr>
                <w:rFonts w:ascii="Arial" w:cs="Arial" w:eastAsia="Arial" w:hAnsi="Arial"/>
                <w:sz w:val="22"/>
                <w:szCs w:val="22"/>
              </w:rPr>
              <w:t xml:space="preserve">5 Signs You're Not Ready to Retire</w:t>
            </w:r>
          </w:p>
        </w:tc>
        <w:tc>
          <w:tcPr>
            <w:tcW w:type="dxa" w:w="1200"/>
            <w:tcMar>
              <w:top w:type="dxa" w:w="100"/>
              <w:left w:type="dxa" w:w="160"/>
              <w:bottom w:type="dxa" w:w="100"/>
              <w:right w:type="dxa" w:w="160"/>
            </w:tcMar>
          </w:tcPr>
          <w:p>
            <w:r>
              <w:rPr>
                <w:rFonts w:ascii="Arial" w:cs="Arial" w:eastAsia="Arial" w:hAnsi="Arial"/>
                <w:sz w:val="22"/>
                <w:szCs w:val="22"/>
              </w:rPr>
              <w:t xml:space="preserve">10</w:t>
            </w:r>
          </w:p>
        </w:tc>
        <w:tc>
          <w:tcPr>
            <w:tcW w:type="dxa" w:w="900"/>
            <w:tcMar>
              <w:top w:type="dxa" w:w="100"/>
              <w:left w:type="dxa" w:w="160"/>
              <w:bottom w:type="dxa" w:w="100"/>
              <w:right w:type="dxa" w:w="160"/>
            </w:tcMar>
          </w:tcPr>
          <w:p>
            <w:r>
              <w:rPr>
                <w:rFonts w:ascii="Arial" w:cs="Arial" w:eastAsia="Arial" w:hAnsi="Arial"/>
                <w:b/>
                <w:bCs/>
                <w:color w:val="2E7D32"/>
                <w:sz w:val="22"/>
                <w:szCs w:val="22"/>
              </w:rPr>
              <w:t xml:space="preserve">34</w:t>
            </w:r>
          </w:p>
        </w:tc>
        <w:tc>
          <w:tcPr>
            <w:tcW w:type="dxa" w:w="2060"/>
            <w:tcMar>
              <w:top w:type="dxa" w:w="100"/>
              <w:left w:type="dxa" w:w="160"/>
              <w:bottom w:type="dxa" w:w="100"/>
              <w:right w:type="dxa" w:w="160"/>
            </w:tcMar>
          </w:tcPr>
          <w:p>
            <w:r>
              <w:rPr>
                <w:rFonts w:ascii="Arial" w:cs="Arial" w:eastAsia="Arial" w:hAnsi="Arial"/>
                <w:sz w:val="22"/>
                <w:szCs w:val="22"/>
              </w:rPr>
              <w:t xml:space="preserve">Warning / loss</w:t>
            </w:r>
          </w:p>
        </w:tc>
      </w:tr>
      <w:tr>
        <w:tc>
          <w:tcPr>
            <w:tcW w:type="dxa" w:w="500"/>
            <w:tcMar>
              <w:top w:type="dxa" w:w="100"/>
              <w:left w:type="dxa" w:w="160"/>
              <w:bottom w:type="dxa" w:w="100"/>
              <w:right w:type="dxa" w:w="160"/>
            </w:tcMar>
          </w:tcPr>
          <w:p>
            <w:r>
              <w:rPr>
                <w:rFonts w:ascii="Arial" w:cs="Arial" w:eastAsia="Arial" w:hAnsi="Arial"/>
                <w:sz w:val="22"/>
                <w:szCs w:val="22"/>
              </w:rPr>
              <w:t xml:space="preserve">2</w:t>
            </w:r>
          </w:p>
        </w:tc>
        <w:tc>
          <w:tcPr>
            <w:tcW w:type="dxa" w:w="4700"/>
            <w:tcMar>
              <w:top w:type="dxa" w:w="100"/>
              <w:left w:type="dxa" w:w="160"/>
              <w:bottom w:type="dxa" w:w="100"/>
              <w:right w:type="dxa" w:w="160"/>
            </w:tcMar>
          </w:tcPr>
          <w:p>
            <w:r>
              <w:rPr>
                <w:rFonts w:ascii="Arial" w:cs="Arial" w:eastAsia="Arial" w:hAnsi="Arial"/>
                <w:sz w:val="22"/>
                <w:szCs w:val="22"/>
              </w:rPr>
              <w:t xml:space="preserve">You Can Afford to Retire. You're Still Not Ready.</w:t>
            </w:r>
          </w:p>
        </w:tc>
        <w:tc>
          <w:tcPr>
            <w:tcW w:type="dxa" w:w="1200"/>
            <w:tcMar>
              <w:top w:type="dxa" w:w="100"/>
              <w:left w:type="dxa" w:w="160"/>
              <w:bottom w:type="dxa" w:w="100"/>
              <w:right w:type="dxa" w:w="160"/>
            </w:tcMar>
          </w:tcPr>
          <w:p>
            <w:r>
              <w:rPr>
                <w:rFonts w:ascii="Arial" w:cs="Arial" w:eastAsia="Arial" w:hAnsi="Arial"/>
                <w:sz w:val="22"/>
                <w:szCs w:val="22"/>
              </w:rPr>
              <w:t xml:space="preserve">4</w:t>
            </w:r>
          </w:p>
        </w:tc>
        <w:tc>
          <w:tcPr>
            <w:tcW w:type="dxa" w:w="900"/>
            <w:tcMar>
              <w:top w:type="dxa" w:w="100"/>
              <w:left w:type="dxa" w:w="160"/>
              <w:bottom w:type="dxa" w:w="100"/>
              <w:right w:type="dxa" w:w="160"/>
            </w:tcMar>
          </w:tcPr>
          <w:p>
            <w:r>
              <w:rPr>
                <w:rFonts w:ascii="Arial" w:cs="Arial" w:eastAsia="Arial" w:hAnsi="Arial"/>
                <w:b/>
                <w:bCs/>
                <w:color w:val="2E7D32"/>
                <w:sz w:val="22"/>
                <w:szCs w:val="22"/>
              </w:rPr>
              <w:t xml:space="preserve">49</w:t>
            </w:r>
          </w:p>
        </w:tc>
        <w:tc>
          <w:tcPr>
            <w:tcW w:type="dxa" w:w="2060"/>
            <w:tcMar>
              <w:top w:type="dxa" w:w="100"/>
              <w:left w:type="dxa" w:w="160"/>
              <w:bottom w:type="dxa" w:w="100"/>
              <w:right w:type="dxa" w:w="160"/>
            </w:tcMar>
          </w:tcPr>
          <w:p>
            <w:r>
              <w:rPr>
                <w:rFonts w:ascii="Arial" w:cs="Arial" w:eastAsia="Arial" w:hAnsi="Arial"/>
                <w:sz w:val="22"/>
                <w:szCs w:val="22"/>
              </w:rPr>
              <w:t xml:space="preserve">Contrarian pushback</w:t>
            </w:r>
          </w:p>
        </w:tc>
      </w:tr>
      <w:tr>
        <w:tc>
          <w:tcPr>
            <w:tcW w:type="dxa" w:w="500"/>
            <w:tcMar>
              <w:top w:type="dxa" w:w="100"/>
              <w:left w:type="dxa" w:w="160"/>
              <w:bottom w:type="dxa" w:w="100"/>
              <w:right w:type="dxa" w:w="160"/>
            </w:tcMar>
          </w:tcPr>
          <w:p>
            <w:r>
              <w:rPr>
                <w:rFonts w:ascii="Arial" w:cs="Arial" w:eastAsia="Arial" w:hAnsi="Arial"/>
                <w:sz w:val="22"/>
                <w:szCs w:val="22"/>
              </w:rPr>
              <w:t xml:space="preserve">3</w:t>
            </w:r>
          </w:p>
        </w:tc>
        <w:tc>
          <w:tcPr>
            <w:tcW w:type="dxa" w:w="4700"/>
            <w:tcMar>
              <w:top w:type="dxa" w:w="100"/>
              <w:left w:type="dxa" w:w="160"/>
              <w:bottom w:type="dxa" w:w="100"/>
              <w:right w:type="dxa" w:w="160"/>
            </w:tcMar>
          </w:tcPr>
          <w:p>
            <w:r>
              <w:rPr>
                <w:rFonts w:ascii="Arial" w:cs="Arial" w:eastAsia="Arial" w:hAnsi="Arial"/>
                <w:sz w:val="22"/>
                <w:szCs w:val="22"/>
              </w:rPr>
              <w:t xml:space="preserve">The 5-Question Retirement Readiness Check</w:t>
            </w:r>
          </w:p>
        </w:tc>
        <w:tc>
          <w:tcPr>
            <w:tcW w:type="dxa" w:w="1200"/>
            <w:tcMar>
              <w:top w:type="dxa" w:w="100"/>
              <w:left w:type="dxa" w:w="160"/>
              <w:bottom w:type="dxa" w:w="100"/>
              <w:right w:type="dxa" w:w="160"/>
            </w:tcMar>
          </w:tcPr>
          <w:p>
            <w:r>
              <w:rPr>
                <w:rFonts w:ascii="Arial" w:cs="Arial" w:eastAsia="Arial" w:hAnsi="Arial"/>
                <w:sz w:val="22"/>
                <w:szCs w:val="22"/>
              </w:rPr>
              <w:t xml:space="preserve">7</w:t>
            </w:r>
          </w:p>
        </w:tc>
        <w:tc>
          <w:tcPr>
            <w:tcW w:type="dxa" w:w="900"/>
            <w:tcMar>
              <w:top w:type="dxa" w:w="100"/>
              <w:left w:type="dxa" w:w="160"/>
              <w:bottom w:type="dxa" w:w="100"/>
              <w:right w:type="dxa" w:w="160"/>
            </w:tcMar>
          </w:tcPr>
          <w:p>
            <w:r>
              <w:rPr>
                <w:rFonts w:ascii="Arial" w:cs="Arial" w:eastAsia="Arial" w:hAnsi="Arial"/>
                <w:b/>
                <w:bCs/>
                <w:color w:val="2E7D32"/>
                <w:sz w:val="22"/>
                <w:szCs w:val="22"/>
              </w:rPr>
              <w:t xml:space="preserve">41</w:t>
            </w:r>
          </w:p>
        </w:tc>
        <w:tc>
          <w:tcPr>
            <w:tcW w:type="dxa" w:w="2060"/>
            <w:tcMar>
              <w:top w:type="dxa" w:w="100"/>
              <w:left w:type="dxa" w:w="160"/>
              <w:bottom w:type="dxa" w:w="100"/>
              <w:right w:type="dxa" w:w="160"/>
            </w:tcMar>
          </w:tcPr>
          <w:p>
            <w:r>
              <w:rPr>
                <w:rFonts w:ascii="Arial" w:cs="Arial" w:eastAsia="Arial" w:hAnsi="Arial"/>
                <w:sz w:val="22"/>
                <w:szCs w:val="22"/>
              </w:rPr>
              <w:t xml:space="preserve">Authority / framework</w:t>
            </w:r>
          </w:p>
        </w:tc>
      </w:tr>
    </w:tbl>
    <w:p>
      <w:pPr>
        <w:spacing w:after="130" w:before="260"/>
      </w:pPr>
      <w:r>
        <w:rPr>
          <w:rFonts w:ascii="Arial" w:cs="Arial" w:eastAsia="Arial" w:hAnsi="Arial"/>
          <w:b/>
          <w:bCs/>
          <w:color w:val="4A3F36"/>
          <w:sz w:val="32"/>
          <w:szCs w:val="32"/>
        </w:rPr>
        <w:t xml:space="preserve">Thumbnail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Recommended — "ARE YOU READY?"</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Alt — "ONLY 2 ARE ABOUT MONEY"</w:t>
            </w:r>
          </w:p>
        </w:tc>
      </w:tr>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Alt — "STILL NOT READY"</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tcPr>
          <w:p>
            <w:pPr>
              <w:spacing w:after="60"/>
              <w:jc w:val="center"/>
            </w:pPr>
            <w:r>
              <w:drawing>
                <wp:inline distT="0" distB="0" distL="0" distR="0">
                  <wp:extent cx="2667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504950"/>
                          </a:xfrm>
                          <a:prstGeom prst="rect">
                            <a:avLst/>
                          </a:prstGeom>
                        </pic:spPr>
                      </pic:pic>
                    </a:graphicData>
                  </a:graphic>
                </wp:inline>
              </w:drawing>
            </w:r>
          </w:p>
          <w:p>
            <w:pPr>
              <w:jc w:val="center"/>
            </w:pPr>
            <w:r>
              <w:rPr>
                <w:rFonts w:ascii="Arial" w:cs="Arial" w:eastAsia="Arial" w:hAnsi="Arial"/>
                <w:i/>
                <w:iCs/>
                <w:color w:val="8A7F73"/>
                <w:sz w:val="18"/>
                <w:szCs w:val="18"/>
              </w:rPr>
              <w:t xml:space="preserve">Alt — "THE 3 NOBODY PLANS FOR"</w:t>
            </w:r>
          </w:p>
        </w:tc>
      </w:tr>
    </w:tbl>
    <w:p>
      <w:r>
        <w:br w:type="page"/>
      </w:r>
    </w:p>
    <w:p>
      <w:pPr>
        <w:spacing w:after="130" w:before="260"/>
      </w:pPr>
      <w:r>
        <w:rPr>
          <w:rFonts w:ascii="Arial" w:cs="Arial" w:eastAsia="Arial" w:hAnsi="Arial"/>
          <w:b/>
          <w:bCs/>
          <w:color w:val="4A3F36"/>
          <w:sz w:val="32"/>
          <w:szCs w:val="32"/>
        </w:rPr>
        <w:t xml:space="preserve">Video Description</w:t>
      </w:r>
    </w:p>
    <w:p>
      <w:pPr>
        <w:spacing w:after="110"/>
      </w:pPr>
      <w:r>
        <w:rPr>
          <w:rFonts w:ascii="Arial" w:cs="Arial" w:eastAsia="Arial" w:hAnsi="Arial"/>
          <w:sz w:val="24"/>
          <w:szCs w:val="24"/>
        </w:rPr>
        <w:t xml:space="preserve">You can have the money and still not be ready to retire.</w:t>
      </w:r>
    </w:p>
    <w:p>
      <w:pPr>
        <w:spacing w:after="110"/>
      </w:pPr>
      <w:r>
        <w:rPr>
          <w:rFonts w:ascii="Arial" w:cs="Arial" w:eastAsia="Arial" w:hAnsi="Arial"/>
          <w:sz w:val="24"/>
          <w:szCs w:val="24"/>
        </w:rPr>
        <w:t xml:space="preserve">After nearly 15 years as a CFP®, Aaron Christopherson breaks down the five warning signs he sees most often in the years before retirement — and why only two of them are actually about your money.</w:t>
      </w:r>
    </w:p>
    <w:p>
      <w:pPr>
        <w:spacing w:after="110"/>
      </w:pPr>
      <w:r>
        <w:rPr>
          <w:rFonts w:ascii="Arial" w:cs="Arial" w:eastAsia="Arial" w:hAnsi="Arial"/>
          <w:sz w:val="24"/>
          <w:szCs w:val="24"/>
        </w:rPr>
        <w:t xml:space="preserve">• Why a guessed spending number breaks the whole plan</w:t>
      </w:r>
    </w:p>
    <w:p>
      <w:pPr>
        <w:spacing w:after="110"/>
      </w:pPr>
      <w:r>
        <w:rPr>
          <w:rFonts w:ascii="Arial" w:cs="Arial" w:eastAsia="Arial" w:hAnsi="Arial"/>
          <w:sz w:val="24"/>
          <w:szCs w:val="24"/>
        </w:rPr>
        <w:t xml:space="preserve">• Shifting a portfolio from accumulation to retirement income</w:t>
      </w:r>
    </w:p>
    <w:p>
      <w:pPr>
        <w:spacing w:after="110"/>
      </w:pPr>
      <w:r>
        <w:rPr>
          <w:rFonts w:ascii="Arial" w:cs="Arial" w:eastAsia="Arial" w:hAnsi="Arial"/>
          <w:sz w:val="24"/>
          <w:szCs w:val="24"/>
        </w:rPr>
        <w:t xml:space="preserve">• Knowing what you're retiring to, not just what you're retiring from</w:t>
      </w:r>
    </w:p>
    <w:p>
      <w:pPr>
        <w:spacing w:after="110"/>
      </w:pPr>
      <w:r>
        <w:rPr>
          <w:rFonts w:ascii="Arial" w:cs="Arial" w:eastAsia="Arial" w:hAnsi="Arial"/>
          <w:sz w:val="24"/>
          <w:szCs w:val="24"/>
        </w:rPr>
        <w:t xml:space="preserve">• Getting on the same page as your spouse before you retire</w:t>
      </w:r>
    </w:p>
    <w:p>
      <w:pPr>
        <w:spacing w:after="240"/>
      </w:pPr>
      <w:r>
        <w:rPr>
          <w:rFonts w:ascii="Arial" w:cs="Arial" w:eastAsia="Arial" w:hAnsi="Arial"/>
          <w:sz w:val="24"/>
          <w:szCs w:val="24"/>
        </w:rPr>
        <w:t xml:space="preserve">More at thinkpinnacle.com</w:t>
      </w:r>
    </w:p>
    <w:p>
      <w:pPr>
        <w:spacing w:after="110"/>
      </w:pPr>
      <w:r>
        <w:rPr>
          <w:rFonts w:ascii="Arial" w:cs="Arial" w:eastAsia="Arial" w:hAnsi="Arial"/>
          <w:sz w:val="24"/>
          <w:szCs w:val="24"/>
        </w:rPr>
        <w:t xml:space="preserve">DISCLAIMER: Advisory services are offered through Pinnacle Wealth Advisors, LLC, an SEC-registered investment adviser. This content is intended for informational and educational purposes only and should not be considered personalized investment, tax, or legal advice. Viewing this content does not create an advisory relationship. We do not provide tax preparation or legal services. Always consult an investment, tax or legal professional regarding your specific situation. The strategies, case studies, and examples discussed may not be suitable for everyone. They are hypothetical and for illustrative and educational purposes only. They do not reflect actual client results and are not guarantees of future performance. All investments involve risk, including the potential loss of principal. Comments reflect the views of individual users and do not necessarily represent the views of Pinnacle Wealth Advisors. They are not verified, may not be accurate, and should not be considered testimonials or endorsements Advisory services are offered only under a written agreement with Pinnacle Wealth Advisors.</w:t>
      </w:r>
    </w:p>
    <w:p>
      <w:pPr>
        <w:spacing w:after="130" w:before="260"/>
      </w:pPr>
      <w:r>
        <w:rPr>
          <w:rFonts w:ascii="Arial" w:cs="Arial" w:eastAsia="Arial" w:hAnsi="Arial"/>
          <w:b/>
          <w:bCs/>
          <w:color w:val="4A3F36"/>
          <w:sz w:val="32"/>
          <w:szCs w:val="32"/>
        </w:rPr>
        <w:t xml:space="preserve">Tags</w:t>
      </w:r>
    </w:p>
    <w:p>
      <w:r>
        <w:rPr>
          <w:rFonts w:ascii="Arial" w:cs="Arial" w:eastAsia="Arial" w:hAnsi="Arial"/>
          <w:b/>
          <w:bCs/>
          <w:color w:val="2E7D32"/>
          <w:sz w:val="22"/>
          <w:szCs w:val="22"/>
        </w:rPr>
        <w:t xml:space="preserve">20 tags  ·  496 / 500 chars</w:t>
      </w:r>
    </w:p>
    <w:p>
      <w:pPr>
        <w:spacing w:before="100"/>
      </w:pPr>
      <w:r>
        <w:rPr>
          <w:rFonts w:ascii="Arial" w:cs="Arial" w:eastAsia="Arial" w:hAnsi="Arial"/>
          <w:sz w:val="22"/>
          <w:szCs w:val="22"/>
        </w:rPr>
        <w:t xml:space="preserve">5 signs you're not ready to retire, not ready to retire, am i ready to retire, retirement readiness, signs you are not ready to retire, how do i know if i can retire, when can i retire, retirement planning, sequence of returns risk, retirement income planning, how much do i need to retire, retirement spending, retiring in 5 years, retirement checklist, what to do before you retire, retirement mistakes, certified financial planner, Aaron Christopherson, Pinnacle Wealth Advisors, thinkpinnacle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12eeabc62d546cdb19955f15ee6fef066a1e1b.png"/><Relationship Id="rId8" Type="http://schemas.openxmlformats.org/officeDocument/2006/relationships/image" Target="media/cd9805727d7ed62b542d258ec3d2d3554d3d4339.png"/><Relationship Id="rId9" Type="http://schemas.openxmlformats.org/officeDocument/2006/relationships/image" Target="media/b2a246cb95b4b4592d1a1221e05ff9d7a1ac5f29.png"/><Relationship Id="rId10" Type="http://schemas.openxmlformats.org/officeDocument/2006/relationships/image" Target="media/9b925e145a044089dd3ad7d556669e11aa62ffc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2026-09-30T03:55:40.954Z</dcterms:created>
  <dcterms:modified xsi:type="dcterms:W3CDTF">2026-09-30T03:55:40.954Z</dcterms:modified>
</cp:coreProperties>
</file>

<file path=docProps/custom.xml><?xml version="1.0" encoding="utf-8"?>
<Properties xmlns="http://schemas.openxmlformats.org/officeDocument/2006/custom-properties" xmlns:vt="http://schemas.openxmlformats.org/officeDocument/2006/docPropsVTypes"/>
</file>