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4A3F36"/>
          <w:sz w:val="36"/>
          <w:szCs w:val="36"/>
        </w:rPr>
        <w:t xml:space="preserve">Maximizing Social Security — YouTube Packaging</w:t>
      </w:r>
    </w:p>
    <w:p>
      <w:pPr>
        <w:spacing w:after="130" w:before="260"/>
      </w:pPr>
      <w:r>
        <w:rPr>
          <w:rFonts w:ascii="Arial" w:cs="Arial" w:eastAsia="Arial" w:hAnsi="Arial"/>
          <w:b/>
          <w:bCs/>
          <w:color w:val="4A3F36"/>
          <w:sz w:val="32"/>
          <w:szCs w:val="32"/>
        </w:rPr>
        <w:t xml:space="preserve">Title Options</w:t>
      </w:r>
    </w:p>
    <w:p>
      <w:r>
        <w:rPr>
          <w:rFonts w:ascii="Arial" w:cs="Arial" w:eastAsia="Arial" w:hAnsi="Arial"/>
          <w:i/>
          <w:iCs/>
          <w:color w:val="8A7F73"/>
          <w:sz w:val="18"/>
          <w:szCs w:val="18"/>
        </w:rPr>
        <w:t xml:space="preserve">Search = how closely the title matches what a retirement viewer actually types into YouTube (1–10).   Len = character count; green stays visible on mobile.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00"/>
            <w:shd w:fill="F2F2F2" w:val="clear"/>
            <w:tcMar>
              <w:top w:type="dxa" w:w="100"/>
              <w:left w:type="dxa" w:w="160"/>
              <w:bottom w:type="dxa" w:w="100"/>
              <w:right w:type="dxa" w:w="160"/>
            </w:tcMar>
          </w:tcPr>
          <w:p>
            <w:r>
              <w:rPr>
                <w:rFonts w:ascii="Arial" w:cs="Arial" w:eastAsia="Arial" w:hAnsi="Arial"/>
                <w:b/>
                <w:bCs/>
                <w:sz w:val="22"/>
                <w:szCs w:val="22"/>
              </w:rPr>
              <w:t xml:space="preserve">#</w:t>
            </w:r>
          </w:p>
        </w:tc>
        <w:tc>
          <w:tcPr>
            <w:tcW w:type="dxa" w:w="4700"/>
            <w:shd w:fill="F2F2F2" w:val="clear"/>
            <w:tcMar>
              <w:top w:type="dxa" w:w="100"/>
              <w:left w:type="dxa" w:w="160"/>
              <w:bottom w:type="dxa" w:w="100"/>
              <w:right w:type="dxa" w:w="160"/>
            </w:tcMar>
          </w:tcPr>
          <w:p>
            <w:r>
              <w:rPr>
                <w:rFonts w:ascii="Arial" w:cs="Arial" w:eastAsia="Arial" w:hAnsi="Arial"/>
                <w:b/>
                <w:bCs/>
                <w:sz w:val="22"/>
                <w:szCs w:val="22"/>
              </w:rPr>
              <w:t xml:space="preserve">Title</w:t>
            </w:r>
          </w:p>
        </w:tc>
        <w:tc>
          <w:tcPr>
            <w:tcW w:type="dxa" w:w="1200"/>
            <w:shd w:fill="F2F2F2" w:val="clear"/>
            <w:tcMar>
              <w:top w:type="dxa" w:w="100"/>
              <w:left w:type="dxa" w:w="160"/>
              <w:bottom w:type="dxa" w:w="100"/>
              <w:right w:type="dxa" w:w="160"/>
            </w:tcMar>
          </w:tcPr>
          <w:p>
            <w:r>
              <w:rPr>
                <w:rFonts w:ascii="Arial" w:cs="Arial" w:eastAsia="Arial" w:hAnsi="Arial"/>
                <w:b/>
                <w:bCs/>
                <w:sz w:val="22"/>
                <w:szCs w:val="22"/>
              </w:rPr>
              <w:t xml:space="preserve">Search</w:t>
            </w:r>
          </w:p>
        </w:tc>
        <w:tc>
          <w:tcPr>
            <w:tcW w:type="dxa" w:w="900"/>
            <w:shd w:fill="F2F2F2" w:val="clear"/>
            <w:tcMar>
              <w:top w:type="dxa" w:w="100"/>
              <w:left w:type="dxa" w:w="160"/>
              <w:bottom w:type="dxa" w:w="100"/>
              <w:right w:type="dxa" w:w="160"/>
            </w:tcMar>
          </w:tcPr>
          <w:p>
            <w:r>
              <w:rPr>
                <w:rFonts w:ascii="Arial" w:cs="Arial" w:eastAsia="Arial" w:hAnsi="Arial"/>
                <w:b/>
                <w:bCs/>
                <w:sz w:val="22"/>
                <w:szCs w:val="22"/>
              </w:rPr>
              <w:t xml:space="preserve">Len</w:t>
            </w:r>
          </w:p>
        </w:tc>
        <w:tc>
          <w:tcPr>
            <w:tcW w:type="dxa" w:w="2060"/>
            <w:shd w:fill="F2F2F2" w:val="clear"/>
            <w:tcMar>
              <w:top w:type="dxa" w:w="100"/>
              <w:left w:type="dxa" w:w="160"/>
              <w:bottom w:type="dxa" w:w="100"/>
              <w:right w:type="dxa" w:w="160"/>
            </w:tcMar>
          </w:tcPr>
          <w:p>
            <w:r>
              <w:rPr>
                <w:rFonts w:ascii="Arial" w:cs="Arial" w:eastAsia="Arial" w:hAnsi="Arial"/>
                <w:b/>
                <w:bCs/>
                <w:sz w:val="22"/>
                <w:szCs w:val="22"/>
              </w:rPr>
              <w:t xml:space="preserve">Pattern</w:t>
            </w:r>
          </w:p>
        </w:tc>
      </w:tr>
      <w:tr>
        <w:tc>
          <w:tcPr>
            <w:tcW w:type="dxa" w:w="500"/>
            <w:tcMar>
              <w:top w:type="dxa" w:w="100"/>
              <w:left w:type="dxa" w:w="160"/>
              <w:bottom w:type="dxa" w:w="100"/>
              <w:right w:type="dxa" w:w="160"/>
            </w:tcMar>
          </w:tcPr>
          <w:p>
            <w:r>
              <w:rPr>
                <w:rFonts w:ascii="Arial" w:cs="Arial" w:eastAsia="Arial" w:hAnsi="Arial"/>
                <w:sz w:val="22"/>
                <w:szCs w:val="22"/>
              </w:rPr>
              <w:t xml:space="preserve">1</w:t>
            </w:r>
          </w:p>
        </w:tc>
        <w:tc>
          <w:tcPr>
            <w:tcW w:type="dxa" w:w="4700"/>
            <w:tcMar>
              <w:top w:type="dxa" w:w="100"/>
              <w:left w:type="dxa" w:w="160"/>
              <w:bottom w:type="dxa" w:w="100"/>
              <w:right w:type="dxa" w:w="160"/>
            </w:tcMar>
          </w:tcPr>
          <w:p>
            <w:r>
              <w:rPr>
                <w:rFonts w:ascii="Arial" w:cs="Arial" w:eastAsia="Arial" w:hAnsi="Arial"/>
                <w:sz w:val="22"/>
                <w:szCs w:val="22"/>
              </w:rPr>
              <w:t xml:space="preserve">How to Maximize Your Social Security Benefit</w:t>
            </w:r>
          </w:p>
        </w:tc>
        <w:tc>
          <w:tcPr>
            <w:tcW w:type="dxa" w:w="1200"/>
            <w:tcMar>
              <w:top w:type="dxa" w:w="100"/>
              <w:left w:type="dxa" w:w="160"/>
              <w:bottom w:type="dxa" w:w="100"/>
              <w:right w:type="dxa" w:w="160"/>
            </w:tcMar>
          </w:tcPr>
          <w:p>
            <w:r>
              <w:rPr>
                <w:rFonts w:ascii="Arial" w:cs="Arial" w:eastAsia="Arial" w:hAnsi="Arial"/>
                <w:sz w:val="22"/>
                <w:szCs w:val="22"/>
              </w:rPr>
              <w:t xml:space="preserve">9</w:t>
            </w:r>
          </w:p>
        </w:tc>
        <w:tc>
          <w:tcPr>
            <w:tcW w:type="dxa" w:w="900"/>
            <w:tcMar>
              <w:top w:type="dxa" w:w="100"/>
              <w:left w:type="dxa" w:w="160"/>
              <w:bottom w:type="dxa" w:w="100"/>
              <w:right w:type="dxa" w:w="160"/>
            </w:tcMar>
          </w:tcPr>
          <w:p>
            <w:r>
              <w:rPr>
                <w:rFonts w:ascii="Arial" w:cs="Arial" w:eastAsia="Arial" w:hAnsi="Arial"/>
                <w:b/>
                <w:bCs/>
                <w:color w:val="2E7D32"/>
                <w:sz w:val="22"/>
                <w:szCs w:val="22"/>
              </w:rPr>
              <w:t xml:space="preserve">44</w:t>
            </w:r>
          </w:p>
        </w:tc>
        <w:tc>
          <w:tcPr>
            <w:tcW w:type="dxa" w:w="2060"/>
            <w:tcMar>
              <w:top w:type="dxa" w:w="100"/>
              <w:left w:type="dxa" w:w="160"/>
              <w:bottom w:type="dxa" w:w="100"/>
              <w:right w:type="dxa" w:w="160"/>
            </w:tcMar>
          </w:tcPr>
          <w:p>
            <w:r>
              <w:rPr>
                <w:rFonts w:ascii="Arial" w:cs="Arial" w:eastAsia="Arial" w:hAnsi="Arial"/>
                <w:sz w:val="22"/>
                <w:szCs w:val="22"/>
              </w:rPr>
              <w:t xml:space="preserve">Authority / framework</w:t>
            </w:r>
          </w:p>
        </w:tc>
      </w:tr>
      <w:tr>
        <w:tc>
          <w:tcPr>
            <w:tcW w:type="dxa" w:w="500"/>
            <w:tcMar>
              <w:top w:type="dxa" w:w="100"/>
              <w:left w:type="dxa" w:w="160"/>
              <w:bottom w:type="dxa" w:w="100"/>
              <w:right w:type="dxa" w:w="160"/>
            </w:tcMar>
          </w:tcPr>
          <w:p>
            <w:r>
              <w:rPr>
                <w:rFonts w:ascii="Arial" w:cs="Arial" w:eastAsia="Arial" w:hAnsi="Arial"/>
                <w:sz w:val="22"/>
                <w:szCs w:val="22"/>
              </w:rPr>
              <w:t xml:space="preserve">2</w:t>
            </w:r>
          </w:p>
        </w:tc>
        <w:tc>
          <w:tcPr>
            <w:tcW w:type="dxa" w:w="4700"/>
            <w:tcMar>
              <w:top w:type="dxa" w:w="100"/>
              <w:left w:type="dxa" w:w="160"/>
              <w:bottom w:type="dxa" w:w="100"/>
              <w:right w:type="dxa" w:w="160"/>
            </w:tcMar>
          </w:tcPr>
          <w:p>
            <w:r>
              <w:rPr>
                <w:rFonts w:ascii="Arial" w:cs="Arial" w:eastAsia="Arial" w:hAnsi="Arial"/>
                <w:sz w:val="22"/>
                <w:szCs w:val="22"/>
              </w:rPr>
              <w:t xml:space="preserve">Claiming Social Security at 62 Could Cost Your Spouse</w:t>
            </w:r>
          </w:p>
        </w:tc>
        <w:tc>
          <w:tcPr>
            <w:tcW w:type="dxa" w:w="1200"/>
            <w:tcMar>
              <w:top w:type="dxa" w:w="100"/>
              <w:left w:type="dxa" w:w="160"/>
              <w:bottom w:type="dxa" w:w="100"/>
              <w:right w:type="dxa" w:w="160"/>
            </w:tcMar>
          </w:tcPr>
          <w:p>
            <w:r>
              <w:rPr>
                <w:rFonts w:ascii="Arial" w:cs="Arial" w:eastAsia="Arial" w:hAnsi="Arial"/>
                <w:sz w:val="22"/>
                <w:szCs w:val="22"/>
              </w:rPr>
              <w:t xml:space="preserve">6</w:t>
            </w:r>
          </w:p>
        </w:tc>
        <w:tc>
          <w:tcPr>
            <w:tcW w:type="dxa" w:w="900"/>
            <w:tcMar>
              <w:top w:type="dxa" w:w="100"/>
              <w:left w:type="dxa" w:w="160"/>
              <w:bottom w:type="dxa" w:w="100"/>
              <w:right w:type="dxa" w:w="160"/>
            </w:tcMar>
          </w:tcPr>
          <w:p>
            <w:r>
              <w:rPr>
                <w:rFonts w:ascii="Arial" w:cs="Arial" w:eastAsia="Arial" w:hAnsi="Arial"/>
                <w:b/>
                <w:bCs/>
                <w:color w:val="2E7D32"/>
                <w:sz w:val="22"/>
                <w:szCs w:val="22"/>
              </w:rPr>
              <w:t xml:space="preserve">53</w:t>
            </w:r>
          </w:p>
        </w:tc>
        <w:tc>
          <w:tcPr>
            <w:tcW w:type="dxa" w:w="2060"/>
            <w:tcMar>
              <w:top w:type="dxa" w:w="100"/>
              <w:left w:type="dxa" w:w="160"/>
              <w:bottom w:type="dxa" w:w="100"/>
              <w:right w:type="dxa" w:w="160"/>
            </w:tcMar>
          </w:tcPr>
          <w:p>
            <w:r>
              <w:rPr>
                <w:rFonts w:ascii="Arial" w:cs="Arial" w:eastAsia="Arial" w:hAnsi="Arial"/>
                <w:sz w:val="22"/>
                <w:szCs w:val="22"/>
              </w:rPr>
              <w:t xml:space="preserve">Warning / loss</w:t>
            </w:r>
          </w:p>
        </w:tc>
      </w:tr>
      <w:tr>
        <w:tc>
          <w:tcPr>
            <w:tcW w:type="dxa" w:w="500"/>
            <w:tcMar>
              <w:top w:type="dxa" w:w="100"/>
              <w:left w:type="dxa" w:w="160"/>
              <w:bottom w:type="dxa" w:w="100"/>
              <w:right w:type="dxa" w:w="160"/>
            </w:tcMar>
          </w:tcPr>
          <w:p>
            <w:r>
              <w:rPr>
                <w:rFonts w:ascii="Arial" w:cs="Arial" w:eastAsia="Arial" w:hAnsi="Arial"/>
                <w:sz w:val="22"/>
                <w:szCs w:val="22"/>
              </w:rPr>
              <w:t xml:space="preserve">3</w:t>
            </w:r>
          </w:p>
        </w:tc>
        <w:tc>
          <w:tcPr>
            <w:tcW w:type="dxa" w:w="4700"/>
            <w:tcMar>
              <w:top w:type="dxa" w:w="100"/>
              <w:left w:type="dxa" w:w="160"/>
              <w:bottom w:type="dxa" w:w="100"/>
              <w:right w:type="dxa" w:w="160"/>
            </w:tcMar>
          </w:tcPr>
          <w:p>
            <w:r>
              <w:rPr>
                <w:rFonts w:ascii="Arial" w:cs="Arial" w:eastAsia="Arial" w:hAnsi="Arial"/>
                <w:sz w:val="22"/>
                <w:szCs w:val="22"/>
              </w:rPr>
              <w:t xml:space="preserve">Waiting Until 70 Isn't a Social Security Strategy</w:t>
            </w:r>
          </w:p>
        </w:tc>
        <w:tc>
          <w:tcPr>
            <w:tcW w:type="dxa" w:w="1200"/>
            <w:tcMar>
              <w:top w:type="dxa" w:w="100"/>
              <w:left w:type="dxa" w:w="160"/>
              <w:bottom w:type="dxa" w:w="100"/>
              <w:right w:type="dxa" w:w="160"/>
            </w:tcMar>
          </w:tcPr>
          <w:p>
            <w:r>
              <w:rPr>
                <w:rFonts w:ascii="Arial" w:cs="Arial" w:eastAsia="Arial" w:hAnsi="Arial"/>
                <w:sz w:val="22"/>
                <w:szCs w:val="22"/>
              </w:rPr>
              <w:t xml:space="preserve">4</w:t>
            </w:r>
          </w:p>
        </w:tc>
        <w:tc>
          <w:tcPr>
            <w:tcW w:type="dxa" w:w="900"/>
            <w:tcMar>
              <w:top w:type="dxa" w:w="100"/>
              <w:left w:type="dxa" w:w="160"/>
              <w:bottom w:type="dxa" w:w="100"/>
              <w:right w:type="dxa" w:w="160"/>
            </w:tcMar>
          </w:tcPr>
          <w:p>
            <w:r>
              <w:rPr>
                <w:rFonts w:ascii="Arial" w:cs="Arial" w:eastAsia="Arial" w:hAnsi="Arial"/>
                <w:b/>
                <w:bCs/>
                <w:color w:val="2E7D32"/>
                <w:sz w:val="22"/>
                <w:szCs w:val="22"/>
              </w:rPr>
              <w:t xml:space="preserve">49</w:t>
            </w:r>
          </w:p>
        </w:tc>
        <w:tc>
          <w:tcPr>
            <w:tcW w:type="dxa" w:w="2060"/>
            <w:tcMar>
              <w:top w:type="dxa" w:w="100"/>
              <w:left w:type="dxa" w:w="160"/>
              <w:bottom w:type="dxa" w:w="100"/>
              <w:right w:type="dxa" w:w="160"/>
            </w:tcMar>
          </w:tcPr>
          <w:p>
            <w:r>
              <w:rPr>
                <w:rFonts w:ascii="Arial" w:cs="Arial" w:eastAsia="Arial" w:hAnsi="Arial"/>
                <w:sz w:val="22"/>
                <w:szCs w:val="22"/>
              </w:rPr>
              <w:t xml:space="preserve">Contrarian pushback</w:t>
            </w:r>
          </w:p>
        </w:tc>
      </w:tr>
    </w:tbl>
    <w:p>
      <w:pPr>
        <w:spacing w:after="130" w:before="260"/>
      </w:pPr>
      <w:r>
        <w:rPr>
          <w:rFonts w:ascii="Arial" w:cs="Arial" w:eastAsia="Arial" w:hAnsi="Arial"/>
          <w:b/>
          <w:bCs/>
          <w:color w:val="4A3F36"/>
          <w:sz w:val="32"/>
          <w:szCs w:val="32"/>
        </w:rPr>
        <w:t xml:space="preserve">Thumbnail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jc w:val="center"/>
            </w:pPr>
            <w:r>
              <w:drawing>
                <wp:inline distT="0" distB="0" distL="0" distR="0">
                  <wp:extent cx="2667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504950"/>
                          </a:xfrm>
                          <a:prstGeom prst="rect">
                            <a:avLst/>
                          </a:prstGeom>
                        </pic:spPr>
                      </pic:pic>
                    </a:graphicData>
                  </a:graphic>
                </wp:inline>
              </w:drawing>
            </w:r>
          </w:p>
          <w:p>
            <w:pPr>
              <w:jc w:val="center"/>
            </w:pPr>
            <w:r>
              <w:rPr>
                <w:rFonts w:ascii="Arial" w:cs="Arial" w:eastAsia="Arial" w:hAnsi="Arial"/>
                <w:i/>
                <w:iCs/>
                <w:color w:val="8A7F73"/>
                <w:sz w:val="18"/>
                <w:szCs w:val="18"/>
              </w:rPr>
              <w:t xml:space="preserve">Recommended — "2 CHECKS BECOME 1"</w:t>
            </w:r>
          </w:p>
        </w:tc>
        <w:tc>
          <w:tcPr>
            <w:tcW w:type="dxa" w:w="468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jc w:val="center"/>
            </w:pPr>
            <w:r>
              <w:drawing>
                <wp:inline distT="0" distB="0" distL="0" distR="0">
                  <wp:extent cx="2667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1504950"/>
                          </a:xfrm>
                          <a:prstGeom prst="rect">
                            <a:avLst/>
                          </a:prstGeom>
                        </pic:spPr>
                      </pic:pic>
                    </a:graphicData>
                  </a:graphic>
                </wp:inline>
              </w:drawing>
            </w:r>
          </w:p>
          <w:p>
            <w:pPr>
              <w:jc w:val="center"/>
            </w:pPr>
            <w:r>
              <w:rPr>
                <w:rFonts w:ascii="Arial" w:cs="Arial" w:eastAsia="Arial" w:hAnsi="Arial"/>
                <w:i/>
                <w:iCs/>
                <w:color w:val="8A7F73"/>
                <w:sz w:val="18"/>
                <w:szCs w:val="18"/>
              </w:rPr>
              <w:t xml:space="preserve">Alt — "62, 67 OR 70?"</w:t>
            </w:r>
          </w:p>
        </w:tc>
      </w:tr>
      <w:tr>
        <w:tc>
          <w:tcPr>
            <w:tcW w:type="dxa" w:w="468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jc w:val="center"/>
            </w:pPr>
            <w:r>
              <w:drawing>
                <wp:inline distT="0" distB="0" distL="0" distR="0">
                  <wp:extent cx="2667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504950"/>
                          </a:xfrm>
                          <a:prstGeom prst="rect">
                            <a:avLst/>
                          </a:prstGeom>
                        </pic:spPr>
                      </pic:pic>
                    </a:graphicData>
                  </a:graphic>
                </wp:inline>
              </w:drawing>
            </w:r>
          </w:p>
          <w:p>
            <w:pPr>
              <w:jc w:val="center"/>
            </w:pPr>
            <w:r>
              <w:rPr>
                <w:rFonts w:ascii="Arial" w:cs="Arial" w:eastAsia="Arial" w:hAnsi="Arial"/>
                <w:i/>
                <w:iCs/>
                <w:color w:val="8A7F73"/>
                <w:sz w:val="18"/>
                <w:szCs w:val="18"/>
              </w:rPr>
              <w:t xml:space="preserve">Alt — "THE 4 RULES"</w:t>
            </w:r>
          </w:p>
        </w:tc>
        <w:tc>
          <w:tcPr>
            <w:tcW w:type="dxa" w:w="468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jc w:val="center"/>
            </w:pPr>
            <w:r>
              <w:drawing>
                <wp:inline distT="0" distB="0" distL="0" distR="0">
                  <wp:extent cx="2667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1504950"/>
                          </a:xfrm>
                          <a:prstGeom prst="rect">
                            <a:avLst/>
                          </a:prstGeom>
                        </pic:spPr>
                      </pic:pic>
                    </a:graphicData>
                  </a:graphic>
                </wp:inline>
              </w:drawing>
            </w:r>
          </w:p>
          <w:p>
            <w:pPr>
              <w:jc w:val="center"/>
            </w:pPr>
            <w:r>
              <w:rPr>
                <w:rFonts w:ascii="Arial" w:cs="Arial" w:eastAsia="Arial" w:hAnsi="Arial"/>
                <w:i/>
                <w:iCs/>
                <w:color w:val="8A7F73"/>
                <w:sz w:val="18"/>
                <w:szCs w:val="18"/>
              </w:rPr>
              <w:t xml:space="preserve">Alt — "THE ZEROS ON YOUR RECORD"</w:t>
            </w:r>
          </w:p>
        </w:tc>
      </w:tr>
    </w:tbl>
    <w:p>
      <w:r>
        <w:br w:type="page"/>
      </w:r>
    </w:p>
    <w:p>
      <w:pPr>
        <w:spacing w:after="130" w:before="260"/>
      </w:pPr>
      <w:r>
        <w:rPr>
          <w:rFonts w:ascii="Arial" w:cs="Arial" w:eastAsia="Arial" w:hAnsi="Arial"/>
          <w:b/>
          <w:bCs/>
          <w:color w:val="4A3F36"/>
          <w:sz w:val="32"/>
          <w:szCs w:val="32"/>
        </w:rPr>
        <w:t xml:space="preserve">Video Description</w:t>
      </w:r>
    </w:p>
    <w:p>
      <w:pPr>
        <w:spacing w:after="110"/>
      </w:pPr>
      <w:r>
        <w:rPr>
          <w:rFonts w:ascii="Arial" w:cs="Arial" w:eastAsia="Arial" w:hAnsi="Arial"/>
          <w:sz w:val="24"/>
          <w:szCs w:val="24"/>
        </w:rPr>
        <w:t xml:space="preserve">Most people spend 30 or 40 years paying into Social Security, then about 30 minutes deciding how to claim it.</w:t>
      </w:r>
    </w:p>
    <w:p>
      <w:pPr>
        <w:spacing w:after="110"/>
      </w:pPr>
      <w:r>
        <w:rPr>
          <w:rFonts w:ascii="Arial" w:cs="Arial" w:eastAsia="Arial" w:hAnsi="Arial"/>
          <w:sz w:val="24"/>
          <w:szCs w:val="24"/>
        </w:rPr>
        <w:t xml:space="preserve">Aaron Christopherson, CFP®, walks through four things to understand before you file — and why the decision matters most for married couples.</w:t>
      </w:r>
    </w:p>
    <w:p>
      <w:pPr>
        <w:spacing w:after="110"/>
      </w:pPr>
      <w:r>
        <w:rPr>
          <w:rFonts w:ascii="Arial" w:cs="Arial" w:eastAsia="Arial" w:hAnsi="Arial"/>
          <w:sz w:val="24"/>
          <w:szCs w:val="24"/>
        </w:rPr>
        <w:t xml:space="preserve">• Why Social Security uses 35 years of earnings, and what zeros do to that average</w:t>
      </w:r>
    </w:p>
    <w:p>
      <w:pPr>
        <w:spacing w:after="110"/>
      </w:pPr>
      <w:r>
        <w:rPr>
          <w:rFonts w:ascii="Arial" w:cs="Arial" w:eastAsia="Arial" w:hAnsi="Arial"/>
          <w:sz w:val="24"/>
          <w:szCs w:val="24"/>
        </w:rPr>
        <w:t xml:space="preserve">• Why claiming at 62 and waiting until 70 are both strategies, not defaults</w:t>
      </w:r>
    </w:p>
    <w:p>
      <w:pPr>
        <w:spacing w:after="110"/>
      </w:pPr>
      <w:r>
        <w:rPr>
          <w:rFonts w:ascii="Arial" w:cs="Arial" w:eastAsia="Arial" w:hAnsi="Arial"/>
          <w:sz w:val="24"/>
          <w:szCs w:val="24"/>
        </w:rPr>
        <w:t xml:space="preserve">• How spousal benefits work, including on a former spouse's record</w:t>
      </w:r>
    </w:p>
    <w:p>
      <w:pPr>
        <w:spacing w:after="110"/>
      </w:pPr>
      <w:r>
        <w:rPr>
          <w:rFonts w:ascii="Arial" w:cs="Arial" w:eastAsia="Arial" w:hAnsi="Arial"/>
          <w:sz w:val="24"/>
          <w:szCs w:val="24"/>
        </w:rPr>
        <w:t xml:space="preserve">• Why the surviving spouse may be the biggest factor in the whole decision</w:t>
      </w:r>
    </w:p>
    <w:p>
      <w:pPr>
        <w:spacing w:after="240"/>
      </w:pPr>
      <w:r>
        <w:rPr>
          <w:rFonts w:ascii="Arial" w:cs="Arial" w:eastAsia="Arial" w:hAnsi="Arial"/>
          <w:sz w:val="24"/>
          <w:szCs w:val="24"/>
        </w:rPr>
        <w:t xml:space="preserve">More at thinkpinnacle.com</w:t>
      </w:r>
    </w:p>
    <w:p>
      <w:pPr>
        <w:spacing w:after="110"/>
      </w:pPr>
      <w:r>
        <w:rPr>
          <w:rFonts w:ascii="Arial" w:cs="Arial" w:eastAsia="Arial" w:hAnsi="Arial"/>
          <w:sz w:val="24"/>
          <w:szCs w:val="24"/>
        </w:rPr>
        <w:t xml:space="preserve">DISCLAIMER: Advisory services are offered through Pinnacle Wealth Advisors, LLC, an SEC-registered investment adviser. This content is intended for informational and educational purposes only and should not be considered personalized investment, tax, or legal advice. Viewing this content does not create an advisory relationship. We do not provide tax preparation or legal services. Always consult an investment, tax or legal professional regarding your specific situation. The strategies, case studies, and examples discussed may not be suitable for everyone. They are hypothetical and for illustrative and educational purposes only. They do not reflect actual client results and are not guarantees of future performance. All investments involve risk, including the potential loss of principal. Comments reflect the views of individual users and do not necessarily represent the views of Pinnacle Wealth Advisors. They are not verified, may not be accurate, and should not be considered testimonials or endorsements Advisory services are offered only under a written agreement with Pinnacle Wealth Advisors.</w:t>
      </w:r>
    </w:p>
    <w:p>
      <w:pPr>
        <w:spacing w:after="130" w:before="260"/>
      </w:pPr>
      <w:r>
        <w:rPr>
          <w:rFonts w:ascii="Arial" w:cs="Arial" w:eastAsia="Arial" w:hAnsi="Arial"/>
          <w:b/>
          <w:bCs/>
          <w:color w:val="4A3F36"/>
          <w:sz w:val="32"/>
          <w:szCs w:val="32"/>
        </w:rPr>
        <w:t xml:space="preserve">Tags</w:t>
      </w:r>
    </w:p>
    <w:p>
      <w:r>
        <w:rPr>
          <w:rFonts w:ascii="Arial" w:cs="Arial" w:eastAsia="Arial" w:hAnsi="Arial"/>
          <w:b/>
          <w:bCs/>
          <w:color w:val="2E7D32"/>
          <w:sz w:val="22"/>
          <w:szCs w:val="22"/>
        </w:rPr>
        <w:t xml:space="preserve">17 tags  ·  487 / 500 chars</w:t>
      </w:r>
    </w:p>
    <w:p>
      <w:pPr>
        <w:spacing w:before="100"/>
      </w:pPr>
      <w:r>
        <w:rPr>
          <w:rFonts w:ascii="Arial" w:cs="Arial" w:eastAsia="Arial" w:hAnsi="Arial"/>
          <w:sz w:val="22"/>
          <w:szCs w:val="22"/>
        </w:rPr>
        <w:t xml:space="preserve">how to maximize social security, maximize social security benefits, when to claim social security, social security at 62, social security claiming strategies, social security spousal benefits, social security survivor benefits, social security 35 years, full retirement age, delayed retirement credits, social security for married couples, should i claim social security early, social security explained, retirement planning, Aaron Christopherson, Pinnacle Wealth Advisors, thinkpinnacle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9e347d24f71252e7aebc43a9b0744af90131f1.png"/><Relationship Id="rId8" Type="http://schemas.openxmlformats.org/officeDocument/2006/relationships/image" Target="media/dbff65f856a8cff10191f75fe2935b572c2d0ea1.png"/><Relationship Id="rId9" Type="http://schemas.openxmlformats.org/officeDocument/2006/relationships/image" Target="media/62f4cfd8a48400ba71a4ca7fef71171ccb1f29fa.png"/><Relationship Id="rId10" Type="http://schemas.openxmlformats.org/officeDocument/2006/relationships/image" Target="media/384703d7451ae43a4d486b8e33165aab7873b90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2026-09-30T03:55:39.413Z</dcterms:created>
  <dcterms:modified xsi:type="dcterms:W3CDTF">2026-09-30T03:55:39.418Z</dcterms:modified>
</cp:coreProperties>
</file>

<file path=docProps/custom.xml><?xml version="1.0" encoding="utf-8"?>
<Properties xmlns="http://schemas.openxmlformats.org/officeDocument/2006/custom-properties" xmlns:vt="http://schemas.openxmlformats.org/officeDocument/2006/docPropsVTypes"/>
</file>