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A0250F" w:rsidRPr="00A0250F" w:rsidRDefault="00A0250F" w:rsidP="00A0250F">
      <w:pPr>
        <w:spacing w:after="0"/>
        <w:jc w:val="right"/>
        <w:rPr>
          <w:bCs/>
          <w:sz w:val="24"/>
          <w:szCs w:val="28"/>
          <w:u w:val="single"/>
        </w:rPr>
      </w:pPr>
      <w:r w:rsidRPr="00A0250F">
        <w:rPr>
          <w:bCs/>
          <w:sz w:val="24"/>
          <w:szCs w:val="28"/>
          <w:u w:val="single"/>
        </w:rPr>
        <w:t xml:space="preserve">Name: </w:t>
      </w:r>
      <w:proofErr w:type="spellStart"/>
      <w:r w:rsidRPr="00A0250F">
        <w:rPr>
          <w:bCs/>
          <w:sz w:val="24"/>
          <w:szCs w:val="28"/>
          <w:u w:val="single"/>
        </w:rPr>
        <w:t>Mohana</w:t>
      </w:r>
      <w:proofErr w:type="spellEnd"/>
      <w:r w:rsidRPr="00A0250F">
        <w:rPr>
          <w:bCs/>
          <w:sz w:val="24"/>
          <w:szCs w:val="28"/>
          <w:u w:val="single"/>
        </w:rPr>
        <w:t xml:space="preserve"> Prasad M</w:t>
      </w:r>
    </w:p>
    <w:p w:rsidR="00A0250F" w:rsidRPr="00A0250F" w:rsidRDefault="00A0250F" w:rsidP="00A0250F">
      <w:pPr>
        <w:spacing w:after="0"/>
        <w:jc w:val="right"/>
        <w:rPr>
          <w:bCs/>
          <w:sz w:val="24"/>
          <w:szCs w:val="28"/>
          <w:u w:val="single"/>
        </w:rPr>
      </w:pPr>
      <w:r w:rsidRPr="00A0250F">
        <w:rPr>
          <w:bCs/>
          <w:sz w:val="24"/>
          <w:szCs w:val="28"/>
          <w:u w:val="single"/>
        </w:rPr>
        <w:t>9290151982</w:t>
      </w:r>
    </w:p>
    <w:p w:rsidR="00A0250F" w:rsidRDefault="00A0250F" w:rsidP="00A0250F">
      <w:pPr>
        <w:spacing w:after="0"/>
        <w:jc w:val="right"/>
        <w:rPr>
          <w:b/>
          <w:bCs/>
          <w:sz w:val="28"/>
          <w:szCs w:val="28"/>
          <w:u w:val="single"/>
        </w:rPr>
      </w:pPr>
      <w:r w:rsidRPr="00A0250F">
        <w:rPr>
          <w:bCs/>
          <w:sz w:val="24"/>
          <w:szCs w:val="28"/>
          <w:u w:val="single"/>
        </w:rPr>
        <w:t>mohan_mp@pace.ac.in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CB6DE2" w:rsidP="000E22B2">
      <w:pPr>
        <w:autoSpaceDE w:val="0"/>
        <w:autoSpaceDN w:val="0"/>
        <w:adjustRightInd w:val="0"/>
        <w:spacing w:after="0"/>
      </w:pPr>
      <w:r>
        <w:t>Answer:</w:t>
      </w:r>
    </w:p>
    <w:p w:rsidR="00CB6DE2" w:rsidRDefault="00CB6DE2" w:rsidP="00CB6DE2">
      <w:pPr>
        <w:tabs>
          <w:tab w:val="left" w:pos="1236"/>
        </w:tabs>
        <w:autoSpaceDE w:val="0"/>
        <w:autoSpaceDN w:val="0"/>
        <w:adjustRightInd w:val="0"/>
        <w:spacing w:after="0"/>
      </w:pPr>
      <w:r>
        <w:tab/>
      </w:r>
    </w:p>
    <w:tbl>
      <w:tblPr>
        <w:tblW w:w="7900" w:type="dxa"/>
        <w:tblInd w:w="94" w:type="dxa"/>
        <w:tblLook w:val="04A0"/>
      </w:tblPr>
      <w:tblGrid>
        <w:gridCol w:w="2400"/>
        <w:gridCol w:w="1840"/>
        <w:gridCol w:w="1780"/>
        <w:gridCol w:w="1880"/>
      </w:tblGrid>
      <w:tr w:rsidR="00CB6DE2" w:rsidRPr="00CB6DE2" w:rsidTr="00CB6DE2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b/>
                <w:bCs/>
                <w:color w:val="000000"/>
              </w:rPr>
              <w:t>Measure X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6DE2">
              <w:rPr>
                <w:rFonts w:ascii="Calibri" w:eastAsia="Times New Roman" w:hAnsi="Calibri" w:cs="Calibri"/>
                <w:b/>
                <w:bCs/>
                <w:color w:val="000000"/>
              </w:rPr>
              <w:t>Xi-µ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6DE2">
              <w:rPr>
                <w:rFonts w:ascii="Calibri" w:eastAsia="Times New Roman" w:hAnsi="Calibri" w:cs="Calibri"/>
                <w:b/>
                <w:bCs/>
                <w:color w:val="000000"/>
              </w:rPr>
              <w:t>(Xi-µ)²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Allied Signal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24.23%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-9.04%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0.817%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Bankers Trust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25.53%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-7.74%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0.599%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General Mills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25.41%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-7.86%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0.618%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ITT Industries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24.14%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-9.13%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0.834%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6DE2">
              <w:rPr>
                <w:rFonts w:ascii="Calibri" w:eastAsia="Times New Roman" w:hAnsi="Calibri" w:cs="Times New Roman"/>
                <w:color w:val="000000"/>
              </w:rPr>
              <w:t>J.P.Morgan</w:t>
            </w:r>
            <w:proofErr w:type="spellEnd"/>
            <w:r w:rsidRPr="00CB6DE2">
              <w:rPr>
                <w:rFonts w:ascii="Calibri" w:eastAsia="Times New Roman" w:hAnsi="Calibri" w:cs="Times New Roman"/>
                <w:color w:val="000000"/>
              </w:rPr>
              <w:t xml:space="preserve"> &amp; Co.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29.62%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-3.65%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0.133%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Lehman Brothers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28.25%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-5.02%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0.252%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Marriott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25.81%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-7.46%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0.557%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MCI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24.39%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-8.88%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0.789%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Merrill Lynch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40.26%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6.99%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0.488%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Microsoft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32.95%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-0.32%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0.001%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Morgan Stanley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91.36%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58.09%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33.743%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Sun Microsystems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25.99%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-7.28%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0.530%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Travelers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39.42%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6.15%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0.378%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US Airways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26.71%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-6.56%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0.431%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Warner-Lambert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Times New Roman"/>
                <w:color w:val="000000"/>
              </w:rPr>
              <w:t>35.00%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1.73%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0.030%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499.07%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40.201%</w:t>
            </w: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lastRenderedPageBreak/>
              <w:t>MEAN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0.028714661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6DE2" w:rsidRPr="00CB6DE2" w:rsidTr="00CB6DE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6DE2">
              <w:rPr>
                <w:rFonts w:ascii="Calibri" w:eastAsia="Times New Roman" w:hAnsi="Calibri" w:cs="Calibri"/>
                <w:color w:val="000000"/>
              </w:rPr>
              <w:t>0.169454009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DE2" w:rsidRPr="00CB6DE2" w:rsidRDefault="00CB6DE2" w:rsidP="00CB6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22B2" w:rsidRDefault="000E22B2" w:rsidP="00CB6DE2">
      <w:pPr>
        <w:tabs>
          <w:tab w:val="left" w:pos="1236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250CA" w:rsidP="001250CA">
      <w:pPr>
        <w:autoSpaceDE w:val="0"/>
        <w:autoSpaceDN w:val="0"/>
        <w:adjustRightInd w:val="0"/>
        <w:spacing w:after="0"/>
      </w:pPr>
      <w:r>
        <w:t>R code:</w:t>
      </w:r>
    </w:p>
    <w:p w:rsidR="001250CA" w:rsidRPr="001250CA" w:rsidRDefault="001250CA" w:rsidP="0012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</w:rPr>
      </w:pPr>
      <w:r w:rsidRPr="001250CA">
        <w:rPr>
          <w:rFonts w:ascii="Lucida Console" w:eastAsia="Times New Roman" w:hAnsi="Lucida Console" w:cs="Courier New"/>
          <w:color w:val="0000FF"/>
          <w:sz w:val="18"/>
          <w:szCs w:val="18"/>
        </w:rPr>
        <w:br/>
      </w:r>
      <w:r w:rsidRPr="001250CA">
        <w:rPr>
          <w:rFonts w:ascii="Lucida Console" w:eastAsia="Times New Roman" w:hAnsi="Lucida Console" w:cs="Courier New"/>
          <w:color w:val="0000FF"/>
          <w:sz w:val="18"/>
        </w:rPr>
        <w:t xml:space="preserve">&gt; </w:t>
      </w:r>
      <w:proofErr w:type="gramStart"/>
      <w:r w:rsidRPr="001250CA">
        <w:rPr>
          <w:rFonts w:ascii="Lucida Console" w:eastAsia="Times New Roman" w:hAnsi="Lucida Console" w:cs="Courier New"/>
          <w:color w:val="0000FF"/>
          <w:sz w:val="18"/>
        </w:rPr>
        <w:t>View(</w:t>
      </w:r>
      <w:proofErr w:type="spellStart"/>
      <w:proofErr w:type="gramEnd"/>
      <w:r w:rsidRPr="001250CA">
        <w:rPr>
          <w:rFonts w:ascii="Lucida Console" w:eastAsia="Times New Roman" w:hAnsi="Lucida Console" w:cs="Courier New"/>
          <w:color w:val="0000FF"/>
          <w:sz w:val="18"/>
        </w:rPr>
        <w:t>plot_data</w:t>
      </w:r>
      <w:proofErr w:type="spellEnd"/>
      <w:r w:rsidRPr="001250CA">
        <w:rPr>
          <w:rFonts w:ascii="Lucida Console" w:eastAsia="Times New Roman" w:hAnsi="Lucida Console" w:cs="Courier New"/>
          <w:color w:val="0000FF"/>
          <w:sz w:val="18"/>
        </w:rPr>
        <w:t>)</w:t>
      </w:r>
    </w:p>
    <w:p w:rsidR="001250CA" w:rsidRPr="001250CA" w:rsidRDefault="001250CA" w:rsidP="0012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</w:rPr>
      </w:pPr>
      <w:r w:rsidRPr="001250CA">
        <w:rPr>
          <w:rFonts w:ascii="Lucida Console" w:eastAsia="Times New Roman" w:hAnsi="Lucida Console" w:cs="Courier New"/>
          <w:color w:val="0000FF"/>
          <w:sz w:val="18"/>
        </w:rPr>
        <w:t xml:space="preserve">&gt; </w:t>
      </w:r>
      <w:proofErr w:type="gramStart"/>
      <w:r w:rsidRPr="001250CA">
        <w:rPr>
          <w:rFonts w:ascii="Lucida Console" w:eastAsia="Times New Roman" w:hAnsi="Lucida Console" w:cs="Courier New"/>
          <w:color w:val="0000FF"/>
          <w:sz w:val="18"/>
        </w:rPr>
        <w:t>mean(</w:t>
      </w:r>
      <w:proofErr w:type="spellStart"/>
      <w:proofErr w:type="gramEnd"/>
      <w:r w:rsidRPr="001250CA">
        <w:rPr>
          <w:rFonts w:ascii="Lucida Console" w:eastAsia="Times New Roman" w:hAnsi="Lucida Console" w:cs="Courier New"/>
          <w:color w:val="0000FF"/>
          <w:sz w:val="18"/>
        </w:rPr>
        <w:t>plot_data$`Measure</w:t>
      </w:r>
      <w:proofErr w:type="spellEnd"/>
      <w:r w:rsidRPr="001250CA">
        <w:rPr>
          <w:rFonts w:ascii="Lucida Console" w:eastAsia="Times New Roman" w:hAnsi="Lucida Console" w:cs="Courier New"/>
          <w:color w:val="0000FF"/>
          <w:sz w:val="18"/>
        </w:rPr>
        <w:t xml:space="preserve"> X`)</w:t>
      </w:r>
    </w:p>
    <w:p w:rsidR="001250CA" w:rsidRPr="001250CA" w:rsidRDefault="001250CA" w:rsidP="00125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1250CA">
        <w:rPr>
          <w:rFonts w:ascii="Lucida Console" w:eastAsia="Times New Roman" w:hAnsi="Lucida Console" w:cs="Courier New"/>
          <w:color w:val="000000"/>
          <w:sz w:val="18"/>
        </w:rPr>
        <w:t>[1] 0.3327133</w:t>
      </w:r>
    </w:p>
    <w:p w:rsidR="001250CA" w:rsidRDefault="001250CA" w:rsidP="001250CA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>var</w:t>
      </w:r>
      <w:proofErr w:type="spellEnd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>(</w:t>
      </w:r>
      <w:proofErr w:type="spellStart"/>
      <w:proofErr w:type="gramEnd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>plot_data$`Measure</w:t>
      </w:r>
      <w:proofErr w:type="spellEnd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 xml:space="preserve"> X`)</w:t>
      </w:r>
    </w:p>
    <w:p w:rsidR="001250CA" w:rsidRDefault="001250CA" w:rsidP="001250C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0.02871466</w:t>
      </w:r>
    </w:p>
    <w:p w:rsidR="001250CA" w:rsidRDefault="001250CA" w:rsidP="001250CA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>sd</w:t>
      </w:r>
      <w:proofErr w:type="spellEnd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>(</w:t>
      </w:r>
      <w:proofErr w:type="spellStart"/>
      <w:proofErr w:type="gramEnd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>plot_data$`Measure</w:t>
      </w:r>
      <w:proofErr w:type="spellEnd"/>
      <w:r>
        <w:rPr>
          <w:rStyle w:val="gd15mcfcktb"/>
          <w:rFonts w:ascii="Lucida Console" w:eastAsiaTheme="minorEastAsia" w:hAnsi="Lucida Console"/>
          <w:color w:val="0000FF"/>
          <w:sz w:val="18"/>
          <w:szCs w:val="18"/>
        </w:rPr>
        <w:t xml:space="preserve"> X`)</w:t>
      </w:r>
    </w:p>
    <w:p w:rsidR="001250CA" w:rsidRDefault="001250CA" w:rsidP="001250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0.169454</w:t>
      </w:r>
    </w:p>
    <w:p w:rsidR="001250CA" w:rsidRDefault="001250CA" w:rsidP="001250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A16D6B" w:rsidRDefault="00A16D6B" w:rsidP="00A16D6B">
      <w:pPr>
        <w:autoSpaceDE w:val="0"/>
        <w:autoSpaceDN w:val="0"/>
        <w:adjustRightInd w:val="0"/>
        <w:spacing w:after="0"/>
      </w:pPr>
      <w:r>
        <w:t>Morgan Stanley is an outlier of 91.36 or 0.9136</w:t>
      </w:r>
    </w:p>
    <w:p w:rsidR="000E22B2" w:rsidRPr="0037002C" w:rsidRDefault="00A16D6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839763" cy="2376000"/>
            <wp:effectExtent l="19050" t="0" r="8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63" cy="23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376DC" w:rsidRDefault="009376DC" w:rsidP="009376DC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 Inter-quartile range </w:t>
      </w:r>
      <w:proofErr w:type="spellStart"/>
      <w:r>
        <w:t>i.e</w:t>
      </w:r>
      <w:proofErr w:type="spellEnd"/>
      <w:r>
        <w:t xml:space="preserve"> from 5 to </w:t>
      </w:r>
      <w:proofErr w:type="gramStart"/>
      <w:r>
        <w:t>12 .</w:t>
      </w:r>
      <w:proofErr w:type="gramEnd"/>
      <w:r>
        <w:t xml:space="preserve"> </w:t>
      </w:r>
      <w:proofErr w:type="gramStart"/>
      <w:r>
        <w:t>viscous</w:t>
      </w:r>
      <w:proofErr w:type="gramEnd"/>
      <w:r>
        <w:t xml:space="preserve"> 0 to19. And 1 outlier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9376DC" w:rsidRDefault="009376DC" w:rsidP="009376DC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     left </w:t>
      </w:r>
      <w:proofErr w:type="spellStart"/>
      <w:r>
        <w:t>skewness</w:t>
      </w:r>
      <w:proofErr w:type="spellEnd"/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9376DC" w:rsidRDefault="009376DC" w:rsidP="009376DC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     </w:t>
      </w:r>
      <w:r w:rsidR="00FA10B4">
        <w:t>It scale the chart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39263" cy="3243532"/>
            <wp:effectExtent l="19050" t="0" r="433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Dataset lie </w:t>
      </w:r>
      <w:proofErr w:type="gramStart"/>
      <w:r>
        <w:t>between 4 to 8</w:t>
      </w:r>
      <w:proofErr w:type="gramEnd"/>
      <w:r>
        <w:t>.</w:t>
      </w:r>
    </w:p>
    <w:p w:rsidR="00FA10B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 xml:space="preserve">Left </w:t>
      </w:r>
      <w:proofErr w:type="spellStart"/>
      <w:r>
        <w:t>skewness</w:t>
      </w:r>
      <w:proofErr w:type="spellEnd"/>
      <w:r>
        <w:t xml:space="preserve"> of the dataset.</w:t>
      </w:r>
      <w:proofErr w:type="gram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We </w:t>
      </w:r>
      <w:proofErr w:type="spellStart"/>
      <w:r>
        <w:t>cant</w:t>
      </w:r>
      <w:proofErr w:type="spellEnd"/>
      <w:r>
        <w:t xml:space="preserve"> diff mode in box plot but we can do that in hist</w:t>
      </w:r>
      <w:r w:rsidR="00456A05">
        <w:t>ogram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FA10B4" w:rsidRPr="001F34EA" w:rsidRDefault="001F34EA" w:rsidP="001F34EA">
      <w:pPr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 xml:space="preserve">:     </w:t>
      </w:r>
      <w:r w:rsidR="00FA10B4" w:rsidRPr="001F34EA">
        <w:rPr>
          <w:rFonts w:cs="BaskervilleBE-Regular"/>
        </w:rPr>
        <w:t>Let us define an event</w:t>
      </w:r>
    </w:p>
    <w:p w:rsidR="00FA10B4" w:rsidRPr="00FA10B4" w:rsidRDefault="00FA10B4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FA10B4" w:rsidRPr="00FA10B4" w:rsidRDefault="00FA10B4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A10B4">
        <w:rPr>
          <w:rFonts w:cs="BaskervilleBE-Regular"/>
        </w:rPr>
        <w:lastRenderedPageBreak/>
        <w:t>E: The call is misdirected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FA10B4">
        <w:rPr>
          <w:rFonts w:cs="BaskervilleBE-Regular"/>
        </w:rPr>
        <w:t>then</w:t>
      </w:r>
      <w:proofErr w:type="gramEnd"/>
      <w:r w:rsidRPr="00FA10B4">
        <w:rPr>
          <w:rFonts w:cs="BaskervilleBE-Regular"/>
        </w:rPr>
        <w:t xml:space="preserve"> probability of the event E is</w:t>
      </w:r>
    </w:p>
    <w:p w:rsidR="001F34EA" w:rsidRPr="00FA10B4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 xml:space="preserve">E) =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</w:p>
    <w:p w:rsidR="00FA10B4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Therefore,</w:t>
      </w:r>
    </w:p>
    <w:p w:rsidR="001F34EA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5.5pt;margin-top:.9pt;width:5.45pt;height:0;flip:x;z-index:251658240" o:connectortype="straight"/>
        </w:pic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E) = 1-P(E)</w:t>
      </w:r>
    </w:p>
    <w:p w:rsidR="001F34EA" w:rsidRPr="00FA10B4" w:rsidRDefault="001F34EA" w:rsidP="001F34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 1- </w:t>
      </w:r>
      <m:oMath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</w:p>
    <w:p w:rsidR="001F34EA" w:rsidRDefault="001F34EA" w:rsidP="001F34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=</w:t>
      </w:r>
      <m:oMath>
        <m:r>
          <w:rPr>
            <w:rFonts w:ascii="Cambria Math" w:hAnsi="Cambria Math" w:cs="BaskervilleBE-Regular"/>
          </w:rPr>
          <m:t xml:space="preserve">  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</m:oMath>
    </w:p>
    <w:p w:rsidR="00FA10B4" w:rsidRPr="00FA10B4" w:rsidRDefault="00FA10B4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FA10B4" w:rsidRPr="00FA10B4" w:rsidRDefault="00FA10B4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A10B4">
        <w:rPr>
          <w:rFonts w:cs="BaskervilleBE-Regular"/>
        </w:rPr>
        <w:t>Probability that at least one in 5 attempted call reaches the wrong number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FA10B4">
        <w:rPr>
          <w:rFonts w:cs="BaskervilleBE-Regular"/>
        </w:rPr>
        <w:t>= 1 - Probability that no attempted call reaches the wrong number</w:t>
      </w:r>
    </w:p>
    <w:p w:rsidR="001F34EA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1-(</w:t>
      </w:r>
      <m:oMath>
        <m:r>
          <w:rPr>
            <w:rFonts w:ascii="Cambria Math" w:hAnsi="Cambria Math" w:cs="BaskervilleBE-Regular"/>
          </w:rPr>
          <m:t xml:space="preserve">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 xml:space="preserve"> ×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 xml:space="preserve">×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 xml:space="preserve">×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 xml:space="preserve">×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>)</m:t>
        </m:r>
      </m:oMath>
    </w:p>
    <w:p w:rsidR="001F34EA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>= 1-(</w:t>
      </w:r>
      <m:oMath>
        <m:r>
          <w:rPr>
            <w:rFonts w:ascii="Cambria Math" w:hAnsi="Cambria Math" w:cs="BaskervilleBE-Regular"/>
          </w:rPr>
          <m:t xml:space="preserve"> </m:t>
        </m:r>
        <m:f>
          <m:fPr>
            <m:ctrlPr>
              <w:rPr>
                <w:rFonts w:ascii="Cambria Math" w:hAnsi="Cambria Math" w:cs="BaskervilleBE-Regular"/>
                <w:i/>
              </w:rPr>
            </m:ctrlPr>
          </m:fPr>
          <m:num>
            <m:r>
              <w:rPr>
                <w:rFonts w:ascii="Cambria Math" w:hAnsi="Cambria Math" w:cs="BaskervilleBE-Regular"/>
              </w:rPr>
              <m:t>199</m:t>
            </m:r>
          </m:num>
          <m:den>
            <m:r>
              <w:rPr>
                <w:rFonts w:ascii="Cambria Math" w:hAnsi="Cambria Math" w:cs="BaskervilleBE-Regular"/>
              </w:rPr>
              <m:t>200</m:t>
            </m:r>
          </m:den>
        </m:f>
        <m:r>
          <w:rPr>
            <w:rFonts w:ascii="Cambria Math" w:hAnsi="Cambria Math" w:cs="BaskervilleBE-Regular"/>
          </w:rPr>
          <m:t>)</m:t>
        </m:r>
      </m:oMath>
      <w:r>
        <w:rPr>
          <w:rFonts w:cs="BaskervilleBE-Regular"/>
          <w:vertAlign w:val="superscript"/>
        </w:rPr>
        <w:t>5</w:t>
      </w:r>
    </w:p>
    <w:p w:rsidR="001F34EA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>= 1- (0.995)</w:t>
      </w:r>
      <w:r>
        <w:rPr>
          <w:rFonts w:cs="BaskervilleBE-Regular"/>
          <w:vertAlign w:val="superscript"/>
        </w:rPr>
        <w:t>5</w:t>
      </w:r>
    </w:p>
    <w:p w:rsidR="001F34EA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1- 0.975</w:t>
      </w:r>
    </w:p>
    <w:p w:rsidR="001F34EA" w:rsidRPr="001F34EA" w:rsidRDefault="001F34EA" w:rsidP="00FA10B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r w:rsidRPr="006C41AA">
        <w:t xml:space="preserve">The most likely monetary outcome of the business venture: </w:t>
      </w:r>
      <w:r w:rsidRPr="006C41AA">
        <w:rPr>
          <w:rFonts w:ascii="Cambria Math" w:hAnsi="Cambria Math" w:cs="Cambria Math"/>
        </w:rPr>
        <w:t>𝑥</w:t>
      </w:r>
      <w:r w:rsidRPr="006C41AA">
        <w:t xml:space="preserve"> = 2,000</w:t>
      </w:r>
      <w:r>
        <w:t xml:space="preserve"> </w:t>
      </w:r>
      <w:r w:rsidRPr="006C41AA">
        <w:t>with the highest probability of 0.3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r w:rsidRPr="006C41AA">
        <w:t>The venture is likely to be successful, because (</w:t>
      </w:r>
      <w:r w:rsidRPr="006C41AA">
        <w:rPr>
          <w:rFonts w:ascii="Cambria Math" w:hAnsi="Cambria Math" w:cs="Cambria Math"/>
        </w:rPr>
        <w:t>𝑥</w:t>
      </w:r>
      <w:r w:rsidRPr="006C41AA">
        <w:t xml:space="preserve"> = 1,000) + (</w:t>
      </w:r>
      <w:r w:rsidRPr="006C41AA">
        <w:rPr>
          <w:rFonts w:ascii="Cambria Math" w:hAnsi="Cambria Math" w:cs="Cambria Math"/>
        </w:rPr>
        <w:t>𝑥</w:t>
      </w:r>
      <w:r w:rsidRPr="006C41AA">
        <w:t xml:space="preserve"> = 2,000) + </w:t>
      </w:r>
      <w:r w:rsidRPr="006C41AA">
        <w:rPr>
          <w:rFonts w:ascii="Cambria Math" w:hAnsi="Cambria Math" w:cs="Cambria Math"/>
        </w:rPr>
        <w:t/>
      </w:r>
      <w:proofErr w:type="gramStart"/>
      <w:r w:rsidRPr="006C41AA">
        <w:rPr>
          <w:rFonts w:ascii="Cambria Math" w:hAnsi="Cambria Math" w:cs="Cambria Math"/>
        </w:rPr>
        <w:t/>
      </w:r>
      <w:r w:rsidRPr="006C41AA">
        <w:t>(</w:t>
      </w:r>
      <w:proofErr w:type="gramEnd"/>
      <w:r w:rsidRPr="006C41AA">
        <w:rPr>
          <w:rFonts w:ascii="Cambria Math" w:hAnsi="Cambria Math" w:cs="Cambria Math"/>
        </w:rPr>
        <w:t>𝑥</w:t>
      </w:r>
      <w:r w:rsidRPr="006C41AA">
        <w:t xml:space="preserve"> = 3,000) = 0.2 + 0.3 + 0.1 = 0.6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r w:rsidRPr="006C41AA">
        <w:t>= (0.1</w:t>
      </w:r>
      <w:proofErr w:type="gramStart"/>
      <w:r w:rsidRPr="006C41AA">
        <w:t>)(</w:t>
      </w:r>
      <w:proofErr w:type="gramEnd"/>
      <w:r w:rsidRPr="006C41AA">
        <w:t>−2,000) + (0.1)(−1,000) + (0.2)(0) + (0.2)(1,000) + (0.3)(1,000) + (0,1)(3,000)= 800.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A10B4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  <w:r>
        <w:t>Is standard deviation</w:t>
      </w:r>
    </w:p>
    <w:p w:rsidR="00FA10B4" w:rsidRDefault="00FA10B4" w:rsidP="00FA10B4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eastAsiaTheme="minorEastAsia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eastAsiaTheme="minorEastAsia" w:hAnsi="Lucida Console"/>
          <w:color w:val="0000FF"/>
        </w:rPr>
        <w:t>sd</w:t>
      </w:r>
      <w:proofErr w:type="spellEnd"/>
      <w:proofErr w:type="gramEnd"/>
    </w:p>
    <w:p w:rsidR="00FA10B4" w:rsidRDefault="00FA10B4" w:rsidP="00FA10B4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0.08164966</w:t>
      </w:r>
    </w:p>
    <w:p w:rsidR="00FA10B4" w:rsidRPr="0037002C" w:rsidRDefault="00FA10B4" w:rsidP="00FA10B4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5877E8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7E8" w:rsidRDefault="005877E8">
      <w:pPr>
        <w:spacing w:after="0" w:line="240" w:lineRule="auto"/>
      </w:pPr>
      <w:r>
        <w:separator/>
      </w:r>
    </w:p>
  </w:endnote>
  <w:endnote w:type="continuationSeparator" w:id="0">
    <w:p w:rsidR="005877E8" w:rsidRDefault="0058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7E8" w:rsidRDefault="005877E8">
      <w:pPr>
        <w:spacing w:after="0" w:line="240" w:lineRule="auto"/>
      </w:pPr>
      <w:r>
        <w:separator/>
      </w:r>
    </w:p>
  </w:footnote>
  <w:footnote w:type="continuationSeparator" w:id="0">
    <w:p w:rsidR="005877E8" w:rsidRDefault="00587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11089A"/>
    <w:rsid w:val="001250CA"/>
    <w:rsid w:val="001B5940"/>
    <w:rsid w:val="001F34EA"/>
    <w:rsid w:val="00310065"/>
    <w:rsid w:val="00456A05"/>
    <w:rsid w:val="005877E8"/>
    <w:rsid w:val="00614CA4"/>
    <w:rsid w:val="008B5FFA"/>
    <w:rsid w:val="009376DC"/>
    <w:rsid w:val="00A0250F"/>
    <w:rsid w:val="00A16D6B"/>
    <w:rsid w:val="00AF65C6"/>
    <w:rsid w:val="00C0617F"/>
    <w:rsid w:val="00CB6DE2"/>
    <w:rsid w:val="00F168B8"/>
    <w:rsid w:val="00FA0D64"/>
    <w:rsid w:val="00FA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89A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0C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250CA"/>
  </w:style>
  <w:style w:type="character" w:customStyle="1" w:styleId="gd15mcfcktb">
    <w:name w:val="gd15mcfcktb"/>
    <w:basedOn w:val="DefaultParagraphFont"/>
    <w:rsid w:val="001250CA"/>
  </w:style>
  <w:style w:type="character" w:customStyle="1" w:styleId="gd15mcfceub">
    <w:name w:val="gd15mcfceub"/>
    <w:basedOn w:val="DefaultParagraphFont"/>
    <w:rsid w:val="001250CA"/>
  </w:style>
  <w:style w:type="character" w:customStyle="1" w:styleId="gnkrckgcgsb">
    <w:name w:val="gnkrckgcgsb"/>
    <w:basedOn w:val="DefaultParagraphFont"/>
    <w:rsid w:val="00FA10B4"/>
  </w:style>
  <w:style w:type="character" w:customStyle="1" w:styleId="gnkrckgcmrb">
    <w:name w:val="gnkrckgcmrb"/>
    <w:basedOn w:val="DefaultParagraphFont"/>
    <w:rsid w:val="00FA10B4"/>
  </w:style>
  <w:style w:type="character" w:styleId="PlaceholderText">
    <w:name w:val="Placeholder Text"/>
    <w:basedOn w:val="DefaultParagraphFont"/>
    <w:uiPriority w:val="99"/>
    <w:semiHidden/>
    <w:rsid w:val="001F34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7</cp:revision>
  <dcterms:created xsi:type="dcterms:W3CDTF">2020-06-13T08:16:00Z</dcterms:created>
  <dcterms:modified xsi:type="dcterms:W3CDTF">2020-06-13T18:13:00Z</dcterms:modified>
</cp:coreProperties>
</file>