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TASA DE MORTALIDAD MATERNA POR CADA 1,000 NACIDOS VIVOS,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AÑOS 2005 Y  2025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color w:val="000000"/>
          <w:sz w:val="18"/>
          <w:szCs w:val="18"/>
        </w:rPr>
      </w:pPr>
      <w:bookmarkStart w:colFirst="0" w:colLast="0" w:name="_dsf4bvpwt8ln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Importante antes del cuadro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Definición oficial:</w:t>
      </w:r>
      <w:r w:rsidDel="00000000" w:rsidR="00000000" w:rsidRPr="00000000">
        <w:rPr>
          <w:sz w:val="18"/>
          <w:szCs w:val="18"/>
          <w:rtl w:val="0"/>
        </w:rPr>
        <w:t xml:space="preserve"> Se usa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 razón de mortalidad materna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(RMM)</w:t>
      </w:r>
      <w:r w:rsidDel="00000000" w:rsidR="00000000" w:rsidRPr="00000000">
        <w:rPr>
          <w:sz w:val="18"/>
          <w:szCs w:val="18"/>
          <w:rtl w:val="0"/>
        </w:rPr>
        <w:t xml:space="preserve">, expresada por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100.000 nacidos vivos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(NV)</w:t>
      </w:r>
      <w:r w:rsidDel="00000000" w:rsidR="00000000" w:rsidRPr="00000000">
        <w:rPr>
          <w:sz w:val="18"/>
          <w:szCs w:val="18"/>
          <w:rtl w:val="0"/>
        </w:rPr>
        <w:t xml:space="preserve"> — es la norma internacional. Para convertir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 1.000 NV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divide entre 100 → ej. 149 / 100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1,49 por 1.000 NV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2025:</w:t>
      </w:r>
      <w:r w:rsidDel="00000000" w:rsidR="00000000" w:rsidRPr="00000000">
        <w:rPr>
          <w:sz w:val="18"/>
          <w:szCs w:val="18"/>
          <w:rtl w:val="0"/>
        </w:rPr>
        <w:t xml:space="preserve"> Es un dato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estimado/proyección oficial</w:t>
      </w:r>
      <w:r w:rsidDel="00000000" w:rsidR="00000000" w:rsidRPr="00000000">
        <w:rPr>
          <w:sz w:val="18"/>
          <w:szCs w:val="18"/>
          <w:rtl w:val="0"/>
        </w:rPr>
        <w:t xml:space="preserve"> (aún no definitivo al ser año en curso).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Fuentes: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MSPAS, INE, OPS/OMS, UNFPA,</w:t>
      </w:r>
      <w:r w:rsidDel="00000000" w:rsidR="00000000" w:rsidRPr="00000000">
        <w:rPr>
          <w:sz w:val="18"/>
          <w:szCs w:val="18"/>
          <w:rtl w:val="0"/>
        </w:rPr>
        <w:t xml:space="preserve"> Estudio ENMM 2007 y proyecciones 2025.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2385"/>
        <w:gridCol w:w="3465"/>
        <w:tblGridChange w:id="0">
          <w:tblGrid>
            <w:gridCol w:w="2610"/>
            <w:gridCol w:w="2385"/>
            <w:gridCol w:w="346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Unidad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2005 (por 1.000 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 estimado (por 1.000 NV)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República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Alta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Baja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Chiquimula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El Progreso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Huehuetenango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Izabal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Jalapa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Jutiapa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Petén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Quetzaltenango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Quiché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Retalhuleu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 San Marcos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 Sololá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 Suchitepéquez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 Totonicapán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 Zacapa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0,73</w:t>
            </w:r>
          </w:p>
        </w:tc>
      </w:tr>
    </w:tbl>
    <w:p w:rsidR="00000000" w:rsidDel="00000000" w:rsidP="00000000" w:rsidRDefault="00000000" w:rsidRPr="00000000" w14:paraId="0000005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