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GAMMA — Defensa de graduación MBIA</w:t>
      </w:r>
    </w:p>
    <w:p>
      <w:pPr>
        <w:spacing w:after="60"/>
      </w:pPr>
      <w:r>
        <w:rPr>
          <w:color w:val="6B4226"/>
          <w:sz w:val="26"/>
          <w:szCs w:val="26"/>
        </w:rPr>
        <w:t xml:space="preserve">Guion y contenido de diapositivas</w:t>
      </w:r>
    </w:p>
    <w:p>
      <w:pPr>
        <w:spacing w:after="300"/>
      </w:pPr>
      <w:r>
        <w:rPr>
          <w:i/>
          <w:iCs/>
          <w:sz w:val="22"/>
          <w:szCs w:val="22"/>
        </w:rPr>
        <w:t xml:space="preserve">Metodología: el problema (análisis exploratorio de datos) — tiempo objetivo: 8–9 minutos</w:t>
      </w:r>
    </w:p>
    <w:p>
      <w:pPr>
        <w:pStyle w:val="Heading1"/>
        <w:spacing w:after="200" w:before="400"/>
      </w:pPr>
      <w:r>
        <w:rPr>
          <w:b/>
          <w:bCs/>
          <w:color w:val="1F4E5F"/>
        </w:rPr>
        <w:t xml:space="preserve">Resumen de tiempos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1F4E5F" w:val="clear"/>
            <w:tcMar>
              <w:top w:type="dxa" w:w="100"/>
              <w:left w:type="dxa" w:w="150"/>
              <w:bottom w:type="dxa" w:w="100"/>
              <w:right w:type="dxa" w:w="150"/>
            </w:tcMar>
          </w:tcPr>
          <w:p>
            <w:r>
              <w:rPr>
                <w:b/>
                <w:bCs/>
                <w:color w:val="FFFFFF"/>
              </w:rPr>
              <w:t xml:space="preserve">Bloque</w:t>
            </w:r>
          </w:p>
        </w:tc>
        <w:tc>
          <w:tcPr>
            <w:tcW w:type="dxa" w:w="3000"/>
            <w:shd w:fill="1F4E5F" w:val="clear"/>
            <w:tcMar>
              <w:top w:type="dxa" w:w="100"/>
              <w:left w:type="dxa" w:w="150"/>
              <w:bottom w:type="dxa" w:w="100"/>
              <w:right w:type="dxa" w:w="150"/>
            </w:tcMar>
          </w:tcPr>
          <w:p>
            <w:r>
              <w:rPr>
                <w:b/>
                <w:bCs/>
                <w:color w:val="FFFFFF"/>
              </w:rPr>
              <w:t xml:space="preserve">Tiempo</w:t>
            </w:r>
          </w:p>
        </w:tc>
      </w:tr>
      <w:tr>
        <w:tc>
          <w:tcPr>
            <w:tcW w:type="dxa" w:w="7000"/>
            <w:shd w:fill="F2F2F2" w:val="clear"/>
            <w:tcMar>
              <w:top w:type="dxa" w:w="80"/>
              <w:left w:type="dxa" w:w="150"/>
              <w:bottom w:type="dxa" w:w="80"/>
              <w:right w:type="dxa" w:w="150"/>
            </w:tcMar>
          </w:tcPr>
          <w:p>
            <w:r>
              <w:rPr>
                <w:sz w:val="21"/>
                <w:szCs w:val="21"/>
              </w:rPr>
              <w:t xml:space="preserve">Diapositiva 1 — Apertura / transición</w:t>
            </w:r>
          </w:p>
        </w:tc>
        <w:tc>
          <w:tcPr>
            <w:tcW w:type="dxa" w:w="3000"/>
            <w:shd w:fill="F2F2F2" w:val="clear"/>
            <w:tcMar>
              <w:top w:type="dxa" w:w="80"/>
              <w:left w:type="dxa" w:w="150"/>
              <w:bottom w:type="dxa" w:w="80"/>
              <w:right w:type="dxa" w:w="150"/>
            </w:tcMar>
          </w:tcPr>
          <w:p>
            <w:r>
              <w:rPr>
                <w:sz w:val="21"/>
                <w:szCs w:val="21"/>
              </w:rPr>
              <w:t xml:space="preserve">0:15</w:t>
            </w:r>
          </w:p>
        </w:tc>
      </w:tr>
      <w:tr>
        <w:tc>
          <w:tcPr>
            <w:tcW w:type="dxa" w:w="7000"/>
            <w:shd w:fill="FFFFFF" w:val="clear"/>
            <w:tcMar>
              <w:top w:type="dxa" w:w="80"/>
              <w:left w:type="dxa" w:w="150"/>
              <w:bottom w:type="dxa" w:w="80"/>
              <w:right w:type="dxa" w:w="150"/>
            </w:tcMar>
          </w:tcPr>
          <w:p>
            <w:r>
              <w:rPr>
                <w:sz w:val="21"/>
                <w:szCs w:val="21"/>
              </w:rPr>
              <w:t xml:space="preserve">Diapositiva 2 — Fuentes de información</w:t>
            </w:r>
          </w:p>
        </w:tc>
        <w:tc>
          <w:tcPr>
            <w:tcW w:type="dxa" w:w="3000"/>
            <w:shd w:fill="FFFFFF" w:val="clear"/>
            <w:tcMar>
              <w:top w:type="dxa" w:w="80"/>
              <w:left w:type="dxa" w:w="150"/>
              <w:bottom w:type="dxa" w:w="80"/>
              <w:right w:type="dxa" w:w="150"/>
            </w:tcMar>
          </w:tcPr>
          <w:p>
            <w:r>
              <w:rPr>
                <w:sz w:val="21"/>
                <w:szCs w:val="21"/>
              </w:rPr>
              <w:t xml:space="preserve">0:50</w:t>
            </w:r>
          </w:p>
        </w:tc>
      </w:tr>
      <w:tr>
        <w:tc>
          <w:tcPr>
            <w:tcW w:type="dxa" w:w="7000"/>
            <w:shd w:fill="F2F2F2" w:val="clear"/>
            <w:tcMar>
              <w:top w:type="dxa" w:w="80"/>
              <w:left w:type="dxa" w:w="150"/>
              <w:bottom w:type="dxa" w:w="80"/>
              <w:right w:type="dxa" w:w="150"/>
            </w:tcMar>
          </w:tcPr>
          <w:p>
            <w:r>
              <w:rPr>
                <w:sz w:val="21"/>
                <w:szCs w:val="21"/>
              </w:rPr>
              <w:t xml:space="preserve">Diapositiva 3 — Composición del catálogo</w:t>
            </w:r>
          </w:p>
        </w:tc>
        <w:tc>
          <w:tcPr>
            <w:tcW w:type="dxa" w:w="3000"/>
            <w:shd w:fill="F2F2F2" w:val="clear"/>
            <w:tcMar>
              <w:top w:type="dxa" w:w="80"/>
              <w:left w:type="dxa" w:w="150"/>
              <w:bottom w:type="dxa" w:w="80"/>
              <w:right w:type="dxa" w:w="150"/>
            </w:tcMar>
          </w:tcPr>
          <w:p>
            <w:r>
              <w:rPr>
                <w:sz w:val="21"/>
                <w:szCs w:val="21"/>
              </w:rPr>
              <w:t xml:space="preserve">1:00</w:t>
            </w:r>
          </w:p>
        </w:tc>
      </w:tr>
      <w:tr>
        <w:tc>
          <w:tcPr>
            <w:tcW w:type="dxa" w:w="7000"/>
            <w:shd w:fill="FFFFFF" w:val="clear"/>
            <w:tcMar>
              <w:top w:type="dxa" w:w="80"/>
              <w:left w:type="dxa" w:w="150"/>
              <w:bottom w:type="dxa" w:w="80"/>
              <w:right w:type="dxa" w:w="150"/>
            </w:tcMar>
          </w:tcPr>
          <w:p>
            <w:r>
              <w:rPr>
                <w:sz w:val="21"/>
                <w:szCs w:val="21"/>
              </w:rPr>
              <w:t xml:space="preserve">Diapositiva 4 — Duplicidad exacta</w:t>
            </w:r>
          </w:p>
        </w:tc>
        <w:tc>
          <w:tcPr>
            <w:tcW w:type="dxa" w:w="3000"/>
            <w:shd w:fill="FFFFFF" w:val="clear"/>
            <w:tcMar>
              <w:top w:type="dxa" w:w="80"/>
              <w:left w:type="dxa" w:w="150"/>
              <w:bottom w:type="dxa" w:w="80"/>
              <w:right w:type="dxa" w:w="150"/>
            </w:tcMar>
          </w:tcPr>
          <w:p>
            <w:r>
              <w:rPr>
                <w:sz w:val="21"/>
                <w:szCs w:val="21"/>
              </w:rPr>
              <w:t xml:space="preserve">1:20</w:t>
            </w:r>
          </w:p>
        </w:tc>
      </w:tr>
      <w:tr>
        <w:tc>
          <w:tcPr>
            <w:tcW w:type="dxa" w:w="7000"/>
            <w:shd w:fill="F2F2F2" w:val="clear"/>
            <w:tcMar>
              <w:top w:type="dxa" w:w="80"/>
              <w:left w:type="dxa" w:w="150"/>
              <w:bottom w:type="dxa" w:w="80"/>
              <w:right w:type="dxa" w:w="150"/>
            </w:tcMar>
          </w:tcPr>
          <w:p>
            <w:r>
              <w:rPr>
                <w:sz w:val="21"/>
                <w:szCs w:val="21"/>
              </w:rPr>
              <w:t xml:space="preserve">Diapositiva 5 — Materiales bloqueados</w:t>
            </w:r>
          </w:p>
        </w:tc>
        <w:tc>
          <w:tcPr>
            <w:tcW w:type="dxa" w:w="3000"/>
            <w:shd w:fill="F2F2F2" w:val="clear"/>
            <w:tcMar>
              <w:top w:type="dxa" w:w="80"/>
              <w:left w:type="dxa" w:w="150"/>
              <w:bottom w:type="dxa" w:w="80"/>
              <w:right w:type="dxa" w:w="150"/>
            </w:tcMar>
          </w:tcPr>
          <w:p>
            <w:r>
              <w:rPr>
                <w:sz w:val="21"/>
                <w:szCs w:val="21"/>
              </w:rPr>
              <w:t xml:space="preserve">1:00</w:t>
            </w:r>
          </w:p>
        </w:tc>
      </w:tr>
      <w:tr>
        <w:tc>
          <w:tcPr>
            <w:tcW w:type="dxa" w:w="7000"/>
            <w:shd w:fill="FFFFFF" w:val="clear"/>
            <w:tcMar>
              <w:top w:type="dxa" w:w="80"/>
              <w:left w:type="dxa" w:w="150"/>
              <w:bottom w:type="dxa" w:w="80"/>
              <w:right w:type="dxa" w:w="150"/>
            </w:tcMar>
          </w:tcPr>
          <w:p>
            <w:r>
              <w:rPr>
                <w:sz w:val="21"/>
                <w:szCs w:val="21"/>
              </w:rPr>
              <w:t xml:space="preserve">Diapositiva 6 — Descripciones sin separador estándar</w:t>
            </w:r>
          </w:p>
        </w:tc>
        <w:tc>
          <w:tcPr>
            <w:tcW w:type="dxa" w:w="3000"/>
            <w:shd w:fill="FFFFFF" w:val="clear"/>
            <w:tcMar>
              <w:top w:type="dxa" w:w="80"/>
              <w:left w:type="dxa" w:w="150"/>
              <w:bottom w:type="dxa" w:w="80"/>
              <w:right w:type="dxa" w:w="150"/>
            </w:tcMar>
          </w:tcPr>
          <w:p>
            <w:r>
              <w:rPr>
                <w:sz w:val="21"/>
                <w:szCs w:val="21"/>
              </w:rPr>
              <w:t xml:space="preserve">1:00</w:t>
            </w:r>
          </w:p>
        </w:tc>
      </w:tr>
      <w:tr>
        <w:tc>
          <w:tcPr>
            <w:tcW w:type="dxa" w:w="7000"/>
            <w:shd w:fill="F2F2F2" w:val="clear"/>
            <w:tcMar>
              <w:top w:type="dxa" w:w="80"/>
              <w:left w:type="dxa" w:w="150"/>
              <w:bottom w:type="dxa" w:w="80"/>
              <w:right w:type="dxa" w:w="150"/>
            </w:tcMar>
          </w:tcPr>
          <w:p>
            <w:r>
              <w:rPr>
                <w:sz w:val="21"/>
                <w:szCs w:val="21"/>
              </w:rPr>
              <w:t xml:space="preserve">Diapositiva 7 — Mapa de calidad consolidado</w:t>
            </w:r>
          </w:p>
        </w:tc>
        <w:tc>
          <w:tcPr>
            <w:tcW w:type="dxa" w:w="3000"/>
            <w:shd w:fill="F2F2F2" w:val="clear"/>
            <w:tcMar>
              <w:top w:type="dxa" w:w="80"/>
              <w:left w:type="dxa" w:w="150"/>
              <w:bottom w:type="dxa" w:w="80"/>
              <w:right w:type="dxa" w:w="150"/>
            </w:tcMar>
          </w:tcPr>
          <w:p>
            <w:r>
              <w:rPr>
                <w:sz w:val="21"/>
                <w:szCs w:val="21"/>
              </w:rPr>
              <w:t xml:space="preserve">1:10</w:t>
            </w:r>
          </w:p>
        </w:tc>
      </w:tr>
      <w:tr>
        <w:tc>
          <w:tcPr>
            <w:tcW w:type="dxa" w:w="7000"/>
            <w:shd w:fill="FFFFFF" w:val="clear"/>
            <w:tcMar>
              <w:top w:type="dxa" w:w="80"/>
              <w:left w:type="dxa" w:w="150"/>
              <w:bottom w:type="dxa" w:w="80"/>
              <w:right w:type="dxa" w:w="150"/>
            </w:tcMar>
          </w:tcPr>
          <w:p>
            <w:r>
              <w:rPr>
                <w:sz w:val="21"/>
                <w:szCs w:val="21"/>
              </w:rPr>
              <w:t xml:space="preserve">Diapositiva 8 — Longitud de las descripciones</w:t>
            </w:r>
          </w:p>
        </w:tc>
        <w:tc>
          <w:tcPr>
            <w:tcW w:type="dxa" w:w="3000"/>
            <w:shd w:fill="FFFFFF" w:val="clear"/>
            <w:tcMar>
              <w:top w:type="dxa" w:w="80"/>
              <w:left w:type="dxa" w:w="150"/>
              <w:bottom w:type="dxa" w:w="80"/>
              <w:right w:type="dxa" w:w="150"/>
            </w:tcMar>
          </w:tcPr>
          <w:p>
            <w:r>
              <w:rPr>
                <w:sz w:val="21"/>
                <w:szCs w:val="21"/>
              </w:rPr>
              <w:t xml:space="preserve">0:50</w:t>
            </w:r>
          </w:p>
        </w:tc>
      </w:tr>
      <w:tr>
        <w:tc>
          <w:tcPr>
            <w:tcW w:type="dxa" w:w="7000"/>
            <w:shd w:fill="F2F2F2" w:val="clear"/>
            <w:tcMar>
              <w:top w:type="dxa" w:w="80"/>
              <w:left w:type="dxa" w:w="150"/>
              <w:bottom w:type="dxa" w:w="80"/>
              <w:right w:type="dxa" w:w="150"/>
            </w:tcMar>
          </w:tcPr>
          <w:p>
            <w:r>
              <w:rPr>
                <w:sz w:val="21"/>
                <w:szCs w:val="21"/>
              </w:rPr>
              <w:t xml:space="preserve">Diapositiva 9 — Síntesis y transición</w:t>
            </w:r>
          </w:p>
        </w:tc>
        <w:tc>
          <w:tcPr>
            <w:tcW w:type="dxa" w:w="3000"/>
            <w:shd w:fill="F2F2F2" w:val="clear"/>
            <w:tcMar>
              <w:top w:type="dxa" w:w="80"/>
              <w:left w:type="dxa" w:w="150"/>
              <w:bottom w:type="dxa" w:w="80"/>
              <w:right w:type="dxa" w:w="150"/>
            </w:tcMar>
          </w:tcPr>
          <w:p>
            <w:r>
              <w:rPr>
                <w:sz w:val="21"/>
                <w:szCs w:val="21"/>
              </w:rPr>
              <w:t xml:space="preserve">0:35</w:t>
            </w:r>
          </w:p>
        </w:tc>
      </w:tr>
      <w:tr>
        <w:tc>
          <w:tcPr>
            <w:tcW w:type="dxa" w:w="7000"/>
            <w:shd w:fill="DCEEF2" w:val="clear"/>
            <w:tcMar>
              <w:top w:type="dxa" w:w="100"/>
              <w:left w:type="dxa" w:w="150"/>
              <w:bottom w:type="dxa" w:w="100"/>
              <w:right w:type="dxa" w:w="150"/>
            </w:tcMar>
          </w:tcPr>
          <w:p>
            <w:r>
              <w:rPr>
                <w:b/>
                <w:bCs/>
                <w:sz w:val="21"/>
                <w:szCs w:val="21"/>
              </w:rPr>
              <w:t xml:space="preserve">TOTAL (con colchón para respirar / transiciones)</w:t>
            </w:r>
          </w:p>
        </w:tc>
        <w:tc>
          <w:tcPr>
            <w:tcW w:type="dxa" w:w="3000"/>
            <w:shd w:fill="DCEEF2" w:val="clear"/>
            <w:tcMar>
              <w:top w:type="dxa" w:w="100"/>
              <w:left w:type="dxa" w:w="150"/>
              <w:bottom w:type="dxa" w:w="100"/>
              <w:right w:type="dxa" w:w="150"/>
            </w:tcMar>
          </w:tcPr>
          <w:p>
            <w:r>
              <w:rPr>
                <w:b/>
                <w:bCs/>
                <w:sz w:val="21"/>
                <w:szCs w:val="21"/>
              </w:rPr>
              <w:t xml:space="preserve">≈ 8:00</w:t>
            </w:r>
          </w:p>
        </w:tc>
      </w:tr>
    </w:tbl>
    <w:p>
      <w:pPr>
        <w:spacing w:after="300"/>
      </w:pPr>
    </w:p>
    <w:p>
      <w:pPr>
        <w:pStyle w:val="Heading2"/>
        <w:pBdr>
          <w:bottom w:val="single" w:color="1F4E5F" w:sz="8" w:space="4"/>
        </w:pBdr>
        <w:spacing w:after="100" w:before="400"/>
      </w:pPr>
      <w:r>
        <w:rPr>
          <w:b/>
          <w:bCs/>
          <w:color w:val="1F4E5F"/>
          <w:sz w:val="26"/>
          <w:szCs w:val="26"/>
        </w:rPr>
        <w:t xml:space="preserve">Diapositiva 1 — Apertura / transición</w:t>
      </w:r>
      <w:r>
        <w:rPr>
          <w:i/>
          <w:iCs/>
          <w:color w:val="8A2E4D"/>
          <w:sz w:val="22"/>
          <w:szCs w:val="22"/>
        </w:rPr>
        <w:t xml:space="preserve">   (0:15)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(Título de la subsección: "Metodología — El problema")</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A continuación se profundizará en el análisis exploratorio realizado sobre el catálogo completo de materiales, cuyos hallazgos agregados ya fueron presentados como motivación del proyecto.</w:t>
            </w:r>
          </w:p>
        </w:tc>
      </w:tr>
    </w:tbl>
    <w:p>
      <w:pPr>
        <w:pStyle w:val="Heading2"/>
        <w:pBdr>
          <w:bottom w:val="single" w:color="1F4E5F" w:sz="8" w:space="4"/>
        </w:pBdr>
        <w:spacing w:after="100" w:before="400"/>
      </w:pPr>
      <w:r>
        <w:rPr>
          <w:b/>
          <w:bCs/>
          <w:color w:val="1F4E5F"/>
          <w:sz w:val="26"/>
          <w:szCs w:val="26"/>
        </w:rPr>
        <w:t xml:space="preserve">Diapositiva 2 — Fuentes de información</w:t>
      </w:r>
      <w:r>
        <w:rPr>
          <w:i/>
          <w:iCs/>
          <w:color w:val="8A2E4D"/>
          <w:sz w:val="22"/>
          <w:szCs w:val="22"/>
        </w:rPr>
        <w:t xml:space="preserve">   (0:50)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Fuente primaria: maestro de materiales del módulo MM de SAP (13 archivos por tipo de material)</w:t>
            </w:r>
          </w:p>
          <w:p>
            <w:pPr>
              <w:pStyle w:val="ListParagraph"/>
              <w:numPr>
                <w:ilvl w:val="0"/>
                <w:numId w:val="2"/>
              </w:numPr>
              <w:spacing w:after="60"/>
            </w:pPr>
            <w:r>
              <w:rPr>
                <w:sz w:val="21"/>
                <w:szCs w:val="21"/>
              </w:rPr>
              <w:t xml:space="preserve">Catálogos de referencia: maestro de clases corporativo (1,538 clases) y taxonomía UNSPSC</w:t>
            </w:r>
          </w:p>
          <w:p>
            <w:pPr>
              <w:pStyle w:val="ListParagraph"/>
              <w:numPr>
                <w:ilvl w:val="0"/>
                <w:numId w:val="2"/>
              </w:numPr>
              <w:spacing w:after="60"/>
            </w:pPr>
            <w:r>
              <w:rPr>
                <w:sz w:val="21"/>
                <w:szCs w:val="21"/>
              </w:rPr>
              <w:t xml:space="preserve">Corte analizado: mandante 402, 29 de mayo de 2026 — 45,400 registros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fuente primaria del análisis es el maestro de materiales del módulo MM de SAP, extraído mediante exportación manual en trece archivos, organizados por tipo de material, dado que no existe integración directa con el ERP.</w:t>
            </w:r>
          </w:p>
          <w:p>
            <w:pPr>
              <w:spacing w:after="100"/>
            </w:pPr>
            <w:r>
              <w:rPr>
                <w:i/>
                <w:iCs/>
                <w:sz w:val="22"/>
                <w:szCs w:val="22"/>
              </w:rPr>
              <w:t xml:space="preserve">A esta fuente se sumaron dos catálogos de referencia: el maestro de clases corporativo, con 1,538 entradas, y la tabla del clasificador UNSPSC de Naciones Unidas, que permite anclar la taxonomía interna a un referente externo estandarizado.</w:t>
            </w:r>
          </w:p>
          <w:p>
            <w:pPr>
              <w:spacing w:after="100"/>
            </w:pPr>
            <w:r>
              <w:rPr>
                <w:i/>
                <w:iCs/>
                <w:sz w:val="22"/>
                <w:szCs w:val="22"/>
              </w:rPr>
              <w:t xml:space="preserve">El corte empleado para este análisis corresponde al mandante 402, con fecha del 29 de mayo de 2026, y reúne un total de 45,400 registros distribuidos en trece tipos de material.</w:t>
            </w:r>
          </w:p>
        </w:tc>
      </w:tr>
    </w:tbl>
    <w:p>
      <w:pPr>
        <w:pStyle w:val="Heading2"/>
        <w:pBdr>
          <w:bottom w:val="single" w:color="1F4E5F" w:sz="8" w:space="4"/>
        </w:pBdr>
        <w:spacing w:after="100" w:before="400"/>
      </w:pPr>
      <w:r>
        <w:rPr>
          <w:b/>
          <w:bCs/>
          <w:color w:val="1F4E5F"/>
          <w:sz w:val="26"/>
          <w:szCs w:val="26"/>
        </w:rPr>
        <w:t xml:space="preserve">Diapositiva 3 — Composición del catálogo</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45,400 materiales, 13 tipos</w:t>
            </w:r>
          </w:p>
          <w:p>
            <w:pPr>
              <w:pStyle w:val="ListParagraph"/>
              <w:numPr>
                <w:ilvl w:val="0"/>
                <w:numId w:val="2"/>
              </w:numPr>
              <w:spacing w:after="60"/>
            </w:pPr>
            <w:r>
              <w:rPr>
                <w:sz w:val="21"/>
                <w:szCs w:val="21"/>
              </w:rPr>
              <w:t xml:space="preserve">ZRPI y ZSUM concentran, por sí solos, cerca de dos tercios del catálogo</w:t>
            </w:r>
          </w:p>
          <w:p>
            <w:pPr>
              <w:pStyle w:val="ListParagraph"/>
              <w:numPr>
                <w:ilvl w:val="0"/>
                <w:numId w:val="2"/>
              </w:numPr>
              <w:spacing w:after="60"/>
            </w:pPr>
            <w:r>
              <w:rPr>
                <w:sz w:val="21"/>
                <w:szCs w:val="21"/>
              </w:rPr>
              <w:t xml:space="preserve">El resto del catálogo se distribuye en once tipos adicionales, de volumen considerablemente menor</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primer hallazgo relevante es de composición: sobre los 45,400 registros analizados, dos tipos de material —identificados internamente como ZRPI y ZSUM— concentran, por sí solos, cerca de dos terceras partes del catálogo completo.</w:t>
            </w:r>
          </w:p>
          <w:p>
            <w:pPr>
              <w:spacing w:after="100"/>
            </w:pPr>
            <w:r>
              <w:rPr>
                <w:i/>
                <w:iCs/>
                <w:sz w:val="22"/>
                <w:szCs w:val="22"/>
              </w:rPr>
              <w:t xml:space="preserve">El resto del catálogo se distribuye de forma considerablemente más dispersa entre los once tipos restantes. Esta concentración es relevante porque, como se mostrará a continuación, los problemas de calidad no se distribuyen de manera uniforme entre tipos, sino que tienden a concentrarse de forma distinta según el volumen y la naturaleza de cada uno.</w:t>
            </w:r>
          </w:p>
        </w:tc>
      </w:tr>
    </w:tbl>
    <w:p>
      <w:pPr>
        <w:pStyle w:val="Heading2"/>
        <w:pBdr>
          <w:bottom w:val="single" w:color="1F4E5F" w:sz="8" w:space="4"/>
        </w:pBdr>
        <w:spacing w:after="100" w:before="400"/>
      </w:pPr>
      <w:r>
        <w:rPr>
          <w:b/>
          <w:bCs/>
          <w:color w:val="1F4E5F"/>
          <w:sz w:val="26"/>
          <w:szCs w:val="26"/>
        </w:rPr>
        <w:t xml:space="preserve">Diapositiva 4 — Duplicidad exacta</w:t>
      </w:r>
      <w:r>
        <w:rPr>
          <w:i/>
          <w:iCs/>
          <w:color w:val="8A2E4D"/>
          <w:sz w:val="22"/>
          <w:szCs w:val="22"/>
        </w:rPr>
        <w:t xml:space="preserve">   (1:20)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2,182 registros con duplicidad exacta en el texto breve (4.8% del catálogo)</w:t>
            </w:r>
          </w:p>
          <w:p>
            <w:pPr>
              <w:pStyle w:val="ListParagraph"/>
              <w:numPr>
                <w:ilvl w:val="0"/>
                <w:numId w:val="2"/>
              </w:numPr>
              <w:spacing w:after="60"/>
            </w:pPr>
            <w:r>
              <w:rPr>
                <w:sz w:val="21"/>
                <w:szCs w:val="21"/>
              </w:rPr>
              <w:t xml:space="preserve">Mayor tasa relativa: un tipo de equipos, con 35.2% de sus registros duplicados</w:t>
            </w:r>
          </w:p>
          <w:p>
            <w:pPr>
              <w:pStyle w:val="ListParagraph"/>
              <w:numPr>
                <w:ilvl w:val="0"/>
                <w:numId w:val="2"/>
              </w:numPr>
              <w:spacing w:after="60"/>
            </w:pPr>
            <w:r>
              <w:rPr>
                <w:sz w:val="21"/>
                <w:szCs w:val="21"/>
              </w:rPr>
              <w:t xml:space="preserve">Mayor volumen absoluto: ZRPI, con 973 casos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análisis de duplicados exactos identificó 2,182 registros duplicados en el catálogo completo, equivalentes al 4.8% del total. Este problema, sin embargo, no se distribuye de forma pareja entre tipos de material.</w:t>
            </w:r>
          </w:p>
          <w:p>
            <w:pPr>
              <w:spacing w:after="100"/>
            </w:pPr>
            <w:r>
              <w:rPr>
                <w:i/>
                <w:iCs/>
                <w:sz w:val="22"/>
                <w:szCs w:val="22"/>
              </w:rPr>
              <w:t xml:space="preserve">Por un lado, existe un tipo de material con la mayor tasa relativa de duplicidad, con un 35.2% de sus registros duplicados; por otro, el tipo ZRPI concentra el mayor volumen absoluto, con 973 casos, aun cuando su tasa relativa es considerablemente menor. Esta distinción entre tasa relativa y volumen absoluto es importante, porque prioriza de forma distinta dónde debe concentrarse el esfuerzo de limpieza.</w:t>
            </w:r>
          </w:p>
        </w:tc>
      </w:tr>
    </w:tbl>
    <w:p>
      <w:pPr>
        <w:pStyle w:val="Heading2"/>
        <w:pBdr>
          <w:bottom w:val="single" w:color="1F4E5F" w:sz="8" w:space="4"/>
        </w:pBdr>
        <w:spacing w:after="100" w:before="400"/>
      </w:pPr>
      <w:r>
        <w:rPr>
          <w:b/>
          <w:bCs/>
          <w:color w:val="1F4E5F"/>
          <w:sz w:val="26"/>
          <w:szCs w:val="26"/>
        </w:rPr>
        <w:t xml:space="preserve">Diapositiva 5 — Materiales bloqueados</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6,748 registros bloqueados en el sistema (14.9% del catálogo)</w:t>
            </w:r>
          </w:p>
          <w:p>
            <w:pPr>
              <w:pStyle w:val="ListParagraph"/>
              <w:numPr>
                <w:ilvl w:val="0"/>
                <w:numId w:val="2"/>
              </w:numPr>
              <w:spacing w:after="60"/>
            </w:pPr>
            <w:r>
              <w:rPr>
                <w:sz w:val="21"/>
                <w:szCs w:val="21"/>
              </w:rPr>
              <w:t xml:space="preserve">Mayor porcentaje relativo: un tipo con 46.0% de sus materiales bloqueados</w:t>
            </w:r>
          </w:p>
          <w:p>
            <w:pPr>
              <w:pStyle w:val="ListParagraph"/>
              <w:numPr>
                <w:ilvl w:val="0"/>
                <w:numId w:val="2"/>
              </w:numPr>
              <w:spacing w:after="60"/>
            </w:pPr>
            <w:r>
              <w:rPr>
                <w:sz w:val="21"/>
                <w:szCs w:val="21"/>
              </w:rPr>
              <w:t xml:space="preserve">Mayor volumen absoluto: ZRPI, con 1,597 materiales bloqueados (≈ una cuarta parte del total de bloqueados)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Además de la duplicidad, se evaluó el porcentaje de materiales marcados como bloqueados en el sistema. En total, 6,748 registros —un 14.9% del catálogo— se encuentran en esta condición.</w:t>
            </w:r>
          </w:p>
          <w:p>
            <w:pPr>
              <w:spacing w:after="100"/>
            </w:pPr>
            <w:r>
              <w:rPr>
                <w:i/>
                <w:iCs/>
                <w:sz w:val="22"/>
                <w:szCs w:val="22"/>
              </w:rPr>
              <w:t xml:space="preserve">El patrón se repite: un tipo de material concentra el mayor porcentaje relativo, con un 46.0% de sus registros bloqueados; pero es nuevamente ZRPI el que concentra el mayor volumen absoluto, con 1,597 materiales bloqueados, una cifra que por sí sola representa cerca de una cuarta parte de todos los materiales bloqueados del catálogo.</w:t>
            </w:r>
          </w:p>
        </w:tc>
      </w:tr>
    </w:tbl>
    <w:p>
      <w:pPr>
        <w:pStyle w:val="Heading2"/>
        <w:pBdr>
          <w:bottom w:val="single" w:color="1F4E5F" w:sz="8" w:space="4"/>
        </w:pBdr>
        <w:spacing w:after="100" w:before="400"/>
      </w:pPr>
      <w:r>
        <w:rPr>
          <w:b/>
          <w:bCs/>
          <w:color w:val="1F4E5F"/>
          <w:sz w:val="26"/>
          <w:szCs w:val="26"/>
        </w:rPr>
        <w:t xml:space="preserve">Diapositiva 6 — Descripciones sin separador estándar</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3,759 registros del catálogo completo (8.3%) no siguen la convención de separadores</w:t>
            </w:r>
          </w:p>
          <w:p>
            <w:pPr>
              <w:pStyle w:val="ListParagraph"/>
              <w:numPr>
                <w:ilvl w:val="0"/>
                <w:numId w:val="2"/>
              </w:numPr>
              <w:spacing w:after="60"/>
            </w:pPr>
            <w:r>
              <w:rPr>
                <w:sz w:val="21"/>
                <w:szCs w:val="21"/>
              </w:rPr>
              <w:t xml:space="preserve">Un tipo de material concentra el mayor porcentaje: 31.8% de sus descripciones</w:t>
            </w:r>
          </w:p>
          <w:p>
            <w:pPr>
              <w:pStyle w:val="ListParagraph"/>
              <w:numPr>
                <w:ilvl w:val="0"/>
                <w:numId w:val="2"/>
              </w:numPr>
              <w:spacing w:after="60"/>
            </w:pPr>
            <w:r>
              <w:rPr>
                <w:sz w:val="21"/>
                <w:szCs w:val="21"/>
              </w:rPr>
              <w:t xml:space="preserve">Riesgo directo: una descripción sin separador es indistinguible de otra similar mediante búsqueda exacta</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cuarta dimensión evaluada fue el porcentaje de descripciones que no siguen la convención estándar de separadores —dos puntos o punto y coma— establecida por la organización. Un tipo de material concentra el mayor porcentaje relativo de este problema, con un 31.8% de sus descripciones sin la estructura esperada.</w:t>
            </w:r>
          </w:p>
          <w:p>
            <w:pPr>
              <w:spacing w:after="100"/>
            </w:pPr>
            <w:r>
              <w:rPr>
                <w:i/>
                <w:iCs/>
                <w:sz w:val="22"/>
                <w:szCs w:val="22"/>
              </w:rPr>
              <w:t xml:space="preserve">Este hallazgo es el que más incide en el diseño de la herramienta: una descripción sin separador resulta indistinguible de otra similar mediante una búsqueda exacta en SAP. En consecuencia, los 3,759 registros del catálogo completo que carecen de esta estructura —un 8.3% del total— representan un riesgo de duplicidad que ninguna búsqueda exacta puede detectar.</w:t>
            </w:r>
          </w:p>
        </w:tc>
      </w:tr>
    </w:tbl>
    <w:p>
      <w:pPr>
        <w:pStyle w:val="Heading2"/>
        <w:pBdr>
          <w:bottom w:val="single" w:color="1F4E5F" w:sz="8" w:space="4"/>
        </w:pBdr>
        <w:spacing w:after="100" w:before="400"/>
      </w:pPr>
      <w:r>
        <w:rPr>
          <w:b/>
          <w:bCs/>
          <w:color w:val="1F4E5F"/>
          <w:sz w:val="26"/>
          <w:szCs w:val="26"/>
        </w:rPr>
        <w:t xml:space="preserve">Diapositiva 7 — Mapa de calidad consolidado</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Síntesis de las cuatro dimensiones evaluadas, por tipo de material: % duplicados · % bloqueados · % sin separador · % sin clase</w:t>
            </w:r>
          </w:p>
          <w:p>
            <w:pPr>
              <w:pStyle w:val="ListParagraph"/>
              <w:numPr>
                <w:ilvl w:val="0"/>
                <w:numId w:val="2"/>
              </w:numPr>
              <w:spacing w:after="60"/>
            </w:pPr>
            <w:r>
              <w:rPr>
                <w:sz w:val="21"/>
                <w:szCs w:val="21"/>
              </w:rPr>
              <w:t xml:space="preserve">Permite identificar qué tipos concentran mayor riesgo combinado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Estas cuatro dimensiones —duplicidad, bloqueo, ausencia de separador y ausencia de clase asignada— se consolidaron en un mapa de calidad único por tipo de material, que permite visualizar de forma integrada dónde se concentra el riesgo combinado del catálogo.</w:t>
            </w:r>
          </w:p>
          <w:p>
            <w:pPr>
              <w:spacing w:after="100"/>
            </w:pPr>
            <w:r>
              <w:rPr>
                <w:i/>
                <w:iCs/>
                <w:sz w:val="22"/>
                <w:szCs w:val="22"/>
              </w:rPr>
              <w:t xml:space="preserve">Este mapa es, en sí mismo, la evidencia que sustenta la decisión de priorizar la intervención sobre los tipos de mayor riesgo, particularmente ZRPI y ZRPA, que combinan duplicidad y bloqueo, respectivamente, con los volúmenes más altos del catálogo.</w:t>
            </w:r>
          </w:p>
        </w:tc>
      </w:tr>
    </w:tbl>
    <w:p>
      <w:pPr>
        <w:pStyle w:val="Heading2"/>
        <w:pBdr>
          <w:bottom w:val="single" w:color="1F4E5F" w:sz="8" w:space="4"/>
        </w:pBdr>
        <w:spacing w:after="100" w:before="400"/>
      </w:pPr>
      <w:r>
        <w:rPr>
          <w:b/>
          <w:bCs/>
          <w:color w:val="1F4E5F"/>
          <w:sz w:val="26"/>
          <w:szCs w:val="26"/>
        </w:rPr>
        <w:t xml:space="preserve">Diapositiva 8 — Longitud de las descripciones</w:t>
      </w:r>
      <w:r>
        <w:rPr>
          <w:i/>
          <w:iCs/>
          <w:color w:val="8A2E4D"/>
          <w:sz w:val="22"/>
          <w:szCs w:val="22"/>
        </w:rPr>
        <w:t xml:space="preserve">   (0:50)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Promedio de 31.9 caracteres por descripción, frente a un límite de 40 impuesto por SAP</w:t>
            </w:r>
          </w:p>
          <w:p>
            <w:pPr>
              <w:pStyle w:val="ListParagraph"/>
              <w:numPr>
                <w:ilvl w:val="0"/>
                <w:numId w:val="2"/>
              </w:numPr>
              <w:spacing w:after="60"/>
            </w:pPr>
            <w:r>
              <w:rPr>
                <w:sz w:val="21"/>
                <w:szCs w:val="21"/>
              </w:rPr>
              <w:t xml:space="preserve">Las descripciones se concentran contra ese límite</w:t>
            </w:r>
          </w:p>
          <w:p>
            <w:pPr>
              <w:pStyle w:val="ListParagraph"/>
              <w:numPr>
                <w:ilvl w:val="0"/>
                <w:numId w:val="2"/>
              </w:numPr>
              <w:spacing w:after="60"/>
            </w:pPr>
            <w:r>
              <w:rPr>
                <w:sz w:val="21"/>
                <w:szCs w:val="21"/>
              </w:rPr>
              <w:t xml:space="preserve">Causa directa de las abreviaturas inconsistentes entre gestores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Finalmente, se analizó la longitud de las descripciones del texto breve. El promedio se ubica en 31.9 caracteres, frente a un límite estructural de cuarenta caracteres que impone el propio sistema SAP para este campo.</w:t>
            </w:r>
          </w:p>
          <w:p>
            <w:pPr>
              <w:spacing w:after="100"/>
            </w:pPr>
            <w:r>
              <w:rPr>
                <w:i/>
                <w:iCs/>
                <w:sz w:val="22"/>
                <w:szCs w:val="22"/>
              </w:rPr>
              <w:t xml:space="preserve">Este hallazgo confirma que las descripciones se concentran contra ese límite, lo que constituye la causa directa de las abreviaturas inconsistentes entre gestores descritas en el marco teórico de este trabajo: ante un espacio reducido, cada gestor adopta convenciones propias para abreviar.</w:t>
            </w:r>
          </w:p>
        </w:tc>
      </w:tr>
    </w:tbl>
    <w:p>
      <w:pPr>
        <w:pStyle w:val="Heading2"/>
        <w:pBdr>
          <w:bottom w:val="single" w:color="1F4E5F" w:sz="8" w:space="4"/>
        </w:pBdr>
        <w:spacing w:after="100" w:before="400"/>
      </w:pPr>
      <w:r>
        <w:rPr>
          <w:b/>
          <w:bCs/>
          <w:color w:val="1F4E5F"/>
          <w:sz w:val="26"/>
          <w:szCs w:val="26"/>
        </w:rPr>
        <w:t xml:space="preserve">Diapositiva 9 — Síntesis y transición</w:t>
      </w:r>
      <w:r>
        <w:rPr>
          <w:i/>
          <w:iCs/>
          <w:color w:val="8A2E4D"/>
          <w:sz w:val="22"/>
          <w:szCs w:val="22"/>
        </w:rPr>
        <w:t xml:space="preserve">   (0:35)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Este análisis, sobre el catálogo completo (13 tipos, 45,400 registros), sustenta las decisiones metodológicas que se presentan a continuación</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En conjunto, este análisis sobre el catálogo completo es el que sustenta la decisión de resolver la detección de duplicados mediante similitud difusa, y no mediante coincidencia exacta de cadenas, así como la priorización de los tipos de mayor riesgo combinado dentro de la intervención.</w:t>
            </w:r>
          </w:p>
          <w:p>
            <w:pPr>
              <w:spacing w:after="100"/>
            </w:pPr>
            <w:r>
              <w:rPr>
                <w:i/>
                <w:iCs/>
                <w:sz w:val="22"/>
                <w:szCs w:val="22"/>
              </w:rPr>
              <w:t xml:space="preserve">A continuación se expondrá qué se construyó a partir de esta evidencia, y qué resultados se obtuvieron.</w:t>
            </w:r>
          </w:p>
        </w:tc>
      </w:tr>
    </w:tbl>
    <w:p>
      <w:pPr>
        <w:spacing w:after="300"/>
      </w:pPr>
    </w:p>
    <w:p>
      <w:pPr>
        <w:pStyle w:val="Heading1"/>
        <w:spacing w:after="200" w:before="400"/>
      </w:pPr>
      <w:r>
        <w:rPr>
          <w:b/>
          <w:bCs/>
          <w:color w:val="1F4E5F"/>
        </w:rPr>
        <w:t xml:space="preserve">Notas para ti</w:t>
      </w:r>
    </w:p>
    <w:p>
      <w:pPr>
        <w:pStyle w:val="ListParagraph"/>
        <w:numPr>
          <w:ilvl w:val="0"/>
          <w:numId w:val="2"/>
        </w:numPr>
        <w:spacing w:after="60"/>
      </w:pPr>
      <w:r>
        <w:t xml:space="preserve">Se dejaron fuera del guion los nombres de los códigos de tipo de material completos (ZEQU, ZHER, ZRPA) para que quien presente esta sección decida si los menciona o los deja en "un tipo de material" — depende de cuánto detalle técnico quieran mostrar en pantalla. Si el tribunal pide precisión, el dato exacto está en el documento (Figuras 1 a 3, Capítulo 7).</w:t>
      </w:r>
    </w:p>
    <w:p>
      <w:pPr>
        <w:pStyle w:val="ListParagraph"/>
        <w:numPr>
          <w:ilvl w:val="0"/>
          <w:numId w:val="2"/>
        </w:numPr>
        <w:spacing w:after="60"/>
      </w:pPr>
      <w:r>
        <w:t xml:space="preserve">El dato de DIEN con 90.0% de registros "sin clase" —el valor más alto de todo el mapa de calidad— no se incluyó en el guion porque es un caso aislado (bajo volumen, 531 registros) y podría generar una pregunta puntual difícil de responder sin verlo de cerca. Tenlo presente por si el tribunal lo nota en la figura y pregunta directamente por ese tipo.</w:t>
      </w:r>
    </w:p>
    <w:p>
      <w:pPr>
        <w:pStyle w:val="ListParagraph"/>
        <w:numPr>
          <w:ilvl w:val="0"/>
          <w:numId w:val="2"/>
        </w:numPr>
        <w:spacing w:after="60"/>
      </w:pPr>
      <w:r>
        <w:t xml:space="preserve">Esta sección es la que responde, con detalle, a la pregunta '¿de dónde salen esos números que mencionaron en la introducción?' — por diseño, complementa sin repetir lo ya dicho.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2026-09-02T01:38:33.942Z</dcterms:created>
  <dcterms:modified xsi:type="dcterms:W3CDTF">2026-09-02T01:38:33.957Z</dcterms:modified>
</cp:coreProperties>
</file>

<file path=docProps/custom.xml><?xml version="1.0" encoding="utf-8"?>
<Properties xmlns="http://schemas.openxmlformats.org/officeDocument/2006/custom-properties" xmlns:vt="http://schemas.openxmlformats.org/officeDocument/2006/docPropsVTypes"/>
</file>